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pplelogic-canon"/>
    <w:p>
      <w:pPr>
        <w:pStyle w:val="Heading1"/>
      </w:pPr>
      <w:r>
        <w:rPr>
          <w:bCs/>
          <w:b/>
        </w:rPr>
        <w:t xml:space="preserve">RippleLogic Canon</w:t>
      </w:r>
    </w:p>
    <w:p>
      <w:pPr>
        <w:pStyle w:val="FirstParagraph"/>
      </w:pPr>
      <w:r>
        <w:t xml:space="preserve">RippleLogic: The Ethical Decision Operating System of the MathGov Framework</w:t>
      </w:r>
      <w:r>
        <w:br/>
      </w:r>
      <w:r>
        <w:t xml:space="preserve">A General-Purpose, Multi-Scale Decision Architecture for Rights-Floor Norms, Tail-Risk Control, and Auditable Decision-Making</w:t>
      </w:r>
    </w:p>
    <w:p>
      <w:pPr>
        <w:pStyle w:val="BodyText"/>
      </w:pPr>
      <w:r>
        <w:t xml:space="preserve">Tier 1-3: Source-Ready Specification | Tier 4: Design Target (Tier-4 claims prohibited until a ProofPack is independently replayable)</w:t>
      </w:r>
    </w:p>
    <w:p>
      <w:pPr>
        <w:pStyle w:val="BodyText"/>
      </w:pPr>
      <w:r>
        <w:t xml:space="preserve">Author: James McGaughran (ORCID: 0009-0005-3324-7290)</w:t>
      </w:r>
      <w:r>
        <w:br/>
      </w:r>
      <w:r>
        <w:t xml:space="preserve">Affiliation: British University Vietnam (BUV); MathGov Institute for Ethical Systems Design</w:t>
      </w:r>
      <w:r>
        <w:br/>
      </w:r>
      <w:r>
        <w:t xml:space="preserve">Canonical Sites: ripplelogic.org, mathgov.org</w:t>
      </w:r>
      <w:r>
        <w:br/>
      </w:r>
      <w:r>
        <w:t xml:space="preserve">Repository: github.com/MathGov/ripple-logic</w:t>
      </w:r>
    </w:p>
    <w:p>
      <w:pPr>
        <w:pStyle w:val="BodyText"/>
      </w:pPr>
      <w:r>
        <w:t xml:space="preserve">Release identity, source hierarchy, and version history are recorded in Appendix AR and the package manifests.</w:t>
      </w:r>
    </w:p>
    <w:p>
      <w:pPr>
        <w:pStyle w:val="BodyText"/>
      </w:pPr>
      <w:r>
        <w:rPr>
          <w:bCs/>
          <w:b/>
        </w:rPr>
        <w:t xml:space="preserve">Governing interpretation.</w:t>
      </w:r>
      <w:r>
        <w:t xml:space="preserve"> </w:t>
      </w:r>
      <w:r>
        <w:t xml:space="preserve">Normative interpretation follows the Specification Contract in Appendix AC. Main-text rules and controlling appendices govern over examples, historical notes, and generated reading mirrors.</w:t>
      </w:r>
    </w:p>
    <w:bookmarkEnd w:id="20"/>
    <w:bookmarkStart w:id="21" w:name="abstract"/>
    <w:p>
      <w:pPr>
        <w:pStyle w:val="Heading1"/>
      </w:pPr>
      <w:r>
        <w:rPr>
          <w:bCs/>
          <w:b/>
        </w:rPr>
        <w:t xml:space="preserve">ABSTRACT</w:t>
      </w:r>
    </w:p>
    <w:p>
      <w:pPr>
        <w:pStyle w:val="FirstParagraph"/>
      </w:pPr>
      <w:r>
        <w:t xml:space="preserve">Governance systems, institutional decision-making processes, and AI alignment approaches face a common structural challenge: high-consequence decisions often collapse plural values into single metrics, underweight catastrophic tail risks, lose contact with reality surfaces, and become vulnerable to specification gaming, where optimized proxies degrade the outcomes they were meant to protect. As a proposed Tier 1-3 design architecture rather than an empirically validated governance instrument, RippleLogic addresses this problem by operationalizing Union-Based Ethics as a general-purpose ethical operating system for auditable decision-making across layered scales of life and governance. The Category Grounding Patch clarifies that, when material categories affect rights, tail risk, containment, SGP interpretation, authority, conformance, or public claims, Category Grounding and Primitive Audit belong inside Reality Grounding as required subdisciplines, not as additional cascade stages. The framework evaluates candidate actions through a five-level admissibility-and-ranking method: Reality Grounding (RG), Rights Floor (RF), Tail-Risk Constraint (TRC), Containment and Structural Viability (CSV), and RippleLogic Score (RLS). Rights Floor is the public-facing name for the Non-Compensatory Rights Constraint (NCRC): rights-floor violations cannot be compensated by welfare gains elsewhere.</w:t>
      </w:r>
    </w:p>
    <w:p>
      <w:pPr>
        <w:pStyle w:val="Heading1"/>
        <w:pageBreakBefore/>
        <w:spacing w:after="160"/>
      </w:pPr>
      <w:r>
        <w:rPr>
          <w:b/>
        </w:rPr>
        <w:t>CONTENTS</w:t>
      </w:r>
    </w:p>
    <w:p>
      <w:pPr>
        <w:keepNext/>
        <w:spacing w:before="140" w:after="40"/>
      </w:pPr>
      <w:r>
        <w:rPr>
          <w:rFonts w:ascii="Aptos Display" w:hAnsi="Aptos Display"/>
          <w:b/>
          <w:color w:val="1F4E79"/>
          <w:sz w:val="20"/>
        </w:rPr>
        <w:t>CORE SECTIONS</w:t>
      </w:r>
    </w:p>
    <w:p>
      <w:pPr>
        <w:tabs>
          <w:tab w:pos="9432" w:val="right" w:leader="dot"/>
        </w:tabs>
        <w:spacing w:before="0" w:after="0" w:line="240" w:lineRule="auto"/>
        <w:ind w:left="216" w:hanging="216"/>
      </w:pPr>
      <w:hyperlink w:anchor="mg_toc_001" w:history="1">
        <w:r>
          <w:rPr>
            <w:color w:val="1F4E79"/>
            <w:u w:val="single"/>
            <w:rFonts w:ascii="Aptos" w:hAnsi="Aptos"/>
            <w:sz w:val="19"/>
          </w:rPr>
          <w:t>SECTION 1: INTRODUCTION: THE NEED FOR A GENERAL-PURPOSE ETHICAL OPERATING SYSTEM</w:t>
        </w:r>
      </w:hyperlink>
      <w:r>
        <w:rPr>
          <w:rFonts w:ascii="Aptos" w:hAnsi="Aptos"/>
          <w:color w:val="1F4E79"/>
          <w:sz w:val="19"/>
        </w:rPr>
        <w:tab/>
        <w:t>4</w:t>
      </w:r>
    </w:p>
    <w:p>
      <w:pPr>
        <w:tabs>
          <w:tab w:pos="9432" w:val="right" w:leader="dot"/>
        </w:tabs>
        <w:spacing w:before="0" w:after="0" w:line="240" w:lineRule="auto"/>
        <w:ind w:left="216" w:hanging="216"/>
      </w:pPr>
      <w:hyperlink w:anchor="mg_toc_002" w:history="1">
        <w:r>
          <w:rPr>
            <w:color w:val="1F4E79"/>
            <w:u w:val="single"/>
            <w:rFonts w:ascii="Aptos" w:hAnsi="Aptos"/>
            <w:sz w:val="19"/>
          </w:rPr>
          <w:t>SECTION 2: ONTOLOGICAL FOUNDATIONS: UNION-BASED REALITY (UBR)</w:t>
        </w:r>
      </w:hyperlink>
      <w:r>
        <w:rPr>
          <w:rFonts w:ascii="Aptos" w:hAnsi="Aptos"/>
          <w:color w:val="1F4E79"/>
          <w:sz w:val="19"/>
        </w:rPr>
        <w:tab/>
        <w:t>8</w:t>
      </w:r>
    </w:p>
    <w:p>
      <w:pPr>
        <w:tabs>
          <w:tab w:pos="9432" w:val="right" w:leader="dot"/>
        </w:tabs>
        <w:spacing w:before="0" w:after="0" w:line="240" w:lineRule="auto"/>
        <w:ind w:left="216" w:hanging="216"/>
      </w:pPr>
      <w:hyperlink w:anchor="mg_toc_003" w:history="1">
        <w:r>
          <w:rPr>
            <w:color w:val="1F4E79"/>
            <w:u w:val="single"/>
            <w:rFonts w:ascii="Aptos" w:hAnsi="Aptos"/>
            <w:sz w:val="19"/>
          </w:rPr>
          <w:t>SECTION 3: NORMATIVE FOUNDATIONS: UNION-BASED ETHICS (UBE)</w:t>
        </w:r>
      </w:hyperlink>
      <w:r>
        <w:rPr>
          <w:rFonts w:ascii="Aptos" w:hAnsi="Aptos"/>
          <w:color w:val="1F4E79"/>
          <w:sz w:val="19"/>
        </w:rPr>
        <w:tab/>
        <w:t>23</w:t>
      </w:r>
    </w:p>
    <w:p>
      <w:pPr>
        <w:tabs>
          <w:tab w:pos="9432" w:val="right" w:leader="dot"/>
        </w:tabs>
        <w:spacing w:before="0" w:after="0" w:line="240" w:lineRule="auto"/>
        <w:ind w:left="216" w:hanging="216"/>
      </w:pPr>
      <w:hyperlink w:anchor="mg_toc_004" w:history="1">
        <w:r>
          <w:rPr>
            <w:color w:val="1F4E79"/>
            <w:u w:val="single"/>
            <w:rFonts w:ascii="Aptos" w:hAnsi="Aptos"/>
            <w:sz w:val="19"/>
          </w:rPr>
          <w:t>3.0A Ethical Reality</w:t>
        </w:r>
      </w:hyperlink>
      <w:r>
        <w:rPr>
          <w:rFonts w:ascii="Aptos" w:hAnsi="Aptos"/>
          <w:color w:val="1F4E79"/>
          <w:sz w:val="19"/>
        </w:rPr>
        <w:tab/>
        <w:t>23</w:t>
      </w:r>
    </w:p>
    <w:p>
      <w:pPr>
        <w:tabs>
          <w:tab w:pos="9432" w:val="right" w:leader="dot"/>
        </w:tabs>
        <w:spacing w:before="0" w:after="0" w:line="240" w:lineRule="auto"/>
        <w:ind w:left="216" w:hanging="216"/>
      </w:pPr>
      <w:hyperlink w:anchor="mg_toc_005" w:history="1">
        <w:r>
          <w:rPr>
            <w:color w:val="1F4E79"/>
            <w:u w:val="single"/>
            <w:rFonts w:ascii="Aptos" w:hAnsi="Aptos"/>
            <w:sz w:val="19"/>
          </w:rPr>
          <w:t>SECTION 4: SYSTEM OVERVIEW: THE RIPPLELOGIC ARCHITECTURE</w:t>
        </w:r>
      </w:hyperlink>
      <w:r>
        <w:rPr>
          <w:rFonts w:ascii="Aptos" w:hAnsi="Aptos"/>
          <w:color w:val="1F4E79"/>
          <w:sz w:val="19"/>
        </w:rPr>
        <w:tab/>
        <w:t>27</w:t>
      </w:r>
    </w:p>
    <w:p>
      <w:pPr>
        <w:tabs>
          <w:tab w:pos="9432" w:val="right" w:leader="dot"/>
        </w:tabs>
        <w:spacing w:before="0" w:after="0" w:line="240" w:lineRule="auto"/>
        <w:ind w:left="216" w:hanging="216"/>
      </w:pPr>
      <w:hyperlink w:anchor="mg_toc_006" w:history="1">
        <w:r>
          <w:rPr>
            <w:color w:val="1F4E79"/>
            <w:u w:val="single"/>
            <w:rFonts w:ascii="Aptos" w:hAnsi="Aptos"/>
            <w:sz w:val="19"/>
          </w:rPr>
          <w:t>SECTION 5: WELFARE IMPACT CONSTRUCTION (CALCULABLE)</w:t>
        </w:r>
      </w:hyperlink>
      <w:r>
        <w:rPr>
          <w:rFonts w:ascii="Aptos" w:hAnsi="Aptos"/>
          <w:color w:val="1F4E79"/>
          <w:sz w:val="19"/>
        </w:rPr>
        <w:tab/>
        <w:t>38</w:t>
      </w:r>
    </w:p>
    <w:p>
      <w:pPr>
        <w:tabs>
          <w:tab w:pos="9432" w:val="right" w:leader="dot"/>
        </w:tabs>
        <w:spacing w:before="0" w:after="0" w:line="240" w:lineRule="auto"/>
        <w:ind w:left="216" w:hanging="216"/>
      </w:pPr>
      <w:hyperlink w:anchor="mg_toc_007" w:history="1">
        <w:r>
          <w:rPr>
            <w:color w:val="1F4E79"/>
            <w:u w:val="single"/>
            <w:rFonts w:ascii="Aptos" w:hAnsi="Aptos"/>
            <w:sz w:val="19"/>
          </w:rPr>
          <w:t>SECTION 6: RIPPLE PROPAGATION: KERNEL AND EPISTEMIC HUMILITY</w:t>
        </w:r>
      </w:hyperlink>
      <w:r>
        <w:rPr>
          <w:rFonts w:ascii="Aptos" w:hAnsi="Aptos"/>
          <w:color w:val="1F4E79"/>
          <w:sz w:val="19"/>
        </w:rPr>
        <w:tab/>
        <w:t>48</w:t>
      </w:r>
    </w:p>
    <w:p>
      <w:pPr>
        <w:tabs>
          <w:tab w:pos="9432" w:val="right" w:leader="dot"/>
        </w:tabs>
        <w:spacing w:before="0" w:after="0" w:line="240" w:lineRule="auto"/>
        <w:ind w:left="216" w:hanging="216"/>
      </w:pPr>
      <w:hyperlink w:anchor="mg_toc_008" w:history="1">
        <w:r>
          <w:rPr>
            <w:color w:val="1F4E79"/>
            <w:u w:val="single"/>
            <w:rFonts w:ascii="Aptos" w:hAnsi="Aptos"/>
            <w:sz w:val="19"/>
          </w:rPr>
          <w:t>SECTION 7: RIGHTS LAYER: NON-COMPENSATORY RIGHTS CONSTRAINT (NCRC)</w:t>
        </w:r>
      </w:hyperlink>
      <w:r>
        <w:rPr>
          <w:rFonts w:ascii="Aptos" w:hAnsi="Aptos"/>
          <w:color w:val="1F4E79"/>
          <w:sz w:val="19"/>
        </w:rPr>
        <w:tab/>
        <w:t>51</w:t>
      </w:r>
    </w:p>
    <w:p>
      <w:pPr>
        <w:tabs>
          <w:tab w:pos="9432" w:val="right" w:leader="dot"/>
        </w:tabs>
        <w:spacing w:before="0" w:after="0" w:line="240" w:lineRule="auto"/>
        <w:ind w:left="216" w:hanging="216"/>
      </w:pPr>
      <w:hyperlink w:anchor="mg_toc_009" w:history="1">
        <w:r>
          <w:rPr>
            <w:color w:val="1F4E79"/>
            <w:u w:val="single"/>
            <w:rFonts w:ascii="Aptos" w:hAnsi="Aptos"/>
            <w:sz w:val="19"/>
          </w:rPr>
          <w:t>SECTION 8: CATASTROPHIC RISK LAYER: TAIL-RISK CONSTRAINT (TRC)</w:t>
        </w:r>
      </w:hyperlink>
      <w:r>
        <w:rPr>
          <w:rFonts w:ascii="Aptos" w:hAnsi="Aptos"/>
          <w:color w:val="1F4E79"/>
          <w:sz w:val="19"/>
        </w:rPr>
        <w:tab/>
        <w:t>60</w:t>
      </w:r>
    </w:p>
    <w:p>
      <w:pPr>
        <w:tabs>
          <w:tab w:pos="9432" w:val="right" w:leader="dot"/>
        </w:tabs>
        <w:spacing w:before="0" w:after="0" w:line="240" w:lineRule="auto"/>
        <w:ind w:left="216" w:hanging="216"/>
      </w:pPr>
      <w:hyperlink w:anchor="mg_toc_010" w:history="1">
        <w:r>
          <w:rPr>
            <w:color w:val="1F4E79"/>
            <w:u w:val="single"/>
            <w:rFonts w:ascii="Aptos" w:hAnsi="Aptos"/>
            <w:sz w:val="19"/>
          </w:rPr>
          <w:t>SECTION 9: CSV GATE: CONTAINMENT AND STRUCTURAL VIABILITY</w:t>
        </w:r>
      </w:hyperlink>
      <w:r>
        <w:rPr>
          <w:rFonts w:ascii="Aptos" w:hAnsi="Aptos"/>
          <w:color w:val="1F4E79"/>
          <w:sz w:val="19"/>
        </w:rPr>
        <w:tab/>
        <w:t>65</w:t>
      </w:r>
    </w:p>
    <w:p>
      <w:pPr>
        <w:tabs>
          <w:tab w:pos="9432" w:val="right" w:leader="dot"/>
        </w:tabs>
        <w:spacing w:before="0" w:after="0" w:line="240" w:lineRule="auto"/>
        <w:ind w:left="216" w:hanging="216"/>
      </w:pPr>
      <w:hyperlink w:anchor="mg_toc_011" w:history="1">
        <w:r>
          <w:rPr>
            <w:color w:val="1F4E79"/>
            <w:u w:val="single"/>
            <w:rFonts w:ascii="Aptos" w:hAnsi="Aptos"/>
            <w:sz w:val="19"/>
          </w:rPr>
          <w:t>SECTION 10: OPTIMIZATION LAYER: RIPPLELOGIC SCORE (RLS)</w:t>
        </w:r>
      </w:hyperlink>
      <w:r>
        <w:rPr>
          <w:rFonts w:ascii="Aptos" w:hAnsi="Aptos"/>
          <w:color w:val="1F4E79"/>
          <w:sz w:val="19"/>
        </w:rPr>
        <w:tab/>
        <w:t>73</w:t>
      </w:r>
    </w:p>
    <w:p>
      <w:pPr>
        <w:tabs>
          <w:tab w:pos="9432" w:val="right" w:leader="dot"/>
        </w:tabs>
        <w:spacing w:before="0" w:after="0" w:line="240" w:lineRule="auto"/>
        <w:ind w:left="216" w:hanging="216"/>
      </w:pPr>
      <w:hyperlink w:anchor="mg_toc_012" w:history="1">
        <w:r>
          <w:rPr>
            <w:color w:val="1F4E79"/>
            <w:u w:val="single"/>
            <w:rFonts w:ascii="Aptos" w:hAnsi="Aptos"/>
            <w:sz w:val="19"/>
          </w:rPr>
          <w:t>SECTION 11: TIE-BREAKS, HOLLOWING DIAGNOSTICS, AND STRUCTURAL MONITORING</w:t>
        </w:r>
      </w:hyperlink>
      <w:r>
        <w:rPr>
          <w:rFonts w:ascii="Aptos" w:hAnsi="Aptos"/>
          <w:color w:val="1F4E79"/>
          <w:sz w:val="19"/>
        </w:rPr>
        <w:tab/>
        <w:t>85</w:t>
      </w:r>
    </w:p>
    <w:p>
      <w:pPr>
        <w:tabs>
          <w:tab w:pos="9432" w:val="right" w:leader="dot"/>
        </w:tabs>
        <w:spacing w:before="0" w:after="0" w:line="240" w:lineRule="auto"/>
        <w:ind w:left="216" w:hanging="216"/>
      </w:pPr>
      <w:hyperlink w:anchor="mg_toc_013" w:history="1">
        <w:r>
          <w:rPr>
            <w:color w:val="1F4E79"/>
            <w:u w:val="single"/>
            <w:rFonts w:ascii="Aptos" w:hAnsi="Aptos"/>
            <w:sz w:val="19"/>
          </w:rPr>
          <w:t>SECTION 12: MORAL STATUS, PROTECTION, PARTICIPATION, REALITY-MANAGEMENT CAPACITY, AND POWER: SGP v8.5 INTEGRATION (BINDING INTERFACE)</w:t>
        </w:r>
      </w:hyperlink>
      <w:r>
        <w:rPr>
          <w:rFonts w:ascii="Aptos" w:hAnsi="Aptos"/>
          <w:color w:val="1F4E79"/>
          <w:sz w:val="19"/>
        </w:rPr>
        <w:tab/>
        <w:t>90</w:t>
      </w:r>
    </w:p>
    <w:p>
      <w:pPr>
        <w:tabs>
          <w:tab w:pos="9432" w:val="right" w:leader="dot"/>
        </w:tabs>
        <w:spacing w:before="0" w:after="0" w:line="240" w:lineRule="auto"/>
        <w:ind w:left="216" w:hanging="216"/>
      </w:pPr>
      <w:hyperlink w:anchor="mg_toc_014" w:history="1">
        <w:r>
          <w:rPr>
            <w:color w:val="1F4E79"/>
            <w:u w:val="single"/>
            <w:rFonts w:ascii="Aptos" w:hAnsi="Aptos"/>
            <w:sz w:val="19"/>
          </w:rPr>
          <w:t>SECTION 13: WEIGHT GOVERNANCE: HYBRID DEMOCRATIC WEIGHTING (HDW)</w:t>
        </w:r>
      </w:hyperlink>
      <w:r>
        <w:rPr>
          <w:rFonts w:ascii="Aptos" w:hAnsi="Aptos"/>
          <w:color w:val="1F4E79"/>
          <w:sz w:val="19"/>
        </w:rPr>
        <w:tab/>
        <w:t>93</w:t>
      </w:r>
    </w:p>
    <w:p>
      <w:pPr>
        <w:tabs>
          <w:tab w:pos="9432" w:val="right" w:leader="dot"/>
        </w:tabs>
        <w:spacing w:before="0" w:after="0" w:line="240" w:lineRule="auto"/>
        <w:ind w:left="216" w:hanging="216"/>
      </w:pPr>
      <w:hyperlink w:anchor="mg_toc_015" w:history="1">
        <w:r>
          <w:rPr>
            <w:color w:val="1F4E79"/>
            <w:u w:val="single"/>
            <w:rFonts w:ascii="Aptos" w:hAnsi="Aptos"/>
            <w:sz w:val="19"/>
          </w:rPr>
          <w:t>SECTION 14: AUDITABILITY AND DETERMINISM: PCC AND AIL (TIER 1-3; TIER 4 TARGET)</w:t>
        </w:r>
      </w:hyperlink>
      <w:r>
        <w:rPr>
          <w:rFonts w:ascii="Aptos" w:hAnsi="Aptos"/>
          <w:color w:val="1F4E79"/>
          <w:sz w:val="19"/>
        </w:rPr>
        <w:tab/>
        <w:t>97</w:t>
      </w:r>
    </w:p>
    <w:p>
      <w:pPr>
        <w:tabs>
          <w:tab w:pos="9432" w:val="right" w:leader="dot"/>
        </w:tabs>
        <w:spacing w:before="0" w:after="0" w:line="240" w:lineRule="auto"/>
        <w:ind w:left="216" w:hanging="216"/>
      </w:pPr>
      <w:hyperlink w:anchor="mg_toc_016" w:history="1">
        <w:r>
          <w:rPr>
            <w:color w:val="1F4E79"/>
            <w:u w:val="single"/>
            <w:rFonts w:ascii="Aptos" w:hAnsi="Aptos"/>
            <w:sz w:val="19"/>
          </w:rPr>
          <w:t>SECTION 15: IMPLEMENTATION GUIDANCE AND TIERS (NORMATIVE)</w:t>
        </w:r>
      </w:hyperlink>
      <w:r>
        <w:rPr>
          <w:rFonts w:ascii="Aptos" w:hAnsi="Aptos"/>
          <w:color w:val="1F4E79"/>
          <w:sz w:val="19"/>
        </w:rPr>
        <w:tab/>
        <w:t>109</w:t>
      </w:r>
    </w:p>
    <w:p>
      <w:pPr>
        <w:tabs>
          <w:tab w:pos="9432" w:val="right" w:leader="dot"/>
        </w:tabs>
        <w:spacing w:before="0" w:after="0" w:line="240" w:lineRule="auto"/>
        <w:ind w:left="216" w:hanging="216"/>
      </w:pPr>
      <w:hyperlink w:anchor="mg_toc_017" w:history="1">
        <w:r>
          <w:rPr>
            <w:color w:val="1F4E79"/>
            <w:u w:val="single"/>
            <w:rFonts w:ascii="Aptos" w:hAnsi="Aptos"/>
            <w:sz w:val="19"/>
          </w:rPr>
          <w:t>SECTION 16: RELATIONSHIP TO EXISTING FRAMEWORKS (INFORMATIVE)</w:t>
        </w:r>
      </w:hyperlink>
      <w:r>
        <w:rPr>
          <w:rFonts w:ascii="Aptos" w:hAnsi="Aptos"/>
          <w:color w:val="1F4E79"/>
          <w:sz w:val="19"/>
        </w:rPr>
        <w:tab/>
        <w:t>114</w:t>
      </w:r>
    </w:p>
    <w:p>
      <w:pPr>
        <w:tabs>
          <w:tab w:pos="9432" w:val="right" w:leader="dot"/>
        </w:tabs>
        <w:spacing w:before="0" w:after="0" w:line="240" w:lineRule="auto"/>
        <w:ind w:left="216" w:hanging="216"/>
      </w:pPr>
      <w:hyperlink w:anchor="mg_toc_018" w:history="1">
        <w:r>
          <w:rPr>
            <w:color w:val="1F4E79"/>
            <w:u w:val="single"/>
            <w:rFonts w:ascii="Aptos" w:hAnsi="Aptos"/>
            <w:sz w:val="19"/>
          </w:rPr>
          <w:t>SECTION 17: VALIDATION, FALSIFICATION, AND RESEARCH PROGRAM (NORMATIVE FOR CLAIMS)</w:t>
        </w:r>
      </w:hyperlink>
      <w:r>
        <w:rPr>
          <w:rFonts w:ascii="Aptos" w:hAnsi="Aptos"/>
          <w:color w:val="1F4E79"/>
          <w:sz w:val="19"/>
        </w:rPr>
        <w:tab/>
        <w:t>115</w:t>
      </w:r>
    </w:p>
    <w:p>
      <w:pPr>
        <w:tabs>
          <w:tab w:pos="9432" w:val="right" w:leader="dot"/>
        </w:tabs>
        <w:spacing w:before="0" w:after="0" w:line="240" w:lineRule="auto"/>
        <w:ind w:left="216" w:hanging="216"/>
      </w:pPr>
      <w:hyperlink w:anchor="mg_toc_019" w:history="1">
        <w:r>
          <w:rPr>
            <w:color w:val="1F4E79"/>
            <w:u w:val="single"/>
            <w:rFonts w:ascii="Aptos" w:hAnsi="Aptos"/>
            <w:sz w:val="19"/>
          </w:rPr>
          <w:t>SECTION 18: APPLICATIONS AND USE CASES (INFORMATIVE)</w:t>
        </w:r>
      </w:hyperlink>
      <w:r>
        <w:rPr>
          <w:rFonts w:ascii="Aptos" w:hAnsi="Aptos"/>
          <w:color w:val="1F4E79"/>
          <w:sz w:val="19"/>
        </w:rPr>
        <w:tab/>
        <w:t>121</w:t>
      </w:r>
    </w:p>
    <w:p>
      <w:pPr>
        <w:tabs>
          <w:tab w:pos="9432" w:val="right" w:leader="dot"/>
        </w:tabs>
        <w:spacing w:before="0" w:after="0" w:line="240" w:lineRule="auto"/>
        <w:ind w:left="216" w:hanging="216"/>
      </w:pPr>
      <w:hyperlink w:anchor="mg_toc_020" w:history="1">
        <w:r>
          <w:rPr>
            <w:color w:val="1F4E79"/>
            <w:u w:val="single"/>
            <w:rFonts w:ascii="Aptos" w:hAnsi="Aptos"/>
            <w:sz w:val="19"/>
          </w:rPr>
          <w:t>SECTION 19: LIMITATIONS AND NON-TARGETS (NORMATIVE BOUNDARIES)</w:t>
        </w:r>
      </w:hyperlink>
      <w:r>
        <w:rPr>
          <w:rFonts w:ascii="Aptos" w:hAnsi="Aptos"/>
          <w:color w:val="1F4E79"/>
          <w:sz w:val="19"/>
        </w:rPr>
        <w:tab/>
        <w:t>121</w:t>
      </w:r>
    </w:p>
    <w:p>
      <w:pPr>
        <w:tabs>
          <w:tab w:pos="9432" w:val="right" w:leader="dot"/>
        </w:tabs>
        <w:spacing w:before="0" w:after="0" w:line="240" w:lineRule="auto"/>
        <w:ind w:left="216" w:hanging="216"/>
      </w:pPr>
      <w:hyperlink w:anchor="mg_toc_021" w:history="1">
        <w:r>
          <w:rPr>
            <w:color w:val="1F4E79"/>
            <w:u w:val="single"/>
            <w:rFonts w:ascii="Aptos" w:hAnsi="Aptos"/>
            <w:sz w:val="19"/>
          </w:rPr>
          <w:t>SECTION 20: CONCLUSION: PROSPEROUS FUTURES FOR INTELLIGENCES</w:t>
        </w:r>
      </w:hyperlink>
      <w:r>
        <w:rPr>
          <w:rFonts w:ascii="Aptos" w:hAnsi="Aptos"/>
          <w:color w:val="1F4E79"/>
          <w:sz w:val="19"/>
        </w:rPr>
        <w:tab/>
        <w:t>122</w:t>
      </w:r>
    </w:p>
    <w:p>
      <w:pPr>
        <w:keepNext/>
        <w:spacing w:before="140" w:after="40"/>
      </w:pPr>
      <w:r>
        <w:rPr>
          <w:rFonts w:ascii="Aptos Display" w:hAnsi="Aptos Display"/>
          <w:b/>
          <w:color w:val="1F4E79"/>
          <w:sz w:val="20"/>
        </w:rPr>
        <w:t>CANONICAL APPENDICES A-AC</w:t>
      </w:r>
    </w:p>
    <w:p>
      <w:pPr>
        <w:tabs>
          <w:tab w:pos="9432" w:val="right" w:leader="dot"/>
        </w:tabs>
        <w:spacing w:before="0" w:after="0" w:line="240" w:lineRule="auto"/>
        <w:ind w:left="216" w:hanging="216"/>
      </w:pPr>
      <w:hyperlink w:anchor="mg_toc_022" w:history="1">
        <w:r>
          <w:rPr>
            <w:color w:val="1F4E79"/>
            <w:u w:val="single"/>
            <w:rFonts w:ascii="Aptos" w:hAnsi="Aptos"/>
            <w:sz w:val="19"/>
          </w:rPr>
          <w:t>APPENDIX A: SYMBOLS AND NOTATION (v12.0)</w:t>
        </w:r>
      </w:hyperlink>
      <w:r>
        <w:rPr>
          <w:rFonts w:ascii="Aptos" w:hAnsi="Aptos"/>
          <w:color w:val="1F4E79"/>
          <w:sz w:val="19"/>
        </w:rPr>
        <w:tab/>
        <w:t>126</w:t>
      </w:r>
    </w:p>
    <w:p>
      <w:pPr>
        <w:tabs>
          <w:tab w:pos="9432" w:val="right" w:leader="dot"/>
        </w:tabs>
        <w:spacing w:before="0" w:after="0" w:line="240" w:lineRule="auto"/>
        <w:ind w:left="216" w:hanging="216"/>
      </w:pPr>
      <w:hyperlink w:anchor="mg_toc_023" w:history="1">
        <w:r>
          <w:rPr>
            <w:color w:val="1F4E79"/>
            <w:u w:val="single"/>
            <w:rFonts w:ascii="Aptos" w:hAnsi="Aptos"/>
            <w:sz w:val="19"/>
          </w:rPr>
          <w:t>APPENDIX B: CANONICAL EQUATIONS (TIER 1-3 EXECUTABLE)</w:t>
        </w:r>
      </w:hyperlink>
      <w:r>
        <w:rPr>
          <w:rFonts w:ascii="Aptos" w:hAnsi="Aptos"/>
          <w:color w:val="1F4E79"/>
          <w:sz w:val="19"/>
        </w:rPr>
        <w:tab/>
        <w:t>132</w:t>
      </w:r>
    </w:p>
    <w:p>
      <w:pPr>
        <w:tabs>
          <w:tab w:pos="9432" w:val="right" w:leader="dot"/>
        </w:tabs>
        <w:spacing w:before="0" w:after="0" w:line="240" w:lineRule="auto"/>
        <w:ind w:left="216" w:hanging="216"/>
      </w:pPr>
      <w:hyperlink w:anchor="mg_toc_024" w:history="1">
        <w:r>
          <w:rPr>
            <w:color w:val="1F4E79"/>
            <w:u w:val="single"/>
            <w:rFonts w:ascii="Aptos" w:hAnsi="Aptos"/>
            <w:sz w:val="19"/>
          </w:rPr>
          <w:t>APPENDIX C: RIGHTS / NCRC CANON PACK (TIER 1-3)</w:t>
        </w:r>
      </w:hyperlink>
      <w:r>
        <w:rPr>
          <w:rFonts w:ascii="Aptos" w:hAnsi="Aptos"/>
          <w:color w:val="1F4E79"/>
          <w:sz w:val="19"/>
        </w:rPr>
        <w:tab/>
        <w:t>137</w:t>
      </w:r>
    </w:p>
    <w:p>
      <w:pPr>
        <w:tabs>
          <w:tab w:pos="9432" w:val="right" w:leader="dot"/>
        </w:tabs>
        <w:spacing w:before="0" w:after="0" w:line="240" w:lineRule="auto"/>
        <w:ind w:left="216" w:hanging="216"/>
      </w:pPr>
      <w:hyperlink w:anchor="mg_toc_025" w:history="1">
        <w:r>
          <w:rPr>
            <w:color w:val="1F4E79"/>
            <w:u w:val="single"/>
            <w:rFonts w:ascii="Aptos" w:hAnsi="Aptos"/>
            <w:sz w:val="19"/>
          </w:rPr>
          <w:t>APPENDIX D: TRC AND SCENARIO GOVERNANCE CANON PACK (TIER 1-3)</w:t>
        </w:r>
      </w:hyperlink>
      <w:r>
        <w:rPr>
          <w:rFonts w:ascii="Aptos" w:hAnsi="Aptos"/>
          <w:color w:val="1F4E79"/>
          <w:sz w:val="19"/>
        </w:rPr>
        <w:tab/>
        <w:t>139</w:t>
      </w:r>
    </w:p>
    <w:p>
      <w:pPr>
        <w:tabs>
          <w:tab w:pos="9432" w:val="right" w:leader="dot"/>
        </w:tabs>
        <w:spacing w:before="0" w:after="0" w:line="240" w:lineRule="auto"/>
        <w:ind w:left="216" w:hanging="216"/>
      </w:pPr>
      <w:hyperlink w:anchor="mg_toc_026" w:history="1">
        <w:r>
          <w:rPr>
            <w:color w:val="1F4E79"/>
            <w:u w:val="single"/>
            <w:rFonts w:ascii="Aptos" w:hAnsi="Aptos"/>
            <w:sz w:val="19"/>
          </w:rPr>
          <w:t>APPENDIX E: UCI OPERATIONALIZATION PACK (TIER 1-3)</w:t>
        </w:r>
      </w:hyperlink>
      <w:r>
        <w:rPr>
          <w:rFonts w:ascii="Aptos" w:hAnsi="Aptos"/>
          <w:color w:val="1F4E79"/>
          <w:sz w:val="19"/>
        </w:rPr>
        <w:tab/>
        <w:t>143</w:t>
      </w:r>
    </w:p>
    <w:p>
      <w:pPr>
        <w:tabs>
          <w:tab w:pos="9432" w:val="right" w:leader="dot"/>
        </w:tabs>
        <w:spacing w:before="0" w:after="0" w:line="240" w:lineRule="auto"/>
        <w:ind w:left="216" w:hanging="216"/>
      </w:pPr>
      <w:hyperlink w:anchor="mg_toc_027" w:history="1">
        <w:r>
          <w:rPr>
            <w:color w:val="1F4E79"/>
            <w:u w:val="single"/>
            <w:rFonts w:ascii="Aptos" w:hAnsi="Aptos"/>
            <w:sz w:val="19"/>
          </w:rPr>
          <w:t>APPENDIX F: FAILURE MODES AND ANTI-GAMING CONTROLS (v12.0)</w:t>
        </w:r>
      </w:hyperlink>
      <w:r>
        <w:rPr>
          <w:rFonts w:ascii="Aptos" w:hAnsi="Aptos"/>
          <w:color w:val="1F4E79"/>
          <w:sz w:val="19"/>
        </w:rPr>
        <w:tab/>
        <w:t>146</w:t>
      </w:r>
    </w:p>
    <w:p>
      <w:pPr>
        <w:tabs>
          <w:tab w:pos="9432" w:val="right" w:leader="dot"/>
        </w:tabs>
        <w:spacing w:before="0" w:after="0" w:line="240" w:lineRule="auto"/>
        <w:ind w:left="216" w:hanging="216"/>
      </w:pPr>
      <w:hyperlink w:anchor="mg_toc_028" w:history="1">
        <w:r>
          <w:rPr>
            <w:color w:val="1F4E79"/>
            <w:u w:val="single"/>
            <w:rFonts w:ascii="Aptos" w:hAnsi="Aptos"/>
            <w:sz w:val="19"/>
          </w:rPr>
          <w:t>APPENDIX G: SGP v8.5 INTEGRATION BINDING (NORMATIVE INTERFACE)</w:t>
        </w:r>
      </w:hyperlink>
      <w:r>
        <w:rPr>
          <w:rFonts w:ascii="Aptos" w:hAnsi="Aptos"/>
          <w:color w:val="1F4E79"/>
          <w:sz w:val="19"/>
        </w:rPr>
        <w:tab/>
        <w:t>148</w:t>
      </w:r>
    </w:p>
    <w:p>
      <w:pPr>
        <w:tabs>
          <w:tab w:pos="9432" w:val="right" w:leader="dot"/>
        </w:tabs>
        <w:spacing w:before="0" w:after="0" w:line="240" w:lineRule="auto"/>
        <w:ind w:left="216" w:hanging="216"/>
      </w:pPr>
      <w:hyperlink w:anchor="mg_toc_029" w:history="1">
        <w:r>
          <w:rPr>
            <w:color w:val="1F4E79"/>
            <w:u w:val="single"/>
            <w:rFonts w:ascii="Aptos" w:hAnsi="Aptos"/>
            <w:sz w:val="19"/>
          </w:rPr>
          <w:t>APPENDIX H: PCC TEMPLATE AND AUDIT FLAGS CANON PACK (TIER 2-3)</w:t>
        </w:r>
      </w:hyperlink>
      <w:r>
        <w:rPr>
          <w:rFonts w:ascii="Aptos" w:hAnsi="Aptos"/>
          <w:color w:val="1F4E79"/>
          <w:sz w:val="19"/>
        </w:rPr>
        <w:tab/>
        <w:t>152</w:t>
      </w:r>
    </w:p>
    <w:p>
      <w:pPr>
        <w:tabs>
          <w:tab w:pos="9432" w:val="right" w:leader="dot"/>
        </w:tabs>
        <w:spacing w:before="0" w:after="0" w:line="240" w:lineRule="auto"/>
        <w:ind w:left="216" w:hanging="216"/>
      </w:pPr>
      <w:hyperlink w:anchor="mg_toc_030" w:history="1">
        <w:r>
          <w:rPr>
            <w:color w:val="1F4E79"/>
            <w:u w:val="single"/>
            <w:rFonts w:ascii="Aptos" w:hAnsi="Aptos"/>
            <w:sz w:val="19"/>
          </w:rPr>
          <w:t>APPENDIX I: TIER-4 DESIGN TARGET (NOT CLAIMABLE IN THE CURRENT RELEASE)</w:t>
        </w:r>
      </w:hyperlink>
      <w:r>
        <w:rPr>
          <w:rFonts w:ascii="Aptos" w:hAnsi="Aptos"/>
          <w:color w:val="1F4E79"/>
          <w:sz w:val="19"/>
        </w:rPr>
        <w:tab/>
        <w:t>164</w:t>
      </w:r>
    </w:p>
    <w:p>
      <w:pPr>
        <w:tabs>
          <w:tab w:pos="9432" w:val="right" w:leader="dot"/>
        </w:tabs>
        <w:spacing w:before="0" w:after="0" w:line="240" w:lineRule="auto"/>
        <w:ind w:left="216" w:hanging="216"/>
      </w:pPr>
      <w:hyperlink w:anchor="mg_toc_031" w:history="1">
        <w:r>
          <w:rPr>
            <w:color w:val="1F4E79"/>
            <w:u w:val="single"/>
            <w:rFonts w:ascii="Aptos" w:hAnsi="Aptos"/>
            <w:sz w:val="19"/>
          </w:rPr>
          <w:t>APPENDIX J: VALIDATION PROTOCOL PACK</w:t>
        </w:r>
      </w:hyperlink>
      <w:r>
        <w:rPr>
          <w:rFonts w:ascii="Aptos" w:hAnsi="Aptos"/>
          <w:color w:val="1F4E79"/>
          <w:sz w:val="19"/>
        </w:rPr>
        <w:tab/>
        <w:t>165</w:t>
      </w:r>
    </w:p>
    <w:p>
      <w:pPr>
        <w:tabs>
          <w:tab w:pos="9432" w:val="right" w:leader="dot"/>
        </w:tabs>
        <w:spacing w:before="0" w:after="0" w:line="240" w:lineRule="auto"/>
        <w:ind w:left="216" w:hanging="216"/>
      </w:pPr>
      <w:hyperlink w:anchor="mg_toc_032" w:history="1">
        <w:r>
          <w:rPr>
            <w:color w:val="1F4E79"/>
            <w:u w:val="single"/>
            <w:rFonts w:ascii="Aptos" w:hAnsi="Aptos"/>
            <w:sz w:val="19"/>
          </w:rPr>
          <w:t>APPENDIX K: STARTER KERNEL COMPANION PACK (INFORMATIVE)</w:t>
        </w:r>
      </w:hyperlink>
      <w:r>
        <w:rPr>
          <w:rFonts w:ascii="Aptos" w:hAnsi="Aptos"/>
          <w:color w:val="1F4E79"/>
          <w:sz w:val="19"/>
        </w:rPr>
        <w:tab/>
        <w:t>167</w:t>
      </w:r>
    </w:p>
    <w:p>
      <w:pPr>
        <w:tabs>
          <w:tab w:pos="9432" w:val="right" w:leader="dot"/>
        </w:tabs>
        <w:spacing w:before="0" w:after="0" w:line="240" w:lineRule="auto"/>
        <w:ind w:left="216" w:hanging="216"/>
      </w:pPr>
      <w:hyperlink w:anchor="mg_toc_033" w:history="1">
        <w:r>
          <w:rPr>
            <w:color w:val="1F4E79"/>
            <w:u w:val="single"/>
            <w:rFonts w:ascii="Aptos" w:hAnsi="Aptos"/>
            <w:sz w:val="19"/>
          </w:rPr>
          <w:t>APPENDIX L: GLOSSARY (v12.0)</w:t>
        </w:r>
      </w:hyperlink>
      <w:r>
        <w:rPr>
          <w:rFonts w:ascii="Aptos" w:hAnsi="Aptos"/>
          <w:color w:val="1F4E79"/>
          <w:sz w:val="19"/>
        </w:rPr>
        <w:tab/>
        <w:t>168</w:t>
      </w:r>
    </w:p>
    <w:p>
      <w:pPr>
        <w:tabs>
          <w:tab w:pos="9432" w:val="right" w:leader="dot"/>
        </w:tabs>
        <w:spacing w:before="0" w:after="0" w:line="240" w:lineRule="auto"/>
        <w:ind w:left="216" w:hanging="216"/>
      </w:pPr>
      <w:hyperlink w:anchor="mg_toc_034" w:history="1">
        <w:r>
          <w:rPr>
            <w:color w:val="1F4E79"/>
            <w:u w:val="single"/>
            <w:rFonts w:ascii="Aptos" w:hAnsi="Aptos"/>
            <w:sz w:val="19"/>
          </w:rPr>
          <w:t>APPENDIX M: LINEAGE AND VERSION HISTORY (v12.6 CURRENT LINE; PRIOR LINES RETAINED) - INFORMATIVE</w:t>
        </w:r>
      </w:hyperlink>
      <w:r>
        <w:rPr>
          <w:rFonts w:ascii="Aptos" w:hAnsi="Aptos"/>
          <w:color w:val="1F4E79"/>
          <w:sz w:val="19"/>
        </w:rPr>
        <w:tab/>
        <w:t>173</w:t>
      </w:r>
    </w:p>
    <w:p>
      <w:pPr>
        <w:tabs>
          <w:tab w:pos="9432" w:val="right" w:leader="dot"/>
        </w:tabs>
        <w:spacing w:before="0" w:after="0" w:line="240" w:lineRule="auto"/>
        <w:ind w:left="216" w:hanging="216"/>
      </w:pPr>
      <w:hyperlink w:anchor="mg_toc_035" w:history="1">
        <w:r>
          <w:rPr>
            <w:color w:val="1F4E79"/>
            <w:u w:val="single"/>
            <w:rFonts w:ascii="Aptos" w:hAnsi="Aptos"/>
            <w:sz w:val="19"/>
          </w:rPr>
          <w:t>APPENDIX N: STEWARDSHIP PACK CANON (v12.0) - NORMATIVE</w:t>
        </w:r>
      </w:hyperlink>
      <w:r>
        <w:rPr>
          <w:rFonts w:ascii="Aptos" w:hAnsi="Aptos"/>
          <w:color w:val="1F4E79"/>
          <w:sz w:val="19"/>
        </w:rPr>
        <w:tab/>
        <w:t>177</w:t>
      </w:r>
    </w:p>
    <w:p>
      <w:pPr>
        <w:tabs>
          <w:tab w:pos="9432" w:val="right" w:leader="dot"/>
        </w:tabs>
        <w:spacing w:before="0" w:after="0" w:line="240" w:lineRule="auto"/>
        <w:ind w:left="216" w:hanging="216"/>
      </w:pPr>
      <w:hyperlink w:anchor="mg_toc_036" w:history="1">
        <w:r>
          <w:rPr>
            <w:color w:val="1F4E79"/>
            <w:u w:val="single"/>
            <w:rFonts w:ascii="Aptos" w:hAnsi="Aptos"/>
            <w:sz w:val="19"/>
          </w:rPr>
          <w:t>APPENDIX O: CONFORMANCE REFERENCE MAP (v12.0; Informative)</w:t>
        </w:r>
      </w:hyperlink>
      <w:r>
        <w:rPr>
          <w:rFonts w:ascii="Aptos" w:hAnsi="Aptos"/>
          <w:color w:val="1F4E79"/>
          <w:sz w:val="19"/>
        </w:rPr>
        <w:tab/>
        <w:t>181</w:t>
      </w:r>
    </w:p>
    <w:p>
      <w:pPr>
        <w:tabs>
          <w:tab w:pos="9432" w:val="right" w:leader="dot"/>
        </w:tabs>
        <w:spacing w:before="0" w:after="0" w:line="240" w:lineRule="auto"/>
        <w:ind w:left="216" w:hanging="216"/>
      </w:pPr>
      <w:hyperlink w:anchor="mg_toc_037" w:history="1">
        <w:r>
          <w:rPr>
            <w:color w:val="1F4E79"/>
            <w:u w:val="single"/>
            <w:rFonts w:ascii="Aptos" w:hAnsi="Aptos"/>
            <w:sz w:val="19"/>
          </w:rPr>
          <w:t>APPENDIX P: FULL TIER 2 WORKED RUN (Informative) - “Digital Rights &amp; Platform Governance”</w:t>
        </w:r>
      </w:hyperlink>
      <w:r>
        <w:rPr>
          <w:rFonts w:ascii="Aptos" w:hAnsi="Aptos"/>
          <w:color w:val="1F4E79"/>
          <w:sz w:val="19"/>
        </w:rPr>
        <w:tab/>
        <w:t>182</w:t>
      </w:r>
    </w:p>
    <w:p>
      <w:pPr>
        <w:tabs>
          <w:tab w:pos="9432" w:val="right" w:leader="dot"/>
        </w:tabs>
        <w:spacing w:before="0" w:after="0" w:line="240" w:lineRule="auto"/>
        <w:ind w:left="216" w:hanging="216"/>
      </w:pPr>
      <w:hyperlink w:anchor="mg_toc_038" w:history="1">
        <w:r>
          <w:rPr>
            <w:color w:val="1F4E79"/>
            <w:u w:val="single"/>
            <w:rFonts w:ascii="Aptos" w:hAnsi="Aptos"/>
            <w:sz w:val="19"/>
          </w:rPr>
          <w:t>APPENDIX Q: QUICK REFERENCE CARD (INFORMATIVE)</w:t>
        </w:r>
      </w:hyperlink>
      <w:r>
        <w:rPr>
          <w:rFonts w:ascii="Aptos" w:hAnsi="Aptos"/>
          <w:color w:val="1F4E79"/>
          <w:sz w:val="19"/>
        </w:rPr>
        <w:tab/>
        <w:t>193</w:t>
      </w:r>
    </w:p>
    <w:p>
      <w:pPr>
        <w:tabs>
          <w:tab w:pos="9432" w:val="right" w:leader="dot"/>
        </w:tabs>
        <w:spacing w:before="0" w:after="0" w:line="240" w:lineRule="auto"/>
        <w:ind w:left="216" w:hanging="216"/>
      </w:pPr>
      <w:hyperlink w:anchor="mg_toc_039" w:history="1">
        <w:r>
          <w:rPr>
            <w:color w:val="1F4E79"/>
            <w:u w:val="single"/>
            <w:rFonts w:ascii="Aptos" w:hAnsi="Aptos"/>
            <w:sz w:val="19"/>
          </w:rPr>
          <w:t>APPENDIX R: TIER 1–3 REFERENCE TEST VECTORS (NORMATIVE)</w:t>
        </w:r>
      </w:hyperlink>
      <w:r>
        <w:rPr>
          <w:rFonts w:ascii="Aptos" w:hAnsi="Aptos"/>
          <w:color w:val="1F4E79"/>
          <w:sz w:val="19"/>
        </w:rPr>
        <w:tab/>
        <w:t>197</w:t>
      </w:r>
    </w:p>
    <w:p>
      <w:pPr>
        <w:tabs>
          <w:tab w:pos="9432" w:val="right" w:leader="dot"/>
        </w:tabs>
        <w:spacing w:before="0" w:after="0" w:line="240" w:lineRule="auto"/>
        <w:ind w:left="216" w:hanging="216"/>
      </w:pPr>
      <w:hyperlink w:anchor="mg_toc_040" w:history="1">
        <w:r>
          <w:rPr>
            <w:color w:val="1F4E79"/>
            <w:u w:val="single"/>
            <w:rFonts w:ascii="Aptos" w:hAnsi="Aptos"/>
            <w:sz w:val="19"/>
          </w:rPr>
          <w:t>APPENDIX S: INTEROPERABILITY: RIPPLE.MD WRAPPED DEPLOYMENT ASSURANCE (INFORMATIVE)</w:t>
        </w:r>
      </w:hyperlink>
      <w:r>
        <w:rPr>
          <w:rFonts w:ascii="Aptos" w:hAnsi="Aptos"/>
          <w:color w:val="1F4E79"/>
          <w:sz w:val="19"/>
        </w:rPr>
        <w:tab/>
        <w:t>206</w:t>
      </w:r>
    </w:p>
    <w:p>
      <w:pPr>
        <w:tabs>
          <w:tab w:pos="9432" w:val="right" w:leader="dot"/>
        </w:tabs>
        <w:spacing w:before="0" w:after="0" w:line="240" w:lineRule="auto"/>
        <w:ind w:left="216" w:hanging="216"/>
      </w:pPr>
      <w:hyperlink w:anchor="mg_toc_041" w:history="1">
        <w:r>
          <w:rPr>
            <w:color w:val="1F4E79"/>
            <w:u w:val="single"/>
            <w:rFonts w:ascii="Aptos" w:hAnsi="Aptos"/>
            <w:sz w:val="19"/>
          </w:rPr>
          <w:t>Appendix T: Qualification Continuity for Consequence-Bearing Action (Normative for Tier 2-3 execution)</w:t>
        </w:r>
      </w:hyperlink>
      <w:r>
        <w:rPr>
          <w:rFonts w:ascii="Aptos" w:hAnsi="Aptos"/>
          <w:color w:val="1F4E79"/>
          <w:sz w:val="19"/>
        </w:rPr>
        <w:tab/>
        <w:t>207</w:t>
      </w:r>
    </w:p>
    <w:p>
      <w:pPr>
        <w:tabs>
          <w:tab w:pos="9432" w:val="right" w:leader="dot"/>
        </w:tabs>
        <w:spacing w:before="0" w:after="0" w:line="240" w:lineRule="auto"/>
        <w:ind w:left="216" w:hanging="216"/>
      </w:pPr>
      <w:hyperlink w:anchor="mg_toc_042" w:history="1">
        <w:r>
          <w:rPr>
            <w:color w:val="1F4E79"/>
            <w:u w:val="single"/>
            <w:rFonts w:ascii="Aptos" w:hAnsi="Aptos"/>
            <w:sz w:val="19"/>
          </w:rPr>
          <w:t>Appendix U: Outcome Observation and Requalification (Normative for consequence-bearing action)</w:t>
        </w:r>
      </w:hyperlink>
      <w:r>
        <w:rPr>
          <w:rFonts w:ascii="Aptos" w:hAnsi="Aptos"/>
          <w:color w:val="1F4E79"/>
          <w:sz w:val="19"/>
        </w:rPr>
        <w:tab/>
        <w:t>208</w:t>
      </w:r>
    </w:p>
    <w:p>
      <w:pPr>
        <w:tabs>
          <w:tab w:pos="9432" w:val="right" w:leader="dot"/>
        </w:tabs>
        <w:spacing w:before="0" w:after="0" w:line="240" w:lineRule="auto"/>
        <w:ind w:left="216" w:hanging="216"/>
      </w:pPr>
      <w:hyperlink w:anchor="mg_toc_043" w:history="1">
        <w:r>
          <w:rPr>
            <w:color w:val="1F4E79"/>
            <w:u w:val="single"/>
            <w:rFonts w:ascii="Aptos" w:hAnsi="Aptos"/>
            <w:sz w:val="19"/>
          </w:rPr>
          <w:t>APPENDIX V: Measurement Maturity and Deployment Context Hardening</w:t>
        </w:r>
      </w:hyperlink>
      <w:r>
        <w:rPr>
          <w:rFonts w:ascii="Aptos" w:hAnsi="Aptos"/>
          <w:color w:val="1F4E79"/>
          <w:sz w:val="19"/>
        </w:rPr>
        <w:tab/>
        <w:t>209</w:t>
      </w:r>
    </w:p>
    <w:p>
      <w:pPr>
        <w:tabs>
          <w:tab w:pos="9432" w:val="right" w:leader="dot"/>
        </w:tabs>
        <w:spacing w:before="0" w:after="0" w:line="240" w:lineRule="auto"/>
        <w:ind w:left="216" w:hanging="216"/>
      </w:pPr>
      <w:hyperlink w:anchor="mg_toc_044" w:history="1">
        <w:r>
          <w:rPr>
            <w:color w:val="1F4E79"/>
            <w:u w:val="single"/>
            <w:rFonts w:ascii="Aptos" w:hAnsi="Aptos"/>
            <w:sz w:val="19"/>
          </w:rPr>
          <w:t>APPENDIX W: SCHEMA OWNERSHIP, REGISTRIES, AND MACHINE-VERIFIABLE SURFACES</w:t>
        </w:r>
      </w:hyperlink>
      <w:r>
        <w:rPr>
          <w:rFonts w:ascii="Aptos" w:hAnsi="Aptos"/>
          <w:color w:val="1F4E79"/>
          <w:sz w:val="19"/>
        </w:rPr>
        <w:tab/>
        <w:t>212</w:t>
      </w:r>
    </w:p>
    <w:p>
      <w:pPr>
        <w:tabs>
          <w:tab w:pos="9432" w:val="right" w:leader="dot"/>
        </w:tabs>
        <w:spacing w:before="0" w:after="0" w:line="240" w:lineRule="auto"/>
        <w:ind w:left="216" w:hanging="216"/>
      </w:pPr>
      <w:hyperlink w:anchor="mg_toc_045" w:history="1">
        <w:r>
          <w:rPr>
            <w:color w:val="1F4E79"/>
            <w:u w:val="single"/>
            <w:rFonts w:ascii="Aptos" w:hAnsi="Aptos"/>
            <w:sz w:val="19"/>
          </w:rPr>
          <w:t>APPENDIX X: REFERENCE CALCULATOR, MACHINE VECTORS, AND PROOFPACK-PREP ROADMAP</w:t>
        </w:r>
      </w:hyperlink>
      <w:r>
        <w:rPr>
          <w:rFonts w:ascii="Aptos" w:hAnsi="Aptos"/>
          <w:color w:val="1F4E79"/>
          <w:sz w:val="19"/>
        </w:rPr>
        <w:tab/>
        <w:t>213</w:t>
      </w:r>
    </w:p>
    <w:p>
      <w:pPr>
        <w:tabs>
          <w:tab w:pos="9432" w:val="right" w:leader="dot"/>
        </w:tabs>
        <w:spacing w:before="0" w:after="0" w:line="240" w:lineRule="auto"/>
        <w:ind w:left="216" w:hanging="216"/>
      </w:pPr>
      <w:hyperlink w:anchor="mg_toc_046" w:history="1">
        <w:r>
          <w:rPr>
            <w:color w:val="1F4E79"/>
            <w:u w:val="single"/>
            <w:rFonts w:ascii="Aptos" w:hAnsi="Aptos"/>
            <w:sz w:val="19"/>
          </w:rPr>
          <w:t>Appendix Y: Precision Patch - Legitimacy, Evidence Status, Validation, and Adoption Profiles</w:t>
        </w:r>
      </w:hyperlink>
      <w:r>
        <w:rPr>
          <w:rFonts w:ascii="Aptos" w:hAnsi="Aptos"/>
          <w:color w:val="1F4E79"/>
          <w:sz w:val="19"/>
        </w:rPr>
        <w:tab/>
        <w:t>214</w:t>
      </w:r>
    </w:p>
    <w:p>
      <w:pPr>
        <w:tabs>
          <w:tab w:pos="9432" w:val="right" w:leader="dot"/>
        </w:tabs>
        <w:spacing w:before="0" w:after="0" w:line="240" w:lineRule="auto"/>
        <w:ind w:left="216" w:hanging="216"/>
      </w:pPr>
      <w:hyperlink w:anchor="mg_toc_047" w:history="1">
        <w:r>
          <w:rPr>
            <w:color w:val="1F4E79"/>
            <w:u w:val="single"/>
            <w:rFonts w:ascii="Aptos" w:hAnsi="Aptos"/>
            <w:sz w:val="19"/>
          </w:rPr>
          <w:t>Appendix Z: Integration-Hardening Addendum</w:t>
        </w:r>
      </w:hyperlink>
      <w:r>
        <w:rPr>
          <w:rFonts w:ascii="Aptos" w:hAnsi="Aptos"/>
          <w:color w:val="1F4E79"/>
          <w:sz w:val="19"/>
        </w:rPr>
        <w:tab/>
        <w:t>215</w:t>
      </w:r>
    </w:p>
    <w:p>
      <w:pPr>
        <w:tabs>
          <w:tab w:pos="9432" w:val="right" w:leader="dot"/>
        </w:tabs>
        <w:spacing w:before="0" w:after="0" w:line="240" w:lineRule="auto"/>
        <w:ind w:left="216" w:hanging="216"/>
      </w:pPr>
      <w:hyperlink w:anchor="mg_toc_048" w:history="1">
        <w:r>
          <w:rPr>
            <w:color w:val="1F4E79"/>
            <w:u w:val="single"/>
            <w:rFonts w:ascii="Aptos" w:hAnsi="Aptos"/>
            <w:sz w:val="19"/>
          </w:rPr>
          <w:t>APPENDIX AA: PACKAGE-CONTENT BOUNDARY AND TOOLING LINE SEPARATION (CARRIED FORWARD FROM v10.8 THROUGH v12.0)</w:t>
        </w:r>
      </w:hyperlink>
      <w:r>
        <w:rPr>
          <w:rFonts w:ascii="Aptos" w:hAnsi="Aptos"/>
          <w:color w:val="1F4E79"/>
          <w:sz w:val="19"/>
        </w:rPr>
        <w:tab/>
        <w:t>216</w:t>
      </w:r>
    </w:p>
    <w:p>
      <w:pPr>
        <w:tabs>
          <w:tab w:pos="9432" w:val="right" w:leader="dot"/>
        </w:tabs>
        <w:spacing w:before="0" w:after="0" w:line="240" w:lineRule="auto"/>
        <w:ind w:left="216" w:hanging="216"/>
      </w:pPr>
      <w:hyperlink w:anchor="mg_toc_049" w:history="1">
        <w:r>
          <w:rPr>
            <w:color w:val="1F4E79"/>
            <w:u w:val="single"/>
            <w:rFonts w:ascii="Aptos" w:hAnsi="Aptos"/>
            <w:sz w:val="19"/>
          </w:rPr>
          <w:t>APPENDIX AB: REFERENCE STRUCTURE PROTOCOL</w:t>
        </w:r>
      </w:hyperlink>
      <w:r>
        <w:rPr>
          <w:rFonts w:ascii="Aptos" w:hAnsi="Aptos"/>
          <w:color w:val="1F4E79"/>
          <w:sz w:val="19"/>
        </w:rPr>
        <w:tab/>
        <w:t>216</w:t>
      </w:r>
    </w:p>
    <w:p>
      <w:pPr>
        <w:tabs>
          <w:tab w:pos="9432" w:val="right" w:leader="dot"/>
        </w:tabs>
        <w:spacing w:before="0" w:after="0" w:line="240" w:lineRule="auto"/>
        <w:ind w:left="216" w:hanging="216"/>
      </w:pPr>
      <w:hyperlink w:anchor="mg_toc_050" w:history="1">
        <w:r>
          <w:rPr>
            <w:color w:val="1F4E79"/>
            <w:u w:val="single"/>
            <w:rFonts w:ascii="Aptos" w:hAnsi="Aptos"/>
            <w:sz w:val="19"/>
          </w:rPr>
          <w:t>APPENDIX AC: SPECIFICATION CONTRACT, RELEASE METADATA, AND CLAIM BOUNDARY</w:t>
        </w:r>
      </w:hyperlink>
      <w:r>
        <w:rPr>
          <w:rFonts w:ascii="Aptos" w:hAnsi="Aptos"/>
          <w:color w:val="1F4E79"/>
          <w:sz w:val="19"/>
        </w:rPr>
        <w:tab/>
        <w:t>218</w:t>
      </w:r>
    </w:p>
    <w:p>
      <w:pPr>
        <w:keepNext/>
        <w:spacing w:before="140" w:after="40"/>
      </w:pPr>
      <w:r>
        <w:rPr>
          <w:rFonts w:ascii="Aptos Display" w:hAnsi="Aptos Display"/>
          <w:b/>
          <w:color w:val="1F4E79"/>
          <w:sz w:val="20"/>
        </w:rPr>
        <w:t>PRESERVED CONTRACTS AND HARDENING APPENDICES</w:t>
      </w:r>
    </w:p>
    <w:p>
      <w:pPr>
        <w:tabs>
          <w:tab w:pos="9432" w:val="right" w:leader="dot"/>
        </w:tabs>
        <w:spacing w:before="0" w:after="0" w:line="240" w:lineRule="auto"/>
        <w:ind w:left="216" w:hanging="216"/>
      </w:pPr>
      <w:hyperlink w:anchor="mg_toc_051" w:history="1">
        <w:r>
          <w:rPr>
            <w:color w:val="1F4E79"/>
            <w:u w:val="single"/>
            <w:rFonts w:ascii="Aptos" w:hAnsi="Aptos"/>
            <w:sz w:val="19"/>
          </w:rPr>
          <w:t>CARRIED-FORWARD v10.8 HUMAN PLATEAU / CMIU CALIBRATION AND SGP v5.6 SYNCHRONIZATION NOTICE</w:t>
        </w:r>
      </w:hyperlink>
      <w:r>
        <w:rPr>
          <w:rFonts w:ascii="Aptos" w:hAnsi="Aptos"/>
          <w:color w:val="1F4E79"/>
          <w:sz w:val="19"/>
        </w:rPr>
        <w:tab/>
        <w:t>219</w:t>
      </w:r>
    </w:p>
    <w:p>
      <w:pPr>
        <w:tabs>
          <w:tab w:pos="9432" w:val="right" w:leader="dot"/>
        </w:tabs>
        <w:spacing w:before="0" w:after="0" w:line="240" w:lineRule="auto"/>
        <w:ind w:left="216" w:hanging="216"/>
      </w:pPr>
      <w:hyperlink w:anchor="mg_toc_052" w:history="1">
        <w:r>
          <w:rPr>
            <w:color w:val="1F4E79"/>
            <w:u w:val="single"/>
            <w:rFonts w:ascii="Aptos" w:hAnsi="Aptos"/>
            <w:sz w:val="19"/>
          </w:rPr>
          <w:t>SECTION 0: SPECIFICATION CONTRACT (NORMATIVE)</w:t>
        </w:r>
      </w:hyperlink>
      <w:r>
        <w:rPr>
          <w:rFonts w:ascii="Aptos" w:hAnsi="Aptos"/>
          <w:color w:val="1F4E79"/>
          <w:sz w:val="19"/>
        </w:rPr>
        <w:tab/>
        <w:t>222</w:t>
      </w:r>
    </w:p>
    <w:p>
      <w:pPr>
        <w:tabs>
          <w:tab w:pos="9432" w:val="right" w:leader="dot"/>
        </w:tabs>
        <w:spacing w:before="0" w:after="0" w:line="240" w:lineRule="auto"/>
        <w:ind w:left="216" w:hanging="216"/>
      </w:pPr>
      <w:hyperlink w:anchor="mg_toc_053" w:history="1">
        <w:r>
          <w:rPr>
            <w:color w:val="1F4E79"/>
            <w:u w:val="single"/>
            <w:rFonts w:ascii="Aptos" w:hAnsi="Aptos"/>
            <w:sz w:val="19"/>
          </w:rPr>
          <w:t>APPENDIX AD: 49-CELL WELFARE DICTIONARY (CANONICAL INTERPRETIVE REFERENCE)</w:t>
        </w:r>
      </w:hyperlink>
      <w:r>
        <w:rPr>
          <w:rFonts w:ascii="Aptos" w:hAnsi="Aptos"/>
          <w:color w:val="1F4E79"/>
          <w:sz w:val="19"/>
        </w:rPr>
        <w:tab/>
        <w:t>227</w:t>
      </w:r>
    </w:p>
    <w:p>
      <w:pPr>
        <w:tabs>
          <w:tab w:pos="9432" w:val="right" w:leader="dot"/>
        </w:tabs>
        <w:spacing w:before="0" w:after="0" w:line="240" w:lineRule="auto"/>
        <w:ind w:left="216" w:hanging="216"/>
      </w:pPr>
      <w:hyperlink w:anchor="mg_toc_054" w:history="1">
        <w:r>
          <w:rPr>
            <w:color w:val="1F4E79"/>
            <w:u w:val="single"/>
            <w:rFonts w:ascii="Aptos" w:hAnsi="Aptos"/>
            <w:sz w:val="19"/>
          </w:rPr>
          <w:t>APPENDIX AE: Carried-Forward v10.8 Layer-Discipline, Falsification, and Adaptive Reserve Addendum (Preserved through v12.6)</w:t>
        </w:r>
      </w:hyperlink>
      <w:r>
        <w:rPr>
          <w:rFonts w:ascii="Aptos" w:hAnsi="Aptos"/>
          <w:color w:val="1F4E79"/>
          <w:sz w:val="19"/>
        </w:rPr>
        <w:tab/>
        <w:t>248</w:t>
      </w:r>
    </w:p>
    <w:p>
      <w:pPr>
        <w:tabs>
          <w:tab w:pos="9432" w:val="right" w:leader="dot"/>
        </w:tabs>
        <w:spacing w:before="0" w:after="0" w:line="240" w:lineRule="auto"/>
        <w:ind w:left="216" w:hanging="216"/>
      </w:pPr>
      <w:hyperlink w:anchor="mg_toc_055" w:history="1">
        <w:r>
          <w:rPr>
            <w:color w:val="1F4E79"/>
            <w:u w:val="single"/>
            <w:rFonts w:ascii="Aptos" w:hAnsi="Aptos"/>
            <w:sz w:val="19"/>
          </w:rPr>
          <w:t>APPENDIX AF: Decision Verdict Semantics, Projection Freeze, Closure Status, and Authority-Selection Separation</w:t>
        </w:r>
      </w:hyperlink>
      <w:r>
        <w:rPr>
          <w:rFonts w:ascii="Aptos" w:hAnsi="Aptos"/>
          <w:color w:val="1F4E79"/>
          <w:sz w:val="19"/>
        </w:rPr>
        <w:tab/>
        <w:t>250</w:t>
      </w:r>
    </w:p>
    <w:p>
      <w:pPr>
        <w:tabs>
          <w:tab w:pos="9432" w:val="right" w:leader="dot"/>
        </w:tabs>
        <w:spacing w:before="0" w:after="0" w:line="240" w:lineRule="auto"/>
        <w:ind w:left="216" w:hanging="216"/>
      </w:pPr>
      <w:hyperlink w:anchor="mg_toc_056" w:history="1">
        <w:r>
          <w:rPr>
            <w:color w:val="1F4E79"/>
            <w:u w:val="single"/>
            <w:rFonts w:ascii="Aptos" w:hAnsi="Aptos"/>
            <w:sz w:val="19"/>
          </w:rPr>
          <w:t>APPENDIX AG: CARRIED-FORWARD v10.8 REALITY GROUNDING AND LEAN CASCADE PATCH (CURRENTLY PRESERVED THROUGH v12.6)</w:t>
        </w:r>
      </w:hyperlink>
      <w:r>
        <w:rPr>
          <w:rFonts w:ascii="Aptos" w:hAnsi="Aptos"/>
          <w:color w:val="1F4E79"/>
          <w:sz w:val="19"/>
        </w:rPr>
        <w:tab/>
        <w:t>252</w:t>
      </w:r>
    </w:p>
    <w:p>
      <w:pPr>
        <w:tabs>
          <w:tab w:pos="9432" w:val="right" w:leader="dot"/>
        </w:tabs>
        <w:spacing w:before="0" w:after="0" w:line="240" w:lineRule="auto"/>
        <w:ind w:left="216" w:hanging="216"/>
      </w:pPr>
      <w:hyperlink w:anchor="mg_toc_057" w:history="1">
        <w:r>
          <w:rPr>
            <w:color w:val="1F4E79"/>
            <w:u w:val="single"/>
            <w:rFonts w:ascii="Aptos" w:hAnsi="Aptos"/>
            <w:sz w:val="19"/>
          </w:rPr>
          <w:t>APPENDIX AH: CATEGORY GROUNDING AND PRIMITIVE AUDIT PROTOCOL</w:t>
        </w:r>
      </w:hyperlink>
      <w:r>
        <w:rPr>
          <w:rFonts w:ascii="Aptos" w:hAnsi="Aptos"/>
          <w:color w:val="1F4E79"/>
          <w:sz w:val="19"/>
        </w:rPr>
        <w:tab/>
        <w:t>253</w:t>
      </w:r>
    </w:p>
    <w:p>
      <w:pPr>
        <w:tabs>
          <w:tab w:pos="9432" w:val="right" w:leader="dot"/>
        </w:tabs>
        <w:spacing w:before="0" w:after="0" w:line="240" w:lineRule="auto"/>
        <w:ind w:left="216" w:hanging="216"/>
      </w:pPr>
      <w:hyperlink w:anchor="mg_toc_058" w:history="1">
        <w:r>
          <w:rPr>
            <w:color w:val="1F4E79"/>
            <w:u w:val="single"/>
            <w:rFonts w:ascii="Aptos" w:hAnsi="Aptos"/>
            <w:sz w:val="19"/>
          </w:rPr>
          <w:t>APPENDIX AI: TERM DISCRIMINATION AND SEMANTIC STABILITY PROTOCOL</w:t>
        </w:r>
      </w:hyperlink>
      <w:r>
        <w:rPr>
          <w:rFonts w:ascii="Aptos" w:hAnsi="Aptos"/>
          <w:color w:val="1F4E79"/>
          <w:sz w:val="19"/>
        </w:rPr>
        <w:tab/>
        <w:t>256</w:t>
      </w:r>
    </w:p>
    <w:p>
      <w:pPr>
        <w:tabs>
          <w:tab w:pos="9432" w:val="right" w:leader="dot"/>
        </w:tabs>
        <w:spacing w:before="0" w:after="0" w:line="240" w:lineRule="auto"/>
        <w:ind w:left="216" w:hanging="216"/>
      </w:pPr>
      <w:hyperlink w:anchor="mg_toc_059" w:history="1">
        <w:r>
          <w:rPr>
            <w:color w:val="1F4E79"/>
            <w:u w:val="single"/>
            <w:rFonts w:ascii="Aptos" w:hAnsi="Aptos"/>
            <w:sz w:val="19"/>
          </w:rPr>
          <w:t>Appendix AJ: Public Release Hardening Addendum (v12.0)</w:t>
        </w:r>
      </w:hyperlink>
      <w:r>
        <w:rPr>
          <w:rFonts w:ascii="Aptos" w:hAnsi="Aptos"/>
          <w:color w:val="1F4E79"/>
          <w:sz w:val="19"/>
        </w:rPr>
        <w:tab/>
        <w:t>260</w:t>
      </w:r>
    </w:p>
    <w:p>
      <w:pPr>
        <w:tabs>
          <w:tab w:pos="9432" w:val="right" w:leader="dot"/>
        </w:tabs>
        <w:spacing w:before="0" w:after="0" w:line="240" w:lineRule="auto"/>
        <w:ind w:left="216" w:hanging="216"/>
      </w:pPr>
      <w:hyperlink w:anchor="mg_toc_060" w:history="1">
        <w:r>
          <w:rPr>
            <w:color w:val="1F4E79"/>
            <w:u w:val="single"/>
            <w:rFonts w:ascii="Aptos" w:hAnsi="Aptos"/>
            <w:sz w:val="19"/>
          </w:rPr>
          <w:t>Appendix AK: Computability vs Realizability Bridge</w:t>
        </w:r>
      </w:hyperlink>
      <w:r>
        <w:rPr>
          <w:rFonts w:ascii="Aptos" w:hAnsi="Aptos"/>
          <w:color w:val="1F4E79"/>
          <w:sz w:val="19"/>
        </w:rPr>
        <w:tab/>
        <w:t>262</w:t>
      </w:r>
    </w:p>
    <w:p>
      <w:pPr>
        <w:tabs>
          <w:tab w:pos="9432" w:val="right" w:leader="dot"/>
        </w:tabs>
        <w:spacing w:before="0" w:after="0" w:line="240" w:lineRule="auto"/>
        <w:ind w:left="216" w:hanging="216"/>
      </w:pPr>
      <w:hyperlink w:anchor="mg_toc_061" w:history="1">
        <w:r>
          <w:rPr>
            <w:color w:val="1F4E79"/>
            <w:u w:val="single"/>
            <w:rFonts w:ascii="Aptos" w:hAnsi="Aptos"/>
            <w:sz w:val="19"/>
          </w:rPr>
          <w:t>Appendix AL: Source-Coupling Integrity and Generative-Source Traceability (Normative Hardening Patch)</w:t>
        </w:r>
      </w:hyperlink>
      <w:r>
        <w:rPr>
          <w:rFonts w:ascii="Aptos" w:hAnsi="Aptos"/>
          <w:color w:val="1F4E79"/>
          <w:sz w:val="19"/>
        </w:rPr>
        <w:tab/>
        <w:t>263</w:t>
      </w:r>
    </w:p>
    <w:p>
      <w:pPr>
        <w:tabs>
          <w:tab w:pos="9432" w:val="right" w:leader="dot"/>
        </w:tabs>
        <w:spacing w:before="0" w:after="0" w:line="240" w:lineRule="auto"/>
        <w:ind w:left="216" w:hanging="216"/>
      </w:pPr>
      <w:hyperlink w:anchor="mg_toc_062" w:history="1">
        <w:r>
          <w:rPr>
            <w:color w:val="1F4E79"/>
            <w:u w:val="single"/>
            <w:rFonts w:ascii="Aptos" w:hAnsi="Aptos"/>
            <w:sz w:val="19"/>
          </w:rPr>
          <w:t>Appendix AM: Physical/Causal Admissibility Evidence Profile (Normative Hardening Patch)</w:t>
        </w:r>
      </w:hyperlink>
      <w:r>
        <w:rPr>
          <w:rFonts w:ascii="Aptos" w:hAnsi="Aptos"/>
          <w:color w:val="1F4E79"/>
          <w:sz w:val="19"/>
        </w:rPr>
        <w:tab/>
        <w:t>264</w:t>
      </w:r>
    </w:p>
    <w:p>
      <w:pPr>
        <w:tabs>
          <w:tab w:pos="9432" w:val="right" w:leader="dot"/>
        </w:tabs>
        <w:spacing w:before="0" w:after="0" w:line="240" w:lineRule="auto"/>
        <w:ind w:left="216" w:hanging="216"/>
      </w:pPr>
      <w:hyperlink w:anchor="mg_toc_063" w:history="1">
        <w:r>
          <w:rPr>
            <w:color w:val="1F4E79"/>
            <w:u w:val="single"/>
            <w:rFonts w:ascii="Aptos" w:hAnsi="Aptos"/>
            <w:sz w:val="19"/>
          </w:rPr>
          <w:t>Appendix AN: Methodological Falsifiability and Dependency Integrity Standard (Normative Hardening Patch)</w:t>
        </w:r>
      </w:hyperlink>
      <w:r>
        <w:rPr>
          <w:rFonts w:ascii="Aptos" w:hAnsi="Aptos"/>
          <w:color w:val="1F4E79"/>
          <w:sz w:val="19"/>
        </w:rPr>
        <w:tab/>
        <w:t>265</w:t>
      </w:r>
    </w:p>
    <w:p>
      <w:pPr>
        <w:tabs>
          <w:tab w:pos="9432" w:val="right" w:leader="dot"/>
        </w:tabs>
        <w:spacing w:before="0" w:after="0" w:line="240" w:lineRule="auto"/>
        <w:ind w:left="216" w:hanging="216"/>
      </w:pPr>
      <w:hyperlink w:anchor="mg_toc_064" w:history="1">
        <w:r>
          <w:rPr>
            <w:color w:val="1F4E79"/>
            <w:u w:val="single"/>
            <w:rFonts w:ascii="Aptos" w:hAnsi="Aptos"/>
            <w:sz w:val="19"/>
          </w:rPr>
          <w:t>Appendix AO: Physical Execution Boundary (Normative Hardening Patch)</w:t>
        </w:r>
      </w:hyperlink>
      <w:r>
        <w:rPr>
          <w:rFonts w:ascii="Aptos" w:hAnsi="Aptos"/>
          <w:color w:val="1F4E79"/>
          <w:sz w:val="19"/>
        </w:rPr>
        <w:tab/>
        <w:t>266</w:t>
      </w:r>
    </w:p>
    <w:p>
      <w:pPr>
        <w:tabs>
          <w:tab w:pos="9432" w:val="right" w:leader="dot"/>
        </w:tabs>
        <w:spacing w:before="0" w:after="0" w:line="240" w:lineRule="auto"/>
        <w:ind w:left="216" w:hanging="216"/>
      </w:pPr>
      <w:hyperlink w:anchor="mg_toc_065" w:history="1">
        <w:r>
          <w:rPr>
            <w:color w:val="1F4E79"/>
            <w:u w:val="single"/>
            <w:rFonts w:ascii="Aptos" w:hAnsi="Aptos"/>
            <w:sz w:val="19"/>
          </w:rPr>
          <w:t>APPENDIX AP: CURRENT RULES-ONLY NAVIGATION (v12.6) - INFORMATIVE</w:t>
        </w:r>
      </w:hyperlink>
      <w:r>
        <w:rPr>
          <w:rFonts w:ascii="Aptos" w:hAnsi="Aptos"/>
          <w:color w:val="1F4E79"/>
          <w:sz w:val="19"/>
        </w:rPr>
        <w:tab/>
        <w:t>267</w:t>
      </w:r>
    </w:p>
    <w:p>
      <w:pPr>
        <w:tabs>
          <w:tab w:pos="9432" w:val="right" w:leader="dot"/>
        </w:tabs>
        <w:spacing w:before="0" w:after="0" w:line="240" w:lineRule="auto"/>
        <w:ind w:left="216" w:hanging="216"/>
      </w:pPr>
      <w:hyperlink w:anchor="mg_toc_066" w:history="1">
        <w:r>
          <w:rPr>
            <w:color w:val="1F4E79"/>
            <w:u w:val="single"/>
            <w:rFonts w:ascii="Aptos" w:hAnsi="Aptos"/>
            <w:sz w:val="19"/>
          </w:rPr>
          <w:t>APPENDIX AQ: CURRENT CANONICAL MACHINE-STATE AND MATURITY CONTRACT (v12.6) - NORMATIVE INTERFACE</w:t>
        </w:r>
      </w:hyperlink>
      <w:r>
        <w:rPr>
          <w:rFonts w:ascii="Aptos" w:hAnsi="Aptos"/>
          <w:color w:val="1F4E79"/>
          <w:sz w:val="19"/>
        </w:rPr>
        <w:tab/>
        <w:t>268</w:t>
      </w:r>
    </w:p>
    <w:p>
      <w:pPr>
        <w:tabs>
          <w:tab w:pos="9432" w:val="right" w:leader="dot"/>
        </w:tabs>
        <w:spacing w:before="0" w:after="0" w:line="240" w:lineRule="auto"/>
        <w:ind w:left="216" w:hanging="216"/>
      </w:pPr>
      <w:hyperlink w:anchor="mg_toc_067" w:history="1">
        <w:r>
          <w:rPr>
            <w:color w:val="1F4E79"/>
            <w:u w:val="single"/>
            <w:rFonts w:ascii="Aptos" w:hAnsi="Aptos"/>
            <w:sz w:val="19"/>
          </w:rPr>
          <w:t>APPENDIX AQ-1: CONFIGURATION-BOUND ASSURANCE AND READER NAVIGATION (CURRENT)</w:t>
        </w:r>
      </w:hyperlink>
      <w:r>
        <w:rPr>
          <w:rFonts w:ascii="Aptos" w:hAnsi="Aptos"/>
          <w:color w:val="1F4E79"/>
          <w:sz w:val="19"/>
        </w:rPr>
        <w:tab/>
        <w:t>269</w:t>
      </w:r>
    </w:p>
    <w:p>
      <w:pPr>
        <w:tabs>
          <w:tab w:pos="9432" w:val="right" w:leader="dot"/>
        </w:tabs>
        <w:spacing w:before="0" w:after="0" w:line="240" w:lineRule="auto"/>
        <w:ind w:left="216" w:hanging="216"/>
      </w:pPr>
      <w:hyperlink w:anchor="mg_toc_068" w:history="1">
        <w:r>
          <w:rPr>
            <w:color w:val="1F4E79"/>
            <w:u w:val="single"/>
            <w:rFonts w:ascii="Aptos" w:hAnsi="Aptos"/>
            <w:sz w:val="19"/>
          </w:rPr>
          <w:t>APPENDIX AR: VERSION HISTORY AND MIGRATION NOTES (v12.6) - INFORMATIVE</w:t>
        </w:r>
      </w:hyperlink>
      <w:r>
        <w:rPr>
          <w:rFonts w:ascii="Aptos" w:hAnsi="Aptos"/>
          <w:color w:val="1F4E79"/>
          <w:sz w:val="19"/>
        </w:rPr>
        <w:tab/>
        <w:t>273</w:t>
      </w:r>
    </w:p>
    <w:p>
      <w:pPr>
        <w:tabs>
          <w:tab w:pos="9432" w:val="right" w:leader="dot"/>
        </w:tabs>
        <w:spacing w:before="0" w:after="0" w:line="240" w:lineRule="auto"/>
        <w:ind w:left="216" w:hanging="216"/>
      </w:pPr>
      <w:hyperlink w:anchor="mg_toc_069" w:history="1">
        <w:r>
          <w:rPr>
            <w:color w:val="1F4E79"/>
            <w:u w:val="single"/>
            <w:rFonts w:ascii="Aptos" w:hAnsi="Aptos"/>
            <w:sz w:val="19"/>
          </w:rPr>
          <w:t>APPENDIX AX: NORMATIVE AND CLAIM-AUTHORITY CLARIFICATION PATCH</w:t>
        </w:r>
      </w:hyperlink>
      <w:r>
        <w:rPr>
          <w:rFonts w:ascii="Aptos" w:hAnsi="Aptos"/>
          <w:color w:val="1F4E79"/>
          <w:sz w:val="19"/>
        </w:rPr>
        <w:tab/>
        <w:t>275</w:t>
      </w:r>
    </w:p>
    <w:p>
      <w:pPr>
        <w:keepNext/>
        <w:spacing w:before="140" w:after="40"/>
      </w:pPr>
      <w:r>
        <w:rPr>
          <w:rFonts w:ascii="Aptos Display" w:hAnsi="Aptos Display"/>
          <w:b/>
          <w:color w:val="1F4E79"/>
          <w:sz w:val="20"/>
        </w:rPr>
        <w:t>COMPLETION</w:t>
      </w:r>
    </w:p>
    <w:p>
      <w:pPr>
        <w:tabs>
          <w:tab w:pos="9432" w:val="right" w:leader="dot"/>
        </w:tabs>
        <w:spacing w:before="0" w:after="0" w:line="240" w:lineRule="auto"/>
        <w:ind w:left="216" w:hanging="216"/>
      </w:pPr>
      <w:hyperlink w:anchor="mg_toc_070" w:history="1">
        <w:r>
          <w:rPr>
            <w:color w:val="1F4E79"/>
            <w:u w:val="single"/>
            <w:rFonts w:ascii="Aptos" w:hAnsi="Aptos"/>
            <w:sz w:val="19"/>
          </w:rPr>
          <w:t>FINAL DOCUMENT COMPLETION STATEMENT</w:t>
        </w:r>
      </w:hyperlink>
      <w:r>
        <w:rPr>
          <w:rFonts w:ascii="Aptos" w:hAnsi="Aptos"/>
          <w:color w:val="1F4E79"/>
          <w:sz w:val="19"/>
        </w:rPr>
        <w:tab/>
        <w:t>277</w:t>
      </w:r>
    </w:p>
    <w:p>
      <w:pPr>
        <w:pStyle w:val="Heading1"/>
        <w:pageBreakBefore/>
      </w:pPr>
      <w:bookmarkStart w:id="765" w:name="mg_toc_001"/>
      <w:r>
        <w:rPr>
          <w:bCs/>
          <w:b/>
        </w:rPr>
        <w:t xml:space="preserve">SECTION 1: INTRODUCTION: THE NEED FOR A GENERAL-PURPOSE ETHICAL OPERATING SYSTEM</w:t>
      </w:r>
      <w:bookmarkEnd w:id="765"/>
    </w:p>
    <w:bookmarkStart w:id="22" w:name="X76a6881de1c44099d93978401886149c76de9c4"/>
    <w:p>
      <w:pPr>
        <w:pStyle w:val="Heading2"/>
      </w:pPr>
      <w:r>
        <w:rPr>
          <w:bCs/>
          <w:b/>
        </w:rPr>
        <w:t xml:space="preserve">1.1 Alignment Failures Across Scales</w:t>
      </w:r>
    </w:p>
    <w:p>
      <w:pPr>
        <w:pStyle w:val="FirstParagraph"/>
      </w:pPr>
      <w:r>
        <w:t xml:space="preserve">Contemporary societies operate within a tightly coupled, high-dimensional environment where climate dynamics, global supply chains, digital communication networks, financial systems, and emerging artificial intelligence systems interact in ways that increasingly resist prediction or governance. Decisions taken at one organizational scale propagate rapidly through multiple layers of human and ecological organization, generating consequences that conventional decision frameworks fail to anticipate or manage (Meadows, 2008; Newman, 2010; Steffen et al., 2015). In this context, alignment is not exclusively an artificial intelligence problem. It spans multiple domains: aligning machine systems with human purposes and control (Russell, 2019), preventing catastrophic failure modes that could foreclose long-run human potential (Ord, 2020), and maintaining human activity within the safe and just Earth-system boundaries required for durable flourishing (Rockström et al., 2009, 2023). RippleLogic addresses this as a unified governance problem rather than as three isolated challenges.</w:t>
      </w:r>
    </w:p>
    <w:p>
      <w:pPr>
        <w:pStyle w:val="BodyText"/>
      </w:pPr>
      <w:r>
        <w:t xml:space="preserve">Civilizational target and method standard (Informative)</w:t>
      </w:r>
    </w:p>
    <w:p>
      <w:pPr>
        <w:pStyle w:val="BodyText"/>
      </w:pPr>
      <w:r>
        <w:t xml:space="preserve">Target. Protect the floor for all intelligences, bound catastrophic tail-risk, and expand long-run flourishing across the operational union stack.</w:t>
      </w:r>
    </w:p>
    <w:p>
      <w:pPr>
        <w:pStyle w:val="BodyText"/>
      </w:pPr>
      <w:r>
        <w:t xml:space="preserve">Method standard. A decision protocol is governance-grade only if it is auditable, reproducible, rights-respecting, tail-risk aware, methodologically falsifiable or revision-triggered at material claim points, dependency-explicit, and robust to Goodhart and adversarial pressure.</w:t>
      </w:r>
    </w:p>
    <w:bookmarkEnd w:id="22"/>
    <w:bookmarkStart w:id="23" w:name="Xa4c5dc176633396b02558bd324ce09cfdc00634"/>
    <w:p>
      <w:pPr>
        <w:pStyle w:val="Heading2"/>
      </w:pPr>
      <w:r>
        <w:rPr>
          <w:bCs/>
          <w:b/>
        </w:rPr>
        <w:t xml:space="preserve">1.2 The Alignment Trilemma (Coupled Failure Modes)</w:t>
      </w:r>
    </w:p>
    <w:p>
      <w:pPr>
        <w:pStyle w:val="FirstParagraph"/>
      </w:pPr>
      <w:r>
        <w:t xml:space="preserve">Existing decision frameworks exhibit three recurring failure modes that together constitute the alignment trilemma:</w:t>
      </w:r>
    </w:p>
    <w:p>
      <w:pPr>
        <w:pStyle w:val="BodyText"/>
      </w:pPr>
      <w:r>
        <w:t xml:space="preserve">Failure Mode A: Scalarization of Value</w:t>
      </w:r>
    </w:p>
    <w:p>
      <w:pPr>
        <w:pStyle w:val="BodyText"/>
      </w:pPr>
      <w:r>
        <w:t xml:space="preserve">Many decision methods collapse plural values into a single metric (expected utility, GDP, cost-benefit net present value). This can enable “moral laundering”: severe harms to some unions are permitted when offset by gains elsewhere. Arrow’s (1963) impossibility theorem establishes an impossibility result for social-welfare functions under a specific set of aggregation conditions; it does not show that every multidimensional aggregation method is unfair. RippleLogic therefore treats aggregation as a bounded ranking instrument after rights, ruin, and structural-viability qualification, not as a complete theory of justice.</w:t>
      </w:r>
    </w:p>
    <w:p>
      <w:pPr>
        <w:pStyle w:val="BodyText"/>
      </w:pPr>
      <w:r>
        <w:t xml:space="preserve">Failure Mode B: Tail-Risk Blindness</w:t>
      </w:r>
    </w:p>
    <w:p>
      <w:pPr>
        <w:pStyle w:val="BodyText"/>
      </w:pPr>
      <w:r>
        <w:t xml:space="preserve">Expected-value reasoning can underweight low-probability, high-severity outcomes when probabilities, severity, irreversibility, dependence, or model uncertainty are poorly represented. Catastrophic outcomes can eliminate future choice; ordinary gains therefore should not be treated as symmetric compensation for poorly bounded ruin exposure (Taleb, 2012). Coherent risk measures such as CVaR improve tail-risk handling within a declared scenario model, but they do not prove that every catastrophic pathway has been identified (Artzner et al., 1999; Rockafellar &amp; Uryasev, 2000). Climate tipping points (Lenton et al., 2008), pandemic risks, and AI misalignment illustrate why a separate tail-risk layer is required (IPCC, 2023; Bostrom, 2014).</w:t>
      </w:r>
    </w:p>
    <w:p>
      <w:pPr>
        <w:pStyle w:val="BodyText"/>
      </w:pPr>
      <w:r>
        <w:t xml:space="preserve">Failure Mode C: Specification Gaming (Goodhart Vulnerability)</w:t>
      </w:r>
    </w:p>
    <w:p>
      <w:pPr>
        <w:pStyle w:val="BodyText"/>
      </w:pPr>
      <w:r>
        <w:t xml:space="preserve">When metrics become targets under pressure, they are gamed. Optimization exploits proxies while degrading the intended outcome (Goodhart, 1984; Manheim &amp; Garrabrant, 2018). This appears in institutional governance, where institutions optimize visible indicators while displacing underlying welfare, and in AI reward optimization, where systems exploit proxy objectives under strong optimization pressure (Amodei et al., 2016).</w:t>
      </w:r>
    </w:p>
    <w:p>
      <w:pPr>
        <w:pStyle w:val="BodyText"/>
      </w:pPr>
      <w:r>
        <w:t xml:space="preserve">RippleLogic treats this not as a peripheral measurement problem but as a structural governance hazard. The framework is designed to resist specification gaming by separating admissibility from ranking. Rights protection is enforced through the Non-Compensatory Rights Constraint over the canonical rights-coverage set, catastrophic downside is separately gated through the Tail-Risk Constraint, and pathological cross-scale degradation is checked through containment before welfare ranking begins. An option therefore cannot compensate for a rights-floor breach, catastrophic tail exposure, or containment failure by achieving a higher downstream welfare score.</w:t>
      </w:r>
    </w:p>
    <w:p>
      <w:pPr>
        <w:pStyle w:val="BodyText"/>
      </w:pPr>
      <w:r>
        <w:t xml:space="preserve">This architecture matters because Goodhart-type failure thrives where optimization is scalar, fungible, and weakly constrained. RippleLogic instead combines a 49-cell welfare matrix for welfare evaluation with an 8-right sparse rights-coverage system comprising 70 protected right-to-cell mappings, with overlapping welfare cells where more than one right applies. Harms therefore cannot simply be averaged away across unions or dimensions. A localized protected loss remains visible at the mapped protection point where it occurs.</w:t>
      </w:r>
    </w:p>
    <w:p>
      <w:pPr>
        <w:pStyle w:val="BodyText"/>
      </w:pPr>
      <w:r>
        <w:t xml:space="preserve">Practical Local Scope Scoring does not weaken this defense. PLSS operates only within residual welfare ranking after admissibility has already been secured. It allows practical local attention without relaxing rights floors, tail-risk constraints, or containment requirements. In this sense, RippleLogic treats Goodhart’s Law as a boundary-crossing failure of optimization and responds with layered structural safeguards rather than with a single corrective metric.</w:t>
      </w:r>
    </w:p>
    <w:p>
      <w:pPr>
        <w:pStyle w:val="BodyText"/>
      </w:pPr>
      <w:r>
        <w:t xml:space="preserve">Coupled Failure</w:t>
      </w:r>
    </w:p>
    <w:p>
      <w:pPr>
        <w:pStyle w:val="BodyText"/>
      </w:pPr>
      <w:r>
        <w:t xml:space="preserve">These three failure modes interact and amplify each other. Scalarization enables tail-risk blindness (catastrophe can be traded for ordinary benefit), tail-risk blindness creates exploitable blind spots, and specification gaming undermines attempts to “patch” either problem by shifting optimization pressure. Solving one in isolation is insufficient.</w:t>
      </w:r>
    </w:p>
    <w:p>
      <w:pPr>
        <w:pStyle w:val="BodyText"/>
      </w:pPr>
      <w:r>
        <w:t xml:space="preserve">Boundary-gaming note. Because lexicographic gates reduce scalar Goodharting, adversarial pressure can shift upstream toward boundary definitions, stakeholder inclusion, subgroup mapping, scenario probabilities, threshold governance, evidence sufficiency, and scope declarations; Appendix F.5 specifies the required anti-gaming disclosure and review discipline.</w:t>
      </w:r>
    </w:p>
    <w:p>
      <w:pPr>
        <w:pStyle w:val="BodyText"/>
      </w:pPr>
      <w:r>
        <w:t xml:space="preserve">Category-gaming note. Because RippleLogic blocks several downstream scalarization failures, adversarial and institutional pressure can shift further upstream toward category choice, definition boundaries, reference structures, and metric formation. A run therefore MUST NOT treat inherited labels, dashboard categories, legal labels, benchmark names, model-generated descriptions, or institutional terms as valid merely because they are available. When a category materially affects rights, tail risk, containment, SGP interpretation, authority, conformance, or public claims, the category must be grounded inside Reality Grounding before the run relies on it.</w:t>
      </w:r>
    </w:p>
    <w:p>
      <w:pPr>
        <w:pStyle w:val="BodyText"/>
      </w:pPr>
      <w:r>
        <w:t>Term-discrimination note. A material term must not borrow authority from a neighboring term. Permission is not admissibility; monitoring is not control; compliance is not correctness; certification is not validity; automation alone does not establish autonomy; protection is not authority; selected is not executable; and score is not truth. When term collapse would affect a gate, claim, authority state, or execution state, Term Discrimination is required inside Category Grounding.</w:t>
      </w:r>
    </w:p>
    <w:p>
      <w:pPr>
        <w:pStyle w:val="BodyText"/>
      </w:pPr>
      <w:r>
        <w:t xml:space="preserve">PLSS clarification (Informative). A further practical failure appears when multi-scope frameworks oscillate between false universality, informal narrowing, and flattened aggregation. False universality treats every decision as though all seven scopes are equally active optimization targets. Informal narrowing quietly drops distant scopes when full evaluation becomes burdensome. Flattened aggregation hides where benefits and harms actually land by blending impacts into a single welfare bucket. RippleLogic v12.0 carries forward the v10.8 PLSS clarification to address this tension through Section 10.2A: admissibility remains full-scope, while residual welfare attention may become scope-proportionate.</w:t>
      </w:r>
    </w:p>
    <w:p>
      <w:pPr>
        <w:pStyle w:val="BodyText"/>
      </w:pPr>
      <w:r>
        <w:t xml:space="preserve">Reality Grounding clarification (Normative preview). RippleLogic now presents Reality Grounding as the first level of the public method because every later claim depends on the surface actually contacted. The method is not “score first.” It is ground first, protect the floor, bound ruin, contain/verify viability, and only then score residual welfare.</w:t>
      </w:r>
    </w:p>
    <w:p>
      <w:pPr>
        <w:pStyle w:val="BodyText"/>
      </w:pPr>
      <w:r>
        <w:t xml:space="preserve">RG status rule. Reality Grounding is Level 1 of the public method and a claim-authority precondition. It can force narrowing, escalation, exploratory-marking, or refusal, but it is not an ethical option-rejecting gate: an</w:t>
      </w:r>
      <w:r>
        <w:t xml:space="preserve"> </w:t>
      </w:r>
      <w:r>
        <w:rPr>
          <w:rStyle w:val="VerbatimChar"/>
        </w:rPr>
        <w:t xml:space="preserve">RG_REFUSED</w:t>
      </w:r>
      <w:r>
        <w:t xml:space="preserve"> </w:t>
      </w:r>
      <w:r>
        <w:t xml:space="preserve">option is outside the claim-bounded qualified set because the requested claim lacks support at the requested strength, not because RG has found the option ethically impermissible. The option may re-enter only after grounding is repaired or the claim or action boundary is narrowed. RF/NCRC, TRC, and CSV are the ethical or structural option-rejecting gates, and RLS ranks only what survives them.</w:t>
      </w:r>
    </w:p>
    <w:p>
      <w:pPr>
        <w:pStyle w:val="BodyText"/>
      </w:pPr>
      <w:r>
        <w:t xml:space="preserve">Computability-vs-realizability clarification (Normative preview). RippleLogic MUST NOT treat computed possibility, model fluency, simulation output, or generated abstraction as decision authority. Computable is not selectable; generated is not grounded; executable is not ethical; realizable is necessary but not sufficient. Reality Grounding decides the claim boundary; RF/NCRC decides rights admissibility; TRC decides ruin exposure; CSV decides whether the pathway can structurally stand; RLS ranks only the remaining selectable set.</w:t>
      </w:r>
    </w:p>
    <w:p>
      <w:pPr>
        <w:pStyle w:val="BodyText"/>
      </w:pPr>
      <w:r>
        <w:t xml:space="preserve">Source-coupling clarification (Normative preview). RippleLogic also MUST NOT treat downstream operation, inherited procedure, benchmark success, model fluency, compliance status, institutional permission, or interface performance as proof that the claimed capability is coupled to the enabling conditions and boundary conditions that make it possible. Source-Coupling Integrity is a subdiscipline of Reality Grounding and a CSV diagnostic where source weakness creates structural fragility. It does not add a public gate.</w:t>
      </w:r>
    </w:p>
    <w:p>
      <w:pPr>
        <w:pStyle w:val="BodyText"/>
      </w:pPr>
      <w:r>
        <w:t xml:space="preserve">Physical/causal admissibility clarification (Normative preview). RippleLogic also MUST NOT treat a physically consequence-bearing action as selectable merely because it was computed, simulated, model-generated, policy-approved, certified, monitored, or passed through a governance process. When a candidate action materially depends on physical, biological, ecological, medical, engineering, cyber-physical, infrastructural, or causal constraints, the run MUST include a Physical/Causal Admissibility Evidence Profile at the required tier. The profile belongs inside Reality Grounding and CSV. It does not add a sixth public gate, does not replace domain engineering, and does not make MathGov a proof-generating physics substrate.</w:t>
      </w:r>
    </w:p>
    <w:p>
      <w:pPr>
        <w:pStyle w:val="BodyText"/>
      </w:pPr>
      <w:r>
        <w:t xml:space="preserve">Physical execution boundary. For consequence-bearing physical systems, governance permission is not physical admissibility. A MathGov run may record approval, documentation, certification, monitoring, or authority, but those records alone do not demonstrate that a robot movement, vehicle maneuver, industrial operation, medical intervention, infrastructure action, or other physical execution is safe inside the relevant physical regime. If PC-AEP is triggered, the run MUST identify a domain-appropriate external warrant such as formal verification, validated simulation, empirical testing, standards-based safety case, certified controller envelope, qualified engineering or clinical warrant, regulator-recognized method, or another explicitly named objective method. Without that warrant inside its validity domain, MathGov may record governance permission only; it MUST NOT claim physical admissibility, safe execution, deployment readiness, or ordinary physical-execution selectability.</w:t>
      </w:r>
      <w:r>
        <w:t xml:space="preserve"> </w:t>
      </w:r>
      <w:r>
        <w:rPr>
          <w:bCs/>
          <w:b/>
        </w:rPr>
        <w:t xml:space="preserve">Material-unknown action rule.</w:t>
      </w:r>
      <w:r>
        <w:t xml:space="preserve"> </w:t>
      </w:r>
      <w:r>
        <w:t xml:space="preserve">When the safe operating envelope, failure boundary, or specification-to-reality mapping remains materially unknown, governance may authorize only bounded evidence collection, sandboxing, containment, monitoring, staged testing, or another explicitly limited learning action whose own risks pass RF/NCRC, TRC, and CSV. Governance MUST NOT convert an unknown envelope into a safe, qualified, or ordinarily execution-authorized state by policy language, user acceptance, institutional approval, or risk transfer. Acceptance by one operator cannot waive rights, third-party exposure, catastrophic-risk obligations, or the need for domain evidence.</w:t>
      </w:r>
    </w:p>
    <w:p>
      <w:pPr>
        <w:pStyle w:val="BodyText"/>
      </w:pPr>
      <w:r>
        <w:t xml:space="preserve">Computational-source boundary. A generated candidate is not the same as a verified admissible transition. For consequence-bearing physical or causal action, the run SHOULD identify the computational or procedural source that generated the candidate state, such as a model, optimizer, planner, simulator, controller, human procedure, or orchestration layer, and separately identify the domain method or warrant that evaluates admissibility. Candidate generation, output filtering, orchestration, guardrails, monitoring, and authorization MUST NOT be treated as the source of physical-safety evidence. They can route, constrain, document, or refuse a candidate only after the relevant domain evidence surface has been declared.</w:t>
      </w:r>
    </w:p>
    <w:p>
      <w:pPr>
        <w:pStyle w:val="BodyText"/>
      </w:pPr>
      <w:r>
        <w:t xml:space="preserve">Structural diagnostic placement clarification (Normative preview). UCI and HOI are not public headline cascade stages. They are structural diagnostic instruments. When their evidence is material to cross-scale structural integrity, including coherence loss, hollowing, brittleness, burnout, lock-in, trust erosion, institutional erosion, ecological degradation, or governance-capacity loss, that evidence is consumed inside the CSV Gate. Only residual, non-gate-critical UCI/HOI signal remains available after RLS, and only when the leading options are tied, close, uncertainty-overlapped, or non-decisive.</w:t>
      </w:r>
    </w:p>
    <w:bookmarkEnd w:id="23"/>
    <w:bookmarkStart w:id="24" w:name="Xaf5f96648d309220e6d465362ef760b0af06765"/>
    <w:p>
      <w:pPr>
        <w:pStyle w:val="Heading2"/>
      </w:pPr>
      <w:r>
        <w:rPr>
          <w:bCs/>
          <w:b/>
        </w:rPr>
        <w:t xml:space="preserve">1.3 Governance-Grade Requirements</w:t>
      </w:r>
    </w:p>
    <w:p>
      <w:pPr>
        <w:pStyle w:val="FirstParagraph"/>
      </w:pPr>
      <w:r>
        <w:t xml:space="preserve">RippleLogic is designed to satisfy ten non-optional requirements: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Requirement</w:t>
            </w:r>
          </w:p>
        </w:tc>
        <w:tc>
          <w:tcPr>
            <w:shd w:val="clear" w:color="auto" w:fill="D9EAF7"/>
            <w:vAlign w:val="center"/>
          </w:tcPr>
          <w:p>
            <w:pPr>
              <w:pStyle w:val="Compact"/>
              <w:jc w:val="left"/>
            </w:pPr>
            <w:r>
              <w:rPr>
                <w:bCs/>
                <w:b/>
                <w:color w:val="17365D"/>
              </w:rPr>
              <w:t xml:space="preserve">Description</w:t>
            </w:r>
          </w:p>
        </w:tc>
        <w:tc>
          <w:tcPr>
            <w:shd w:val="clear" w:color="auto" w:fill="D9EAF7"/>
            <w:vAlign w:val="center"/>
          </w:tcPr>
          <w:p>
            <w:pPr>
              <w:pStyle w:val="Compact"/>
              <w:jc w:val="left"/>
            </w:pPr>
            <w:r>
              <w:rPr>
                <w:bCs/>
                <w:b/>
                <w:color w:val="17365D"/>
              </w:rPr>
              <w:t xml:space="preserve">RippleLogic Component</w:t>
            </w:r>
          </w:p>
        </w:tc>
      </w:tr>
      <w:tr>
        <w:tc>
          <w:tcPr>
            <w:vAlign w:val="top"/>
          </w:tcPr>
          <w:p>
            <w:pPr>
              <w:pStyle w:val="Compact"/>
              <w:jc w:val="left"/>
            </w:pPr>
            <w:r>
              <w:t xml:space="preserve">R0</w:t>
            </w:r>
          </w:p>
        </w:tc>
        <w:tc>
          <w:tcPr>
            <w:vAlign w:val="top"/>
          </w:tcPr>
          <w:p>
            <w:pPr>
              <w:pStyle w:val="Compact"/>
              <w:jc w:val="left"/>
            </w:pPr>
            <w:r>
              <w:t xml:space="preserve">Reality Grounding: material claims must be grounded in a declared reality surface, evidence trace, known unknowns, transition boundary, consequence pathways, and claim boundary.</w:t>
            </w:r>
          </w:p>
        </w:tc>
        <w:tc>
          <w:tcPr>
            <w:vAlign w:val="top"/>
          </w:tcPr>
          <w:p>
            <w:pPr>
              <w:pStyle w:val="Compact"/>
              <w:jc w:val="left"/>
            </w:pPr>
            <w:r>
              <w:t xml:space="preserve">Reality-Surface Grounding (Level 1)</w:t>
            </w:r>
          </w:p>
        </w:tc>
      </w:tr>
      <w:tr>
        <w:tc>
          <w:tcPr>
            <w:shd w:val="clear" w:color="auto" w:fill="F7FBFE"/>
            <w:vAlign w:val="top"/>
          </w:tcPr>
          <w:p>
            <w:pPr>
              <w:pStyle w:val="Compact"/>
              <w:jc w:val="left"/>
            </w:pPr>
            <w:r>
              <w:t xml:space="preserve">R0A</w:t>
            </w:r>
          </w:p>
        </w:tc>
        <w:tc>
          <w:tcPr>
            <w:shd w:val="clear" w:color="auto" w:fill="F7FBFE"/>
            <w:vAlign w:val="top"/>
          </w:tcPr>
          <w:p>
            <w:pPr>
              <w:pStyle w:val="Compact"/>
              <w:jc w:val="left"/>
            </w:pPr>
            <w:r>
              <w:t xml:space="preserve">Term Discrimination: material terms must declare their definition, discriminator, dependency position, non-collapse risks, and refusal condition.</w:t>
            </w:r>
          </w:p>
        </w:tc>
        <w:tc>
          <w:tcPr>
            <w:shd w:val="clear" w:color="auto" w:fill="F7FBFE"/>
            <w:vAlign w:val="top"/>
          </w:tcPr>
          <w:p>
            <w:pPr>
              <w:pStyle w:val="Compact"/>
              <w:jc w:val="left"/>
            </w:pPr>
            <w:r>
              <w:t xml:space="preserve">Category Grounding inside Reality Grounding</w:t>
            </w:r>
          </w:p>
        </w:tc>
      </w:tr>
      <w:tr>
        <w:tc>
          <w:tcPr>
            <w:vAlign w:val="top"/>
          </w:tcPr>
          <w:p>
            <w:pPr>
              <w:pStyle w:val="Compact"/>
              <w:jc w:val="left"/>
            </w:pPr>
            <w:r>
              <w:t xml:space="preserve">R0B</w:t>
            </w:r>
          </w:p>
        </w:tc>
        <w:tc>
          <w:tcPr>
            <w:vAlign w:val="top"/>
          </w:tcPr>
          <w:p>
            <w:pPr>
              <w:pStyle w:val="Compact"/>
              <w:jc w:val="left"/>
            </w:pPr>
            <w:r>
              <w:t xml:space="preserve">Source-Coupling Integrity: material capabilities must remain traceable to enabling conditions, boundary conditions, source evidence, inherited assumptions, and claim action.</w:t>
            </w:r>
          </w:p>
        </w:tc>
        <w:tc>
          <w:tcPr>
            <w:vAlign w:val="top"/>
          </w:tcPr>
          <w:p>
            <w:pPr>
              <w:pStyle w:val="Compact"/>
              <w:jc w:val="left"/>
            </w:pPr>
            <w:r>
              <w:t xml:space="preserve">Source-Coupling Review inside Reality Grounding and CSV</w:t>
            </w:r>
          </w:p>
        </w:tc>
      </w:tr>
      <w:tr>
        <w:tc>
          <w:tcPr>
            <w:shd w:val="clear" w:color="auto" w:fill="F7FBFE"/>
            <w:vAlign w:val="top"/>
          </w:tcPr>
          <w:p>
            <w:pPr>
              <w:pStyle w:val="Compact"/>
              <w:jc w:val="left"/>
            </w:pPr>
            <w:r>
              <w:t xml:space="preserve">R0C</w:t>
            </w:r>
          </w:p>
        </w:tc>
        <w:tc>
          <w:tcPr>
            <w:shd w:val="clear" w:color="auto" w:fill="F7FBFE"/>
            <w:vAlign w:val="top"/>
          </w:tcPr>
          <w:p>
            <w:pPr>
              <w:pStyle w:val="Compact"/>
              <w:jc w:val="left"/>
            </w:pPr>
            <w:r>
              <w:t xml:space="preserve">Physical/Causal Admissibility Evidence: material physical or causal actions must declare model basis, validity domain, boundary conditions, uncertainty, failure modes, reversibility, verification or warrant, monitoring/shutoff path, residual unknowns, and claim action.</w:t>
            </w:r>
          </w:p>
        </w:tc>
        <w:tc>
          <w:tcPr>
            <w:shd w:val="clear" w:color="auto" w:fill="F7FBFE"/>
            <w:vAlign w:val="top"/>
          </w:tcPr>
          <w:p>
            <w:pPr>
              <w:pStyle w:val="Compact"/>
              <w:jc w:val="left"/>
            </w:pPr>
            <w:r>
              <w:t xml:space="preserve">PC-AEP inside Reality Grounding and CSV</w:t>
            </w:r>
          </w:p>
        </w:tc>
      </w:tr>
      <w:tr>
        <w:tc>
          <w:tcPr>
            <w:vAlign w:val="top"/>
          </w:tcPr>
          <w:p>
            <w:pPr>
              <w:pStyle w:val="Compact"/>
              <w:jc w:val="left"/>
            </w:pPr>
            <w:r>
              <w:t xml:space="preserve">R1</w:t>
            </w:r>
          </w:p>
        </w:tc>
        <w:tc>
          <w:tcPr>
            <w:vAlign w:val="top"/>
          </w:tcPr>
          <w:p>
            <w:pPr>
              <w:pStyle w:val="Compact"/>
              <w:jc w:val="left"/>
            </w:pPr>
            <w:r>
              <w:t xml:space="preserve">Rights-first non-compensability: rights are lexicographic constraints, not weighted terms</w:t>
            </w:r>
          </w:p>
        </w:tc>
        <w:tc>
          <w:tcPr>
            <w:vAlign w:val="top"/>
          </w:tcPr>
          <w:p>
            <w:pPr>
              <w:pStyle w:val="Compact"/>
              <w:jc w:val="left"/>
            </w:pPr>
            <w:r>
              <w:t xml:space="preserve">Rights Floor (RF/NCRC) (Level 2)</w:t>
            </w:r>
          </w:p>
        </w:tc>
      </w:tr>
      <w:tr>
        <w:tc>
          <w:tcPr>
            <w:shd w:val="clear" w:color="auto" w:fill="F7FBFE"/>
            <w:vAlign w:val="top"/>
          </w:tcPr>
          <w:p>
            <w:pPr>
              <w:pStyle w:val="Compact"/>
              <w:jc w:val="left"/>
            </w:pPr>
            <w:r>
              <w:t xml:space="preserve">R2</w:t>
            </w:r>
          </w:p>
        </w:tc>
        <w:tc>
          <w:tcPr>
            <w:shd w:val="clear" w:color="auto" w:fill="F7FBFE"/>
            <w:vAlign w:val="top"/>
          </w:tcPr>
          <w:p>
            <w:pPr>
              <w:pStyle w:val="Compact"/>
              <w:jc w:val="left"/>
            </w:pPr>
            <w:r>
              <w:t xml:space="preserve">Explicit catastrophic risk bounding: tail risk is bounded by TRC using CVaR</w:t>
            </w:r>
          </w:p>
        </w:tc>
        <w:tc>
          <w:tcPr>
            <w:shd w:val="clear" w:color="auto" w:fill="F7FBFE"/>
            <w:vAlign w:val="top"/>
          </w:tcPr>
          <w:p>
            <w:pPr>
              <w:pStyle w:val="Compact"/>
              <w:jc w:val="left"/>
            </w:pPr>
            <w:r>
              <w:t xml:space="preserve">TRC / Tail-Risk Bound (Level 3)</w:t>
            </w:r>
          </w:p>
        </w:tc>
      </w:tr>
      <w:tr>
        <w:tc>
          <w:tcPr>
            <w:vAlign w:val="top"/>
          </w:tcPr>
          <w:p>
            <w:pPr>
              <w:pStyle w:val="Compact"/>
              <w:jc w:val="left"/>
            </w:pPr>
            <w:r>
              <w:t xml:space="preserve">R3</w:t>
            </w:r>
          </w:p>
        </w:tc>
        <w:tc>
          <w:tcPr>
            <w:vAlign w:val="top"/>
          </w:tcPr>
          <w:p>
            <w:pPr>
              <w:pStyle w:val="Compact"/>
              <w:jc w:val="left"/>
            </w:pPr>
            <w:r>
              <w:t xml:space="preserve">Residual welfare ranking: multi-scale and multi-dimensional welfare representation after Reality Grounding, RF/NCRC, TRC, and CSV have formed the selectable set.</w:t>
            </w:r>
          </w:p>
        </w:tc>
        <w:tc>
          <w:tcPr>
            <w:vAlign w:val="top"/>
          </w:tcPr>
          <w:p>
            <w:pPr>
              <w:pStyle w:val="Compact"/>
              <w:jc w:val="left"/>
            </w:pPr>
            <w:r>
              <w:t xml:space="preserve">RLS / RippleLogic Score over 7×7 Welfare Matrix (Level 5)</w:t>
            </w:r>
          </w:p>
        </w:tc>
      </w:tr>
      <w:tr>
        <w:tc>
          <w:tcPr>
            <w:shd w:val="clear" w:color="auto" w:fill="F7FBFE"/>
            <w:vAlign w:val="top"/>
          </w:tcPr>
          <w:p>
            <w:pPr>
              <w:pStyle w:val="Compact"/>
              <w:jc w:val="left"/>
            </w:pPr>
            <w:r>
              <w:t xml:space="preserve">R4</w:t>
            </w:r>
          </w:p>
        </w:tc>
        <w:tc>
          <w:tcPr>
            <w:shd w:val="clear" w:color="auto" w:fill="F7FBFE"/>
            <w:vAlign w:val="top"/>
          </w:tcPr>
          <w:p>
            <w:pPr>
              <w:pStyle w:val="Compact"/>
              <w:jc w:val="left"/>
            </w:pPr>
            <w:r>
              <w:t xml:space="preserve">Explicit ripple propagation: interpretable kernel propagation under humility</w:t>
            </w:r>
          </w:p>
        </w:tc>
        <w:tc>
          <w:tcPr>
            <w:shd w:val="clear" w:color="auto" w:fill="F7FBFE"/>
            <w:vAlign w:val="top"/>
          </w:tcPr>
          <w:p>
            <w:pPr>
              <w:pStyle w:val="Compact"/>
              <w:jc w:val="left"/>
            </w:pPr>
            <w:r>
              <w:t xml:space="preserve">Kernel K</w:t>
            </w:r>
          </w:p>
        </w:tc>
      </w:tr>
      <w:tr>
        <w:tc>
          <w:tcPr>
            <w:vAlign w:val="top"/>
          </w:tcPr>
          <w:p>
            <w:pPr>
              <w:pStyle w:val="Compact"/>
              <w:jc w:val="left"/>
            </w:pPr>
            <w:r>
              <w:t xml:space="preserve">R5</w:t>
            </w:r>
          </w:p>
        </w:tc>
        <w:tc>
          <w:tcPr>
            <w:vAlign w:val="top"/>
          </w:tcPr>
          <w:p>
            <w:pPr>
              <w:pStyle w:val="Compact"/>
              <w:jc w:val="left"/>
            </w:pPr>
            <w:r>
              <w:t xml:space="preserve">Structural integrity and containment: local gains may not degrade containing unions beyond tolerance; UCI/HOI or equivalent diagnostics are used inside CSV where material.</w:t>
            </w:r>
          </w:p>
        </w:tc>
        <w:tc>
          <w:tcPr>
            <w:vAlign w:val="top"/>
          </w:tcPr>
          <w:p>
            <w:pPr>
              <w:pStyle w:val="Compact"/>
              <w:jc w:val="left"/>
            </w:pPr>
            <w:r>
              <w:t xml:space="preserve">CSV / Containment and Structural Viability (Level 4)</w:t>
            </w:r>
          </w:p>
        </w:tc>
      </w:tr>
      <w:tr>
        <w:tc>
          <w:tcPr>
            <w:shd w:val="clear" w:color="auto" w:fill="F7FBFE"/>
            <w:vAlign w:val="top"/>
          </w:tcPr>
          <w:p>
            <w:pPr>
              <w:pStyle w:val="Compact"/>
              <w:jc w:val="left"/>
            </w:pPr>
            <w:r>
              <w:t xml:space="preserve">R6</w:t>
            </w:r>
          </w:p>
        </w:tc>
        <w:tc>
          <w:tcPr>
            <w:shd w:val="clear" w:color="auto" w:fill="F7FBFE"/>
            <w:vAlign w:val="top"/>
          </w:tcPr>
          <w:p>
            <w:pPr>
              <w:pStyle w:val="Compact"/>
              <w:jc w:val="left"/>
            </w:pPr>
            <w:r>
              <w:t xml:space="preserve">Legitimate weight governance: HDW blends constitutional floors with democratic tuning</w:t>
            </w:r>
          </w:p>
        </w:tc>
        <w:tc>
          <w:tcPr>
            <w:shd w:val="clear" w:color="auto" w:fill="F7FBFE"/>
            <w:vAlign w:val="top"/>
          </w:tcPr>
          <w:p>
            <w:pPr>
              <w:pStyle w:val="Compact"/>
              <w:jc w:val="left"/>
            </w:pPr>
            <w:r>
              <w:t xml:space="preserve">HDW</w:t>
            </w:r>
          </w:p>
        </w:tc>
      </w:tr>
      <w:tr>
        <w:tc>
          <w:tcPr>
            <w:vAlign w:val="top"/>
          </w:tcPr>
          <w:p>
            <w:pPr>
              <w:pStyle w:val="Compact"/>
              <w:jc w:val="left"/>
            </w:pPr>
            <w:r>
              <w:t xml:space="preserve">R7</w:t>
            </w:r>
          </w:p>
        </w:tc>
        <w:tc>
          <w:tcPr>
            <w:vAlign w:val="top"/>
          </w:tcPr>
          <w:p>
            <w:pPr>
              <w:pStyle w:val="Compact"/>
              <w:jc w:val="left"/>
            </w:pPr>
            <w:r>
              <w:t xml:space="preserve">Computability plus auditability: PCC and audit flags enable reconstruction, challenge, and learning</w:t>
            </w:r>
          </w:p>
        </w:tc>
        <w:tc>
          <w:tcPr>
            <w:vAlign w:val="top"/>
          </w:tcPr>
          <w:p>
            <w:pPr>
              <w:pStyle w:val="Compact"/>
              <w:jc w:val="left"/>
            </w:pPr>
            <w:r>
              <w:t xml:space="preserve">PCC plus AIL</w:t>
            </w:r>
          </w:p>
        </w:tc>
      </w:tr>
    </w:tbl>
    <w:bookmarkEnd w:id="24"/>
    <w:bookmarkStart w:id="25" w:name="X7e52aed87fffcf7bd9d9a48e330f3842f1be929"/>
    <w:p>
      <w:pPr>
        <w:pStyle w:val="Heading2"/>
      </w:pPr>
      <w:r>
        <w:rPr>
          <w:bCs/>
          <w:b/>
        </w:rPr>
        <w:t xml:space="preserve">1.4 Paper Contributions</w:t>
      </w:r>
    </w:p>
    <w:p>
      <w:pPr>
        <w:pStyle w:val="FirstParagraph"/>
      </w:pPr>
      <w:r>
        <w:t xml:space="preserve">This paper provides:</w:t>
      </w:r>
    </w:p>
    <w:p>
      <w:pPr>
        <w:numPr>
          <w:ilvl w:val="0"/>
          <w:numId w:val="1001"/>
        </w:numPr>
      </w:pPr>
      <w:r>
        <w:t xml:space="preserve">A fork-resistant normative specification for Tier 1-3 implementation.</w:t>
      </w:r>
    </w:p>
    <w:p>
      <w:pPr>
        <w:numPr>
          <w:ilvl w:val="0"/>
          <w:numId w:val="1001"/>
        </w:numPr>
      </w:pPr>
      <w:r>
        <w:t xml:space="preserve">Canonical equations and constraints sufficient for independent implementation.</w:t>
      </w:r>
    </w:p>
    <w:p>
      <w:pPr>
        <w:numPr>
          <w:ilvl w:val="0"/>
          <w:numId w:val="1001"/>
        </w:numPr>
      </w:pPr>
      <w:r>
        <w:t xml:space="preserve">Anti-gaming architecture (non-maskable cells, subgroup semantics, scenario governance, audit flags).</w:t>
      </w:r>
    </w:p>
    <w:p>
      <w:pPr>
        <w:numPr>
          <w:ilvl w:val="0"/>
          <w:numId w:val="1001"/>
        </w:numPr>
      </w:pPr>
      <w:r>
        <w:t xml:space="preserve">A validation and falsification program (Section 17).</w:t>
      </w:r>
    </w:p>
    <w:p>
      <w:pPr>
        <w:numPr>
          <w:ilvl w:val="0"/>
          <w:numId w:val="1001"/>
        </w:numPr>
      </w:pPr>
      <w:r>
        <w:t xml:space="preserve">A Tier-4 design target appendix (non-claimable until ProofPack).</w:t>
      </w:r>
    </w:p>
    <w:bookmarkEnd w:id="25"/>
    <w:bookmarkEnd w:id="26"/>
    <w:bookmarkStart w:id="46" w:name="Xdabb413858ee978afd41a8c25a7afff91e24894"/>
    <w:p>
      <w:pPr>
        <w:pStyle w:val="Heading1"/>
      </w:pPr>
      <w:bookmarkStart w:id="766" w:name="mg_toc_002"/>
      <w:r>
        <w:rPr>
          <w:bCs/>
          <w:b/>
        </w:rPr>
        <w:t xml:space="preserve">SECTION 2: ONTOLOGICAL FOUNDATIONS: UNION-BASED REALITY (UBR)</w:t>
      </w:r>
      <w:bookmarkEnd w:id="766"/>
    </w:p>
    <w:bookmarkStart w:id="27" w:name="X98df607b21c6bd1a6e7a60c22115a1898af78eb"/>
    <w:p>
      <w:pPr>
        <w:pStyle w:val="Heading2"/>
      </w:pPr>
      <w:r>
        <w:rPr>
          <w:bCs/>
          <w:b/>
        </w:rPr>
        <w:t xml:space="preserve">2.1 Relational Ontology (Descriptive Thesis)</w:t>
      </w:r>
    </w:p>
    <w:p>
      <w:pPr>
        <w:pStyle w:val="FirstParagraph"/>
      </w:pPr>
      <w:r>
        <w:t xml:space="preserve">UBR thesis: No entity exists in complete isolation for governance-relevant domains; entities are embedded in interacting networks whose structure transmits the consequences of actions.</w:t>
      </w:r>
    </w:p>
    <w:p>
      <w:pPr>
        <w:pStyle w:val="BodyText"/>
      </w:pPr>
      <w:r>
        <w:t xml:space="preserve">This is a descriptive stance supported by systems science (feedbacks and leverage points), network science (universal structural features of real networks), and Earth-system science (planetary boundary coupling) (Meadows, 2008; Newman, 2010; Steffen et al., 2015; Rockström et al., 2009, 2023). UBR is also consistent with empirical findings in social and cognitive interdependence research showing strong links between human capacities and group structure, including the social brain hypothesis and attachment-based development (Bowlby, 1988; Dunbar, 1992, 1993), and with social contagion dynamics in networks (Christakis &amp; Fowler, 2009).</w:t>
      </w:r>
    </w:p>
    <w:p>
      <w:pPr>
        <w:pStyle w:val="BodyText"/>
      </w:pPr>
      <w:r>
        <w:t xml:space="preserve">Scope conditions: UBR is most applicable in high-coupling systems with significant externalities, multi-scale feedbacks, and long time horizons. Low-coupling, short-horizon decisions may not require full UBR modeling; RippleLogic tiers allow proportional rigor.</w:t>
      </w:r>
    </w:p>
    <w:bookmarkEnd w:id="27"/>
    <w:bookmarkStart w:id="28" w:name="Xe6bf66c565ae68887c12f998d79c3b162d1a67a"/>
    <w:p>
      <w:pPr>
        <w:pStyle w:val="Heading2"/>
      </w:pPr>
      <w:r>
        <w:rPr>
          <w:bCs/>
          <w:b/>
        </w:rPr>
        <w:t xml:space="preserve">2.1A Decision-Relevant Reality (Operational)</w:t>
      </w:r>
    </w:p>
    <w:p>
      <w:pPr>
        <w:pStyle w:val="FirstParagraph"/>
      </w:pPr>
      <w:r>
        <w:t xml:space="preserve">For RippleLogic, reality, for decision-making, is the evaluator-independent field of constrained structures that, under transition, produce consequences. Decision-relevant reality is the portion of that field that materially bears on rights, catastrophic risk, containment, welfare, legitimacy, agency, auditability, or available choices. The reality surface is the portion actually captured, represented, and modeled in the run. RippleLogic does not claim complete metaphysical access to reality; it requires decision claims to make declared, auditable, and challengeable contact with the relevant reality surface. Here, evaluator-independent means independent of the evaluating agent’s perception, admission, authority, model, or preference; it does not deny the reality of experience or social facts. Mental states, institutions, norms, laws, markets, reputations, and model outputs may be real vehicles with real effects when they shape welfare, rights, risk, agency, or available choices.</w:t>
      </w:r>
    </w:p>
    <w:p>
      <w:pPr>
        <w:pStyle w:val="BodyText"/>
      </w:pPr>
      <w:r>
        <w:t xml:space="preserve">Root-science boundary. RippleLogic treats constrained structure under transition producing consequence as the operational substrate of decision-relevant reality. This is not a final metaphysical claim about ultimate being; it is a governance-grade discipline. Physical, biological, ecological, experiential, social, institutional, informational, artificial-system, and formal/logical structures and constraints become relevant when they shape rights, risk, welfare, agency, available choices, legitimacy, or auditability.</w:t>
      </w:r>
    </w:p>
    <w:p>
      <w:pPr>
        <w:pStyle w:val="BodyText"/>
      </w:pPr>
      <w:r>
        <w:t xml:space="preserve">Structure rule. Structure is the stable relational arrangement of distinguishable differences that persists across a decision-relevant transition window and can carry causal, informational, biological, ecological, social, institutional, artificial-system, or experiential significance. Structure may include physical configuration, network topology, causal architecture, biological organization, ecological interdependence, institutional role structure, information-bearing arrangement, cognitive model, social pattern, or rights-relevant exposure pattern. Structure is not the object alone, not the process alone, and not the model of the arrangement; the model is only a reality surface.</w:t>
      </w:r>
    </w:p>
    <w:p>
      <w:pPr>
        <w:pStyle w:val="BodyText"/>
      </w:pPr>
      <w:r>
        <w:t xml:space="preserve">Transition rule. Consequences arise when an action, decision, event, policy, intervention, or state-shift enters constrained structure. Transition is the decision-relevant change through which constrained structure produces consequence. A RippleLogic run SHOULD declare the transition or action boundary when it makes material claims about consequence.</w:t>
      </w:r>
    </w:p>
    <w:p>
      <w:pPr>
        <w:pStyle w:val="BodyText"/>
      </w:pPr>
      <w:r>
        <w:t xml:space="preserve">Constraint-species rule. A factor may bear on the decision through causal influence, such as physical, biological, ecological, social, institutional, informational, or experiential conditions, or through formal/logical constraint, such as coherence, conservation, computability, consistency, or mathematical possibility. Constraint is the genus; causal and formal/logical constraints are species. RippleLogic uses both and MUST NOT conflate them.</w:t>
      </w:r>
    </w:p>
    <w:p>
      <w:pPr>
        <w:pStyle w:val="BodyText"/>
      </w:pPr>
      <w:r>
        <w:t xml:space="preserve">Constraint-status rule. Constraint is anything that limits, enables, shapes, or channels what can happen. Physical, biological, ecological, informational, experiential, institutional, computational, and formal/logical constraints may be discovered, measured, modeled, or inferred. Rights floors, dignity protections, and non-domination constraints are explicit normative commitments. RippleLogic treats all of these as governance-relevant constraints when they shape admissibility or consequence, but it MUST NOT present chosen normative commitments as if they were discovered physical facts.</w:t>
      </w:r>
    </w:p>
    <w:p>
      <w:pPr>
        <w:pStyle w:val="BodyText"/>
      </w:pPr>
      <w:r>
        <w:t xml:space="preserve">Consequence rule. Consequence is the observable or inferable change that follows from an action, transition, decision, event, or policy within constrained structure. Consequences may be direct, probabilistic, systemic, delayed, distributed, reversible, irreversible, moral, institutional, epistemic, ecological, or catastrophic. Consequence claims require evidence traces, scenario boundaries, uncertainty disclosure, and monitoring paths proportionate to stakes.</w:t>
      </w:r>
    </w:p>
    <w:p>
      <w:pPr>
        <w:pStyle w:val="BodyText"/>
      </w:pPr>
      <w:r>
        <w:t xml:space="preserve">Vehicle/content/effect rule. A belief, norm, institution, model, market signal, law, border, reputation system, or algorithmic score may be a real vehicle with real effects even when its content is false. Consensus can therefore be socially real while still failing to track the territory. Agreement does not make a harmful system harmless, and authority does not make an inadmissible decision admissible.</w:t>
      </w:r>
    </w:p>
    <w:p>
      <w:pPr>
        <w:pStyle w:val="BodyText"/>
      </w:pPr>
      <w:r>
        <w:t xml:space="preserve">Surface/territory rule. Any model captures only a reality surface; the territory exceeds every surface. Absence of evidence is not evidence of absence where the missing condition is rights-relevant, catastrophe-relevant, containment-relevant, or material to the claimed decision state. Omitted material factors must be recorded as unknown, not zero.</w:t>
      </w:r>
    </w:p>
    <w:p>
      <w:pPr>
        <w:pStyle w:val="BodyText"/>
      </w:pPr>
      <w:r>
        <w:t xml:space="preserve">Contact chain. Territory is the full evaluator-independent field. A reality surface is the portion captured by evidence, measurement, testimony, stakeholder mapping, model, scenario, or audit. Evidence is traceable contact with that surface. A claim boundary is the maximum legitimate strength of a claim given that contact. Refusal, escalation, or claim-narrowing is required when the claim exceeds the surface or when a gate-critical unknown prevents legitimate determination.</w:t>
      </w:r>
    </w:p>
    <w:p>
      <w:pPr>
        <w:pStyle w:val="BodyText"/>
      </w:pPr>
      <w:r>
        <w:t xml:space="preserve">Consequence under finitude. Because the territory exceeds every modeled surface and audit operates only on the surface, no run can certify that all unmodeled catastrophic or containment-breaking effects are absent. Under RippleLogic’s adopted rights and ruin commitments, potentially irreversible or civilization-threatening losses are not treated as ordinary compensable terms inside a welfare average. Non-averagability is therefore a constitutional design requirement of this framework, motivated by finite knowledge and asymmetric ruin, rather than a theorem that every possible ethical system must adopt. TRC and CSV are the operational expression of that commitment.</w:t>
      </w:r>
    </w:p>
    <w:bookmarkEnd w:id="28"/>
    <w:bookmarkStart w:id="29" w:name="Xf7b2393e8bb2964596a345025b37ed15e4c6548"/>
    <w:p>
      <w:pPr>
        <w:pStyle w:val="Heading2"/>
      </w:pPr>
      <w:r>
        <w:rPr>
          <w:bCs/>
          <w:b/>
        </w:rPr>
        <w:t xml:space="preserve">2.1B Reality Grounding / Reality-Surface Grounding (RSG) (Normative)</w:t>
      </w:r>
    </w:p>
    <w:p>
      <w:pPr>
        <w:pStyle w:val="FirstParagraph"/>
      </w:pPr>
      <w:r>
        <w:t xml:space="preserve">Purpose. Reality Grounding is the required first level of a RippleLogic run. It prevents decisions from treating authority, fluency, compliance, dashboards, or model outputs as reality. A run may only make claims supported by its declared reality surface and evidence trace.</w:t>
      </w:r>
    </w:p>
    <w:p>
      <w:pPr>
        <w:pStyle w:val="BodyText"/>
      </w:pPr>
      <w:r>
        <w:t xml:space="preserve">Definition. Reality Grounding is the process of declaring the decision-relevant reality surface, evidence trace, material unknowns, transition boundary, consequence pathways, and claim boundary before rights, risk, CSV, or scoring claims are made.</w:t>
      </w:r>
    </w:p>
    <w:p>
      <w:pPr>
        <w:pStyle w:val="BodyText"/>
      </w:pPr>
      <w:r>
        <w:t xml:space="preserve">Reality-reference boundary. Reality is the final constraint on claim-bearing representations, but operational access to reality is mediated through observations, instruments, records, categories, testimony, and models that may be incomplete, biased, stale, or wrong. Reality Grounding therefore establishes bounded warrant for a declared claim, configuration, validity domain, and evidence surface; it does not establish complete possession of reality. A material conflict between the representation and newly available evidence reopens the affected claim and every dependent stage.</w:t>
      </w:r>
    </w:p>
    <w:p>
      <w:pPr>
        <w:pStyle w:val="BodyText"/>
      </w:pPr>
      <w:r>
        <w:t xml:space="preserve">Six canonical outputs. A valid RealityGroundingRecord MUST include: (1) reality_surface; (2) evidence_trace; (3) material_unknowns; (4) transition_or_action_boundary; (5) consequence_pathways; and (6) claim_boundary. This resolves the prior mismatch between the heading and the normative keyword while preserving proportionality: Tier 1 records MAY be concise, but they MUST NOT silently omit the transition being evaluated. Tier 3 and high-stakes Tier 2 runs SHOULD also include monitoring_path, falsification_or_revision_trigger, reviewer_status, and evidence_status by material claim. When source coupling or physical/causal admissibility is material, the RealityGroundingRecord MUST link to the SourceCouplingRecord and/or PhysicalCausalAdmissibilityEvidenceProfile rather than treating governance approval, model fluency, simulation output, or monitoring as reality contact.</w:t>
      </w:r>
    </w:p>
    <w:p>
      <w:pPr>
        <w:pStyle w:val="BodyText"/>
      </w:pPr>
      <w:r>
        <w:t xml:space="preserve">Status values. RealityGroundingStatus values are GROUNDED, ESTIMATED, ASSUMPTION_BOUND, DECLARED_UNKNOWN, OUT_OF_SCOPE_WITH_RATIONALE, and INSUFFICIENT_GROUNDING. Legacy RealityContactStatus terms remain compatible aliases: EVIDENCE_BACKED maps to GROUNDED and INSUFFICIENT_CONTACT maps to INSUFFICIENT_GROUNDING.</w:t>
      </w:r>
    </w:p>
    <w:p>
      <w:pPr>
        <w:pStyle w:val="BodyText"/>
      </w:pPr>
      <w:r>
        <w:t xml:space="preserve">Reviewer-to-machine status crosswalk (Normative). GROUNDED and ESTIMATED map to RG_SUPPORTED only when the claim stays inside the declared evidence, configuration, and validity boundary. ASSUMPTION_BOUND and OUT_OF_SCOPE_WITH_RATIONALE map to RG_NARROWED only when the narrowed claim, omitted material, downstream restrictions, and reopen trigger are explicit; otherwise they map to RG_REFUSED. DECLARED_UNKNOWN and INSUFFICIENT_GROUNDING map to RG_REFUSED whenever the unresolved fact is material to RF/NCRC, TRC, CSV, deterministic selection, authorization, execution, or public conformance. Implementations MUST NOT choose the mapping that produces the preferred outcome.</w:t>
      </w:r>
    </w:p>
    <w:p>
      <w:pPr>
        <w:pStyle w:val="BodyText"/>
      </w:pPr>
      <w:r>
        <w:t xml:space="preserve">RealityGroundingStatus assignment guide. The following table is a required reviewer guide for Tier 3 runs and a recommended guide for Tier 2 runs. It does not replace evidence review, but it constrains status drift.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Evidence condition</w:t>
            </w:r>
          </w:p>
        </w:tc>
        <w:tc>
          <w:tcPr>
            <w:shd w:val="clear" w:color="auto" w:fill="D9EAF7"/>
            <w:vAlign w:val="center"/>
          </w:tcPr>
          <w:p>
            <w:pPr>
              <w:pStyle w:val="Compact"/>
              <w:jc w:val="left"/>
            </w:pPr>
            <w:r>
              <w:rPr>
                <w:bCs/>
                <w:b/>
                <w:color w:val="17365D"/>
              </w:rPr>
              <w:t xml:space="preserve">Required or recommended status</w:t>
            </w:r>
          </w:p>
        </w:tc>
      </w:tr>
      <w:tr>
        <w:tc>
          <w:tcPr>
            <w:vAlign w:val="top"/>
          </w:tcPr>
          <w:p>
            <w:pPr>
              <w:pStyle w:val="Compact"/>
              <w:jc w:val="left"/>
            </w:pPr>
            <w:r>
              <w:t xml:space="preserve">Direct measured evidence, current source trace, reviewer-visible boundary, and no material missing condition</w:t>
            </w:r>
          </w:p>
        </w:tc>
        <w:tc>
          <w:tcPr>
            <w:vAlign w:val="top"/>
          </w:tcPr>
          <w:p>
            <w:pPr>
              <w:pStyle w:val="Compact"/>
              <w:jc w:val="left"/>
            </w:pPr>
            <w:r>
              <w:t xml:space="preserve">GROUNDED</w:t>
            </w:r>
          </w:p>
        </w:tc>
      </w:tr>
      <w:tr>
        <w:tc>
          <w:tcPr>
            <w:shd w:val="clear" w:color="auto" w:fill="F7FBFE"/>
            <w:vAlign w:val="top"/>
          </w:tcPr>
          <w:p>
            <w:pPr>
              <w:pStyle w:val="Compact"/>
              <w:jc w:val="left"/>
            </w:pPr>
            <w:r>
              <w:t xml:space="preserve">Modeled, inferred, or extrapolated from accepted sources with stated uncertainty</w:t>
            </w:r>
          </w:p>
        </w:tc>
        <w:tc>
          <w:tcPr>
            <w:shd w:val="clear" w:color="auto" w:fill="F7FBFE"/>
            <w:vAlign w:val="top"/>
          </w:tcPr>
          <w:p>
            <w:pPr>
              <w:pStyle w:val="Compact"/>
              <w:jc w:val="left"/>
            </w:pPr>
            <w:r>
              <w:t xml:space="preserve">ESTIMATED</w:t>
            </w:r>
          </w:p>
        </w:tc>
      </w:tr>
      <w:tr>
        <w:tc>
          <w:tcPr>
            <w:vAlign w:val="top"/>
          </w:tcPr>
          <w:p>
            <w:pPr>
              <w:pStyle w:val="Compact"/>
              <w:jc w:val="left"/>
            </w:pPr>
            <w:r>
              <w:t xml:space="preserve">Material result depends on declared assumptions that could change gate status, authority selection, or public claim strength</w:t>
            </w:r>
          </w:p>
        </w:tc>
        <w:tc>
          <w:tcPr>
            <w:vAlign w:val="top"/>
          </w:tcPr>
          <w:p>
            <w:pPr>
              <w:pStyle w:val="Compact"/>
              <w:jc w:val="left"/>
            </w:pPr>
            <w:r>
              <w:t xml:space="preserve">ASSUMPTION_BOUND</w:t>
            </w:r>
          </w:p>
        </w:tc>
      </w:tr>
      <w:tr>
        <w:tc>
          <w:tcPr>
            <w:shd w:val="clear" w:color="auto" w:fill="F7FBFE"/>
            <w:vAlign w:val="top"/>
          </w:tcPr>
          <w:p>
            <w:pPr>
              <w:pStyle w:val="Compact"/>
              <w:jc w:val="left"/>
            </w:pPr>
            <w:r>
              <w:t xml:space="preserve">Material fact is unknown and cannot be responsibly inferred from the declared surface</w:t>
            </w:r>
          </w:p>
        </w:tc>
        <w:tc>
          <w:tcPr>
            <w:shd w:val="clear" w:color="auto" w:fill="F7FBFE"/>
            <w:vAlign w:val="top"/>
          </w:tcPr>
          <w:p>
            <w:pPr>
              <w:pStyle w:val="Compact"/>
              <w:jc w:val="left"/>
            </w:pPr>
            <w:r>
              <w:t xml:space="preserve">DECLARED_UNKNOWN</w:t>
            </w:r>
          </w:p>
        </w:tc>
      </w:tr>
      <w:tr>
        <w:tc>
          <w:tcPr>
            <w:vAlign w:val="top"/>
          </w:tcPr>
          <w:p>
            <w:pPr>
              <w:pStyle w:val="Compact"/>
              <w:jc w:val="left"/>
            </w:pPr>
            <w:r>
              <w:t xml:space="preserve">A fact is outside the declared decision boundary, and the rationale shows it cannot affect the gate or claim under review</w:t>
            </w:r>
          </w:p>
        </w:tc>
        <w:tc>
          <w:tcPr>
            <w:vAlign w:val="top"/>
          </w:tcPr>
          <w:p>
            <w:pPr>
              <w:pStyle w:val="Compact"/>
              <w:jc w:val="left"/>
            </w:pPr>
            <w:r>
              <w:t xml:space="preserve">OUT_OF_SCOPE_WITH_RATIONALE</w:t>
            </w:r>
          </w:p>
        </w:tc>
      </w:tr>
      <w:tr>
        <w:tc>
          <w:tcPr>
            <w:shd w:val="clear" w:color="auto" w:fill="F7FBFE"/>
            <w:vAlign w:val="top"/>
          </w:tcPr>
          <w:p>
            <w:pPr>
              <w:pStyle w:val="Compact"/>
              <w:jc w:val="left"/>
            </w:pPr>
            <w:r>
              <w:t xml:space="preserve">Missing, stale, contested, or unsupported evidence could change NCRC/RF, TRC, CSV, deterministic selection, authority selection, or conformance claim</w:t>
            </w:r>
          </w:p>
        </w:tc>
        <w:tc>
          <w:tcPr>
            <w:shd w:val="clear" w:color="auto" w:fill="F7FBFE"/>
            <w:vAlign w:val="top"/>
          </w:tcPr>
          <w:p>
            <w:pPr>
              <w:pStyle w:val="Compact"/>
              <w:jc w:val="left"/>
            </w:pPr>
            <w:r>
              <w:t xml:space="preserve">INSUFFICIENT_GROUNDING</w:t>
            </w:r>
          </w:p>
        </w:tc>
      </w:tr>
    </w:tbl>
    <w:p>
      <w:pPr>
        <w:pStyle w:val="BodyText"/>
      </w:pPr>
      <w:r>
        <w:t xml:space="preserve">Claim-boundary rule. No claim may exceed its reality surface. If the surface is insufficient for a material rights, tail-risk, containment, authority, conformance, or selection claim, the run MUST narrow the claim, collect more evidence, escalate, mark the result exploratory/sensitivity-only, or refuse the stronger claim.</w:t>
      </w:r>
    </w:p>
    <w:p>
      <w:pPr>
        <w:pStyle w:val="BodyText"/>
      </w:pPr>
      <w:r>
        <w:t xml:space="preserve">Verifiable-admissibility rule. For life-critical systems, weapons, nuclear command and control, planetary-scale cognition, critical infrastructure, medical systems, ecological interventions, or other high-consequence domains, Reality Grounding MUST treat admissibility as verifiable and refusible. No claim may govern, authorize, or rank a consequence-bearing action beyond its declared evidence surface unless the claim can be tested or otherwise warranted, bounded to a validity domain, audited with traceable evidence, corrected through monitoring and revision, and refused when the evidence surface is insufficient. If these conditions cannot be met, the run MUST narrow the claim, collect more evidence, escalate, mark the result exploratory or non-decisive, or refuse the stronger claim.</w:t>
      </w:r>
    </w:p>
    <w:p>
      <w:pPr>
        <w:pStyle w:val="BodyText"/>
      </w:pPr>
      <w:r>
        <w:t xml:space="preserve">Operational admissibility sequence (Informative). Ground the claim. Protect the right. Bound the ruin. Verify the system. Make exit and correction real. Rank only what survives qualification.</w:t>
      </w:r>
    </w:p>
    <w:p>
      <w:pPr>
        <w:pStyle w:val="BodyText"/>
      </w:pPr>
      <w:r>
        <w:t xml:space="preserve">Public teaching line. Reality is the territory. A decision sees only a surface. Evidence grounds the surface. Unknowns mark the edge. Claims must stay inside the ground they stand on.</w:t>
      </w:r>
    </w:p>
    <w:bookmarkEnd w:id="29"/>
    <w:bookmarkStart w:id="30" w:name="X5b87e6997e8cbf6f11619bd3e2574830e5eb7c4"/>
    <w:p>
      <w:pPr>
        <w:pStyle w:val="Heading2"/>
      </w:pPr>
      <w:r>
        <w:rPr>
          <w:bCs/>
          <w:b/>
        </w:rPr>
        <w:t xml:space="preserve">2.1C Category Grounding and Primitive Audit inside Reality Grounding (Normative)</w:t>
      </w:r>
    </w:p>
    <w:p>
      <w:pPr>
        <w:pStyle w:val="FirstParagraph"/>
      </w:pPr>
      <w:r>
        <w:t xml:space="preserve">Purpose. Category Grounding prevents a RippleLogic run from optimizing, governing, scoring, or authorizing action through categories whose definition, boundary, or reference structure is unexamined, stale, inherited without review, or too weak for the claim being made.</w:t>
      </w:r>
    </w:p>
    <w:p>
      <w:pPr>
        <w:pStyle w:val="BodyText"/>
      </w:pPr>
      <w:r>
        <w:t xml:space="preserve">Single-group rule. Category Grounding, Primitive Audit, Reference Category Review, and Category-Reality Correspondence Check belong to the Reality Grounding group. They are not new public cascade levels and MUST NOT be represented as separate gates parallel to Rights Floor, Tail-Risk Bound, Containment, or RippleLogic Score. The five-level method remains Reality Grounding -&gt; Rights Floor -&gt; TRC -&gt; CSV -&gt; RLS.</w:t>
      </w:r>
    </w:p>
    <w:p>
      <w:pPr>
        <w:pStyle w:val="BodyText"/>
      </w:pPr>
      <w:r>
        <w:t xml:space="preserve">Trigger. Category Grounding is REQUIRED when a material category affects rights status, protected-stakeholder inclusion, SGP interpretation, catastrophic-risk modeling, Containment, authority selection, conformance claims, public deployment claims, or any metric that will be optimized under pressure. It is RECOMMENDED for contested, novel, high-uncertainty, cross-domain, or high-prestige terms whose ordinary use may conceal structural ambiguity.</w:t>
      </w:r>
    </w:p>
    <w:p>
      <w:pPr>
        <w:pStyle w:val="BodyText"/>
      </w:pPr>
      <w:r>
        <w:t xml:space="preserve">Materiality test. A category is material when changing its definition, inclusion boundary, exclusion boundary, or reference structure could change the RealityGroundingStatus, NCRC/Rights Floor result, TRC scenario set, CSV result, SGP interpretation, AuthoritySelectionRecord, conformance claim, public deployment claim, deterministic-selection claim, or optimized metric.</w:t>
      </w:r>
    </w:p>
    <w:p>
      <w:pPr>
        <w:pStyle w:val="BodyText"/>
      </w:pPr>
      <w:r>
        <w:t xml:space="preserve">Metric-category rule. No metric may exceed the category that defines what it measures. If the category is weak, stale, contested, or insufficiently grounded, the metric may be used only within the resulting claim boundary and must not be laundered into stronger selection, conformance, or public claims.</w:t>
      </w:r>
    </w:p>
    <w:p>
      <w:pPr>
        <w:pStyle w:val="BodyText"/>
      </w:pPr>
      <w:r>
        <w:t xml:space="preserve">Minimum record. When the Section 2.1C trigger holds for a claim-bearing Tier 3 run, high-stakes Tier 2 run, or public conformance claim, the CategoryGroundingRecord MUST identify; for lower-stakes or exploratory runs it SHOULD identify: material_category; category_role; primitive_basis; definition; category_discriminator; dependency_position; inclusion_boundary; exclusion_boundary; common_confusions; noncollapse_pairs; reference_structure; evidence_surface; source_authority_status; category_maturity_status; falsification_or_revision_trigger; term_refusal_condition; downstream_dependencies; semantic_debt_flag; reviewer_status; and required_claim_action.</w:t>
      </w:r>
    </w:p>
    <w:p>
      <w:pPr>
        <w:pStyle w:val="BodyText"/>
      </w:pPr>
      <w:r>
        <w:t>Term Discrimination extension. For material terms, the record MUST identify the discriminator that separates the term from likely neighboring terms, the dependency position the term occupies in the decision stack, and the condition under which the term must be narrowed, escalated, monitored, treated as sensitivity-only, or refused. A downstream term MUST NOT claim upstream authority: certification is evidence, not validity; permission is authorization, not admissibility; monitoring is observation, not control; automation is execution and does not by itself establish autonomy; protection is moral standing, not governance authority; and a score is a bounded computation, not truth.</w:t>
      </w:r>
    </w:p>
    <w:p>
      <w:pPr>
        <w:pStyle w:val="BodyText"/>
      </w:pPr>
      <w:r>
        <w:t>Capability Claim Integrity rule. When a decision, gate, authority state, deployment decision, conformance statement, or public communication materially depends on a claimed capability, the run MUST operationalize the claim before it receives decision authority. The CapabilityAuthorityDecompositionRecord MUST state: operational_definition; observable_criteria; mechanism_or_system_composition; evidence_surface; validity_conditions; alternative_explanations; falsification_or_revision_trigger; evidence_maturity_stage; permitted_claim; and explicit_nonclaims, in addition to the capability-authority fields below. The permitted claim MUST be no stronger than the observed criteria, declared validity conditions, and evidence maturity.</w:t>
      </w:r>
    </w:p>
    <w:p>
      <w:pPr>
        <w:pStyle w:val="BodyText"/>
      </w:pPr>
      <w:r>
        <w:t>Composition and language boundary. A capability MAY be instantiated at the system level by the coordinated operation of probabilistic inference, memory, planning, tools, feedback, deterministic checks, human inputs, and execution interfaces. Decomposing a system into ordinary components does not by itself disprove a system-level capability. Conversely, fluent, anthropomorphic, commercial, or dramatic language does not prove consciousness, personhood, intrinsic goals, moral agency, general intelligence, unrestricted autonomy, or legitimate authority. The controlling question is what the pinned system demonstrably does, under which conditions, by which mechanism, with which failure boundary.</w:t>
      </w:r>
    </w:p>
    <w:p>
      <w:pPr>
        <w:pStyle w:val="BodyText"/>
      </w:pPr>
      <w:r>
        <w:t>Operational-label rule. Terms such as agentic, autonomous, reasoning, understanding, self-improving, and intelligent MAY be used in a bounded functional sense only when their operational definition and observable criteria are explicit. A claim that cannot be distinguished from a simpler alternative explanation MUST be narrowed, marked ASSUMPTION_BOUND or CONTESTED, restricted to exploratory or sensitivity-only use, or refused at the stronger level.</w:t>
      </w:r>
    </w:p>
    <w:p>
      <w:pPr>
        <w:pStyle w:val="BodyText"/>
      </w:pPr>
      <w:r>
        <w:t xml:space="preserve">Capability-authority decomposition rule. When automation, autonomy, agentic, reasoning, intent, or related capability language is material, the run MUST NOT rely on a single scalar level or marketing label. It MUST separately record: candidate_generation_method; reference_source; constraint_sources; objective_source; objective_change_authority; admissibility_warrant_sources; execution_interface; execution_scope; execution_authority_source; revocation_authority; safe_state_or_shutdown_path; and requalification_trigger. Probabilistic inference, deterministic checking, optimization, formal derivation, learned control, and human judgment MAY coexist in one system; their coexistence does not collapse generation into warrant, physical feasibility into safety, self-generated subgoals into legitimate normative authority, or technical capability into permission to execute.</w:t>
      </w:r>
    </w:p>
    <w:p>
      <w:pPr>
        <w:pStyle w:val="BodyText"/>
      </w:pPr>
      <w:r>
        <w:t xml:space="preserve">Claim action. If category grounding or term discrimination is insufficient for a material claim, the run MUST narrow the claim, mark the category ASSUMPTION_BOUND or CONTESTED, collect stronger evidence, escalate for review, restrict use to exploratory/sensitivity-only analysis, or refuse the stronger claim. It MUST NOT launder category uncertainty or term collapse through RLS, PLSS, HDW, PCC completion, authority selection, certification, compliance, monitoring, model fluency, or stakeholder preference.</w:t>
      </w:r>
    </w:p>
    <w:p>
      <w:pPr>
        <w:pStyle w:val="BodyText"/>
      </w:pPr>
      <w:r>
        <w:t xml:space="preserve">Plain-language rule. Before MathGov scores a thing, it must check whether the thing has been named and bounded correctly enough for the claim being made.</w:t>
      </w:r>
    </w:p>
    <w:bookmarkEnd w:id="30"/>
    <w:bookmarkStart w:id="31" w:name="Xe5db27642ad2c71b29b90f71133d83958ca43d1"/>
    <w:p>
      <w:pPr>
        <w:pStyle w:val="Heading2"/>
      </w:pPr>
      <w:r>
        <w:rPr>
          <w:bCs/>
          <w:b/>
        </w:rPr>
        <w:t xml:space="preserve">2.1D Source-Coupling Integrity and Generative-Source Traceability inside Reality Grounding (Normative)</w:t>
      </w:r>
    </w:p>
    <w:p>
      <w:pPr>
        <w:pStyle w:val="FirstParagraph"/>
      </w:pPr>
      <w:r>
        <w:t xml:space="preserve">Purpose. Source-Coupling Integrity prevents a RippleLogic run from treating downstream output, institutional permission, compliance status, model fluency, benchmark performance, inherited procedure, or interface success as proof that a claimed capability is grounded in the enabling conditions and boundary conditions that make it possible.</w:t>
      </w:r>
    </w:p>
    <w:p>
      <w:pPr>
        <w:pStyle w:val="BodyText"/>
      </w:pPr>
      <w:r>
        <w:t xml:space="preserve">Single-group rule. Source-Coupling Integrity belongs to the Reality Grounding group and is consumed by CSV when source weakness creates structural fragility. It is not a new public cascade level and MUST NOT be represented as a sixth gate. The public method remains RG -&gt; RF -&gt; TRC -&gt; CSV -&gt; RLS.</w:t>
      </w:r>
    </w:p>
    <w:p>
      <w:pPr>
        <w:pStyle w:val="BodyText"/>
      </w:pPr>
      <w:r>
        <w:t xml:space="preserve">Trigger. Source-Coupling Review is REQUIRED when a material claimed capability, output, model, metric, procedure, institutional standard, inherited category, generated result, or agentic action affects claim authority, RF/NCRC, TRC, CSV, RLS, SGP interpretation, execution authority, or public conformance and any of the following conditions holds: (i) the output is generated, simulated, benchmark-derived, model-inferred, or dashboard-derived; (ii) the run relies on an inherited procedure, standard, dataset, legal category, or compliance label as if it settled the underlying claim; (iii) a capability is extrapolated beyond the conditions in which it was demonstrated; (iv) downstream controls or monitoring compensate for a limitation whose enabling conditions remain unclear; or (v) a challenger plausibly alleges that performance, permission, compliance, or fluency is being substituted for grounded capability.</w:t>
      </w:r>
    </w:p>
    <w:p>
      <w:pPr>
        <w:pStyle w:val="BodyText"/>
      </w:pPr>
      <w:r>
        <w:t xml:space="preserve">Minimum record. When triggered for a claim-bearing Tier 3 run, high-stakes Tier 2 run, or public conformance claim, the SourceCouplingRecord MUST identify; for lower-stakes or exploratory runs it SHOULD identify: claimed_capability; enabling_conditions; boundary_conditions; source_evidence; generator_output_distinction; inherited_assumptions; downstream_compensations; source_coupling_status; source_debt_flag; falsification_or_recheck_trigger; and required_claim_action.</w:t>
      </w:r>
    </w:p>
    <w:p>
      <w:pPr>
        <w:pStyle w:val="BodyText"/>
      </w:pPr>
      <w:r>
        <w:t xml:space="preserve">Status values. SourceCouplingStatus values are SOURCE_COUPLED, SOURCE_PARTIAL, SOURCE_INFERRED, SOURCE_UNKNOWN, SOURCE_CONTESTED, SOURCE_DEBT_RISK, and SOURCE_COUPLING_FAILURE. SOURCE_COUPLED may support the declared claim boundary. SOURCE_PARTIAL, SOURCE_INFERRED, SOURCE_UNKNOWN, or SOURCE_CONTESTED requires claim narrowing, assumption-bound use, additional evidence, escalation, or refusal of the stronger claim as appropriate. SOURCE_DEBT_RISK routes the issue to CSV when structural viability depends on the weakly coupled capability. SOURCE_COUPLING_FAILURE means the run is substituting output, fluency, compliance, permission, or inherited procedure for source-coupled evidence and MUST refuse or redesign the stronger claim.</w:t>
      </w:r>
    </w:p>
    <w:p>
      <w:pPr>
        <w:pStyle w:val="BodyText"/>
      </w:pPr>
      <w:r>
        <w:t xml:space="preserve">Source-debt diagnostic. Source debt is the structural risk created when a run proceeds through compensatory controls while the enabling conditions, boundary conditions, or limits of a claimed capability remain weak, stale, unknown, overextended, or contested. Source debt is different from semantic debt: semantic debt concerns weak terms or categories; source debt concerns weak understanding of the capability-generating conditions themselves.</w:t>
      </w:r>
    </w:p>
    <w:p>
      <w:pPr>
        <w:pStyle w:val="BodyText"/>
      </w:pPr>
      <w:r>
        <w:t xml:space="preserve">CSV routing. CSV SHOULD consume source-coupling evidence when source weakness creates containment risk, dependency risk, hollowing risk, execution non-viability, reversibility failure, monitoring inadequacy, or hidden structural fragility. A weak SourceCouplingRecord does not automatically fail every option, but it constrains the claim and may require controls, redesign, escalation, or refusal.</w:t>
      </w:r>
    </w:p>
    <w:p>
      <w:pPr>
        <w:pStyle w:val="BodyText"/>
      </w:pPr>
      <w:r>
        <w:t xml:space="preserve">Agent-output rule. Model fluency, benchmark performance, chain-of-action success, tool-use success, or policy-filter compliance does not establish source-coupled admissibility. Agent outputs remain downstream claims until Reality Grounding and, where material, Source-Coupling Review establish the supported claim boundary.</w:t>
      </w:r>
    </w:p>
    <w:p>
      <w:pPr>
        <w:pStyle w:val="BodyText"/>
      </w:pPr>
      <w:r>
        <w:t xml:space="preserve">MathGov-native source-coupling note. Source-Coupling Integrity is an internal Reality Grounding and CSV diagnostic for checking whether decision claims remain connected to their declared sources, evidence surfaces, validity domains, and correction pathways. It does not import any external ontology, protected framework, or third-party text.</w:t>
      </w:r>
    </w:p>
    <w:p>
      <w:pPr>
        <w:pStyle w:val="BodyText"/>
      </w:pPr>
      <w:r>
        <w:t xml:space="preserve">Plain-language rule. Before MathGov trusts a capability, it asks what makes the capability possible, what limits came with it, and whether downstream performance is being mistaken for grounded understanding.</w:t>
      </w:r>
    </w:p>
    <w:bookmarkEnd w:id="31"/>
    <w:bookmarkStart w:id="32" w:name="Xba5d34dacc27ac7687e9f0b949fbdcf65e689d7"/>
    <w:p>
      <w:pPr>
        <w:pStyle w:val="Heading2"/>
      </w:pPr>
      <w:r>
        <w:rPr>
          <w:bCs/>
          <w:b/>
        </w:rPr>
        <w:t xml:space="preserve">2.1E Physical/Causal Admissibility Evidence Profile inside Reality Grounding and CSV (Normative)</w:t>
      </w:r>
    </w:p>
    <w:p>
      <w:pPr>
        <w:pStyle w:val="FirstParagraph"/>
      </w:pPr>
      <w:r>
        <w:t xml:space="preserve">Purpose. The Physical/Causal Admissibility Evidence Profile prevents a RippleLogic run from treating generated action candidates, simulations, model outputs, policy approvals, certifications, monitoring plans, compliance labels, or governance permission as proof that a consequence-bearing action is physically or causally admissible before execution.</w:t>
      </w:r>
    </w:p>
    <w:p>
      <w:pPr>
        <w:pStyle w:val="BodyText"/>
      </w:pPr>
      <w:r>
        <w:t xml:space="preserve">Single-group rule. Physical/Causal Admissibility Evidence belongs to the Reality Grounding group and is consumed by CSV when action execution depends on physical, biological, ecological, medical, engineering, cyber-physical, infrastructural, operational, or causal constraints. It is not a new public cascade level and MUST NOT be represented as a sixth gate. The public method remains RG -&gt; RF -&gt; TRC -&gt; CSV -&gt; RLS.</w:t>
      </w:r>
    </w:p>
    <w:p>
      <w:pPr>
        <w:pStyle w:val="BodyText"/>
      </w:pPr>
      <w:r>
        <w:t xml:space="preserve">Boundary rule. MathGov does not claim to generate complete physical truth, formal verification, engineering certification, medical clearance, legal approval, or deployment certification. It requires the decision record to declare what domain evidence, model basis, uncertainty, controls, and residual unknowns support the claim boundary. Domain experts, formal methods, empirical tests, simulations, engineering analysis, clinical evidence, safety cases, or other qualified warrants remain necessary when the domain requires them.</w:t>
      </w:r>
    </w:p>
    <w:p>
      <w:pPr>
        <w:pStyle w:val="BodyText"/>
      </w:pPr>
      <w:r>
        <w:t xml:space="preserve">Formal-conformance boundary. Formal verification establishes conformance between an implementation and a declared specification under stated assumptions. For a physical or causal admissibility claim, the run MUST separately justify how that specification maps to the relevant reality surface, validity domain, boundary conditions, uncertainty, and domain evidence. Internal consistency or verified implementation alone does not establish physical correspondence, safe execution, or deployment readiness.</w:t>
      </w:r>
    </w:p>
    <w:p>
      <w:pPr>
        <w:pStyle w:val="BodyText"/>
      </w:pPr>
      <w:r>
        <w:t xml:space="preserve">Trigger. A Physical/Causal Admissibility Evidence Profile is REQUIRED for Tier 3 runs and high-stakes Tier 2 runs when a candidate action materially affects bodily safety, medical treatment, robotics, vehicles, infrastructure, industrial systems, energy systems, environmental intervention, weapons or security systems, autonomous execution, cyber-physical operations, irreversible resource commitment, or any causal pathway where execution can create non-trivial physical, biological, ecological, or operational harm. It is RECOMMENDED for ordinary Tier 2 runs when physical or causal uncertainty could change RF/NCRC, TRC, CSV, authority, or public claim strength.</w:t>
      </w:r>
    </w:p>
    <w:p>
      <w:pPr>
        <w:pStyle w:val="BodyText"/>
      </w:pPr>
      <w:r>
        <w:t xml:space="preserve">Minimum record. When triggered, the PhysicalCausalAdmissibilityEvidenceProfile MUST identify: candidate_generation_source; physical_or_causal_model_used; validity_domain; boundary_conditions; uncertainty_range; failure_modes; reversibility_or_irreversibility_boundary; verification_simulation_empirical_test_or_expert_warrant; admissibility_warrant_source; monitoring_and_shutoff_path; residual_unknowns; and required_claim_action.</w:t>
      </w:r>
    </w:p>
    <w:p>
      <w:pPr>
        <w:pStyle w:val="BodyText"/>
      </w:pPr>
      <w:r>
        <w:t xml:space="preserve">Status values. PhysicalCausalAdmissibilityStatus values are PCAE_SUPPORTED, PCAE_ASSUMPTION_BOUND, PCAE_PARTIAL, PCAE_CONTESTED, PCAE_UNKNOWN, PCAE_VERIFICATION_REQUIRED, PCAE_CONTROL_REQUIRED, PCAE_REDESIGN_REQUIRED, and PCAE_REFUSE_OR_BLOCK. PCAE_SUPPORTED may support the declared claim boundary. All weaker statuses constrain the claim and route to evidence collection, controls, redesign, escalation, or refusal according to severity, reversibility, and gate materiality.</w:t>
      </w:r>
    </w:p>
    <w:p>
      <w:pPr>
        <w:pStyle w:val="BodyText"/>
      </w:pPr>
      <w:r>
        <w:t xml:space="preserve">Claim action. Required claim action MUST be one of: proceed, narrow, control, redesign, escalate, or refuse. Proceed is permitted only within the declared validity domain and only when RF/NCRC, TRC, CSV, authority, and audit requirements are also satisfied. Narrow means the claim or action boundary must be reduced. Control means binding constraints, monitoring, shutoff, rollback, or human oversight are part of the option. Redesign means the candidate is not selectable as specified. Escalate means domain review or stronger evidence is required. Refuse means the requested claim or execution is not admissible under the declared evidence.</w:t>
      </w:r>
    </w:p>
    <w:p>
      <w:pPr>
        <w:pStyle w:val="BodyText"/>
      </w:pPr>
      <w:r>
        <w:t xml:space="preserve">CSV consumption rule. CSV MUST consume the profile when structural viability depends on physical or causal adequacy, dependency closure, resource closure, operational capacity, reversibility, monitoring adequacy, containment, authority, or host-system integrity. A weak profile does not automatically fail every option, but it prevents strong selectability, conformance, deployment, safety, or alignment claims until the weakness is resolved, controlled, narrowed, escalated, or refused. For consequence-bearing physical execution,</w:t>
      </w:r>
      <w:r>
        <w:t xml:space="preserve"> </w:t>
      </w:r>
      <w:r>
        <w:rPr>
          <w:rStyle w:val="VerbatimChar"/>
        </w:rPr>
        <w:t xml:space="preserve">CSV_PASS_WITH_CONTROLS</w:t>
      </w:r>
      <w:r>
        <w:t xml:space="preserve"> </w:t>
      </w:r>
      <w:r>
        <w:t xml:space="preserve">is unavailable while physical or causal admissibility remains unresolved. Controls may support only bounded evidence collection, sandboxing, containment, monitoring, staged testing, or another non-execution or learning action whose own risks pass RF/NCRC, TRC, and CSV; they do not substitute for the domain warrant required for the physical execution as specified.</w:t>
      </w:r>
    </w:p>
    <w:p>
      <w:pPr>
        <w:pStyle w:val="BodyText"/>
      </w:pPr>
      <w:r>
        <w:t xml:space="preserve">TRC feedback rule. If the profile identifies a catastrophic, irreversible, lock-in, ruin-path, or severe harm scenario that was not represented in TRC, the run MUST reopen TRC before RLS. CSV may discover TRC-relevant material, but it does not absorb or replace TRC.</w:t>
      </w:r>
    </w:p>
    <w:p>
      <w:pPr>
        <w:pStyle w:val="BodyText"/>
      </w:pPr>
      <w:r>
        <w:t xml:space="preserve">Plain-language rule. Before MathGov allows action in the physical or causal world, it asks what model of reality is being used, where that model stops, what could fail, whether harm is reversible, what evidence or expert warrant supports the action, how the action will be monitored or stopped, what remains unknown, and whether the right answer is proceed, narrow, control, redesign, escalate, or refuse.</w:t>
      </w:r>
    </w:p>
    <w:bookmarkEnd w:id="32"/>
    <w:bookmarkStart w:id="33" w:name="Xdf7b9fec9db129d3cd49f7edfb33084403a182c"/>
    <w:p>
      <w:pPr>
        <w:pStyle w:val="Heading2"/>
      </w:pPr>
      <w:r>
        <w:rPr>
          <w:bCs/>
          <w:b/>
        </w:rPr>
        <w:t xml:space="preserve">2.1F Methodological Falsifiability and Dependency Integrity inside Reality Grounding (Normative)</w:t>
      </w:r>
    </w:p>
    <w:p>
      <w:pPr>
        <w:pStyle w:val="FirstParagraph"/>
      </w:pPr>
      <w:r>
        <w:t xml:space="preserve">Purpose. Methodological Falsifiability and Dependency Integrity prevents RippleLogic runs from treating plausibility, coherence, institutional approval, statistical usefulness, fluent explanation, or after-the-fact model repair as adequate support for a material claim. It strengthens Reality Grounding by requiring material claims to declare how they could be tested, challenged, revised, narrowed, escalated, or refused.</w:t>
      </w:r>
    </w:p>
    <w:p>
      <w:pPr>
        <w:pStyle w:val="BodyText"/>
      </w:pPr>
      <w:r>
        <w:t xml:space="preserve">Single-group rule. Methodological integrity belongs inside Reality Grounding and is consumed by RF/NCRC, TRC, CSV, RLS, SGP, validation protocols, and public claim review where relevant. It is not a new public cascade level and MUST NOT be represented as a sixth gate. The public method remains RG -&gt; RF -&gt; TRC -&gt; CSV -&gt; RLS.</w:t>
      </w:r>
    </w:p>
    <w:p>
      <w:pPr>
        <w:pStyle w:val="BodyText"/>
      </w:pPr>
      <w:r>
        <w:t xml:space="preserve">Boundary rule. MathGov does not require every ethical or legal term to be physically falsifiable, and it does not deny probabilistic evidence. Empirical, causal, formal, operational, legal-regulatory, normative, and metaphysical-horizon claims have different evidence disciplines. Normative commitments must be explicit, coherent, rights-compatible, challengeable, and auditable in application; they MUST NOT be presented as discovered physical facts. Legal-regulatory claims require a declared jurisdiction, authority source, applicability boundary, and review or contest path; legal classification does not establish empirical capability, causal validity, physical safety, or ethical legitimacy by itself. Metaphysical horizon language may orient humility and meaning, but it cannot create Tier 1-3 evidence, gate override, legal authority, deployment permission, or empirical validation.</w:t>
      </w:r>
    </w:p>
    <w:p>
      <w:pPr>
        <w:pStyle w:val="BodyText"/>
      </w:pPr>
      <w:r>
        <w:t xml:space="preserve">Claim-domain and warrant-domain non-substitution rule. A run MUST separately identify the claim_type, the primary claim_domain in which the conclusion is asserted, and one or more warrant_domains from which support is drawn. Scientific or empirical evidence may establish bounded descriptive or causal support but does not by itself create legal authority or normative legitimacy. Engineering performance may establish bounded operational capability but does not by itself establish rights compatibility, lawful permission, or safety outside the tested envelope. Legal, regulatory, institutional, certification, compliance, or policy authority may govern permission, procedure, responsibility, testing, or review, but it does not by itself establish empirical truth, causal validity, technical capability, physical safety, or reduced epistemic uncertainty. Commercial or anthropomorphic terminology may describe or market a system but creates no stronger evidence or authority by itself. If a material warrant domain differs from the claim domain, cross_domain_bridges MUST contain one explicit bridge record for each material cross-domain relationship. Each bridge states the bridge proposition, evidence or rationale, uncertainty, validity or jurisdiction boundary, and refusal or revision condition. An unsupported bridge constrains or refuses the stronger claim; it MUST NOT be laundered through authority, popularity, compliance, certification, scoring, or model fluency. A materially mixed conclusion SHOULD be split into separately typed claims rather than assigned an ambiguous mixed domain.</w:t>
      </w:r>
    </w:p>
    <w:p>
      <w:pPr>
        <w:pStyle w:val="BodyText"/>
      </w:pPr>
      <w:r>
        <w:t xml:space="preserve">Trigger. A MethodologicalIntegrityRecord is REQUIRED for Tier 3 public or institutional claim-bearing runs and high-stakes Tier 2 runs when a material claim could affect RF/NCRC, TRC, CSV, SGP status, authority, deployment, public conformance, deterministic-selection wording, validation status, or the claimed safety/reliability of a physical, causal, social, institutional, or AI-mediated action. It is RECOMMENDED for ordinary Tier 2 runs when assumptions, definitions, or model revisions could change decision standing.</w:t>
      </w:r>
    </w:p>
    <w:p>
      <w:pPr>
        <w:pStyle w:val="BodyText"/>
      </w:pPr>
      <w:r>
        <w:t xml:space="preserve">Minimum record. When triggered, the MethodologicalIntegrityRecord MUST identify: claim_or_component; claim_type; claim_domain; warrant_domains; cross_domain_bridges; dependency_position; starting_assumptions; definition_or_operator_used; necessity_or_alternative_check; evidence_or_test_surface; falsification_or_revision_trigger; uncertainty_or_confidence_method; downstream_dependencies; re_derivation_scope_if_changed; reviewer_status; and required_claim_action. Each cross_domain_bridges entry MUST identify from_warrant_domain; to_claim_domain; bridge_status; bridge_proposition; bridge_evidence_or_rationale; uncertainty; validity_or_jurisdiction_boundary; and revision_or_refusal_condition. Allowed bridge_status values are SAME_DOMAIN, BRIDGE_SUPPORTED, BRIDGE_PARTIAL, BRIDGE_UNSUPPORTED, and NOT_APPLICABLE. BRIDGE_PARTIAL constrains the claim to the supported portion. BRIDGE_UNSUPPORTED requires narrowing, escalation, redesign, or refusal of the cross-domain conclusion.</w:t>
      </w:r>
    </w:p>
    <w:p>
      <w:pPr>
        <w:pStyle w:val="BodyText"/>
      </w:pPr>
      <w:r>
        <w:t xml:space="preserve">Status values. MethodologicalIntegrityStatus values are METHOD_SUPPORTED, ASSUMPTION_BOUND, ALT_EXPLANATION_OPEN, TEST_REQUIRED, CONTESTED, REVISION_REQUIRED, and REFUSE_STRONGER_CLAIM. METHOD_SUPPORTED may support the declared claim boundary. All weaker statuses constrain the claim and route to evidence collection, narrowing, controls, redesign, escalation, or refusal according to stakes and gate materiality.</w:t>
      </w:r>
    </w:p>
    <w:p>
      <w:pPr>
        <w:pStyle w:val="BodyText"/>
      </w:pPr>
      <w:r>
        <w:t xml:space="preserve">Necessity discipline. Where a run claims that a principle, definition, operator, threshold, or configuration is necessary, it MUST record why plausible alternatives fail or why the claim must be weakened to assumption-bound or model-bound status. If a plausible alternative could explain the same result, the stronger necessity claim is not permitted.</w:t>
      </w:r>
    </w:p>
    <w:p>
      <w:pPr>
        <w:pStyle w:val="BodyText"/>
      </w:pPr>
      <w:r>
        <w:t xml:space="preserve">Failure and re-derivation rule. If a starting assumption, definition, operator, threshold, model basis, or predicted effect fails a declared test or audit surface, the run MUST NOT silently tune the model and preserve the same claim. It must reopen the affected dependency chain, state the re-derivation scope, version the change, and rerun every downstream gate or calculation materially dependent on the changed element.</w:t>
      </w:r>
    </w:p>
    <w:p>
      <w:pPr>
        <w:pStyle w:val="BodyText"/>
      </w:pPr>
      <w:r>
        <w:t xml:space="preserve">Plain-language rule. Before MathGov trusts a claim, it asks: what kind of claim is this, what does it depend on, what would prove it wrong or force revision, what alternatives could explain the result, what changes downstream if it fails, and should the claim proceed, narrow, control, redesign, escalate, or refuse?</w:t>
      </w:r>
    </w:p>
    <w:bookmarkEnd w:id="33"/>
    <w:bookmarkStart w:id="34" w:name="X2d5c42c38123bb38fa35a72ea0090fb10a62793"/>
    <w:p>
      <w:pPr>
        <w:pStyle w:val="Heading2"/>
      </w:pPr>
      <w:r>
        <w:rPr>
          <w:bCs/>
          <w:b/>
        </w:rPr>
        <w:t xml:space="preserve">2.2 Unions as the Unit of Analysis (Operational Definition)</w:t>
      </w:r>
    </w:p>
    <w:p>
      <w:pPr>
        <w:pStyle w:val="FirstParagraph"/>
      </w:pPr>
      <w:r>
        <w:t xml:space="preserve">Definition: A union is a bounded pattern of interdependence: a set of entities whose internal interactions are sufficiently strong, frequent, or consequential that their welfare should be evaluated together for the decision context.</w:t>
      </w:r>
    </w:p>
    <w:p>
      <w:pPr>
        <w:pStyle w:val="BodyText"/>
      </w:pPr>
      <w:r>
        <w:t xml:space="preserve">In this specification, the operational objects scored and indexed by u are Union Scopes (Scopes), meaning unions used as stable scopes of aggregation and accountability.</w:t>
      </w:r>
    </w:p>
    <w:p>
      <w:pPr>
        <w:pStyle w:val="BodyText"/>
      </w:pPr>
      <w:r>
        <w:t xml:space="preserve">Unions are analytical constructs for causal and welfare accounting; they are not metaphysical substances. The union concept operationalizes the systems-theoretic observation that complex systems exhibit hierarchical modularity (Simon, 1962).</w:t>
      </w:r>
    </w:p>
    <w:bookmarkEnd w:id="34"/>
    <w:bookmarkStart w:id="35" w:name="X48af74ae339e0670214922af239cc97e9407bfe"/>
    <w:p>
      <w:pPr>
        <w:pStyle w:val="Heading2"/>
      </w:pPr>
      <w:r>
        <w:rPr>
          <w:bCs/>
          <w:b/>
        </w:rPr>
        <w:t xml:space="preserve">2.2A Union Scopes and Instance Modeling (Normative)</w:t>
      </w:r>
    </w:p>
    <w:p>
      <w:pPr>
        <w:pStyle w:val="FirstParagraph"/>
      </w:pPr>
      <w:r>
        <w:t xml:space="preserve">Terminology clarification. Introduced in RippleLogic v12.0 and carried forward in v12.2, the canonical term Union Scope refers to the objects indexed by u∈{1,…,7} in the welfare matrix. For readability and reduced ambiguity, Scope is the default shorthand in technical and implementation contexts. The term Union remains an allowed legacy shorthand in narrative contexts and lineage documents. This clarification SHALL NOT change the mathematical meaning of u or any cascade semantics. Machine-readable surfaces SHOULD prefer UnionScope / UnionScopes as the canonical identifier family; Union remains a permitted human-readable alias in prose and UI text.</w:t>
      </w:r>
    </w:p>
    <w:p>
      <w:pPr>
        <w:pStyle w:val="BodyText"/>
      </w:pPr>
      <w:r>
        <w:t xml:space="preserve">Purpose. Union Scopes are designed to be minimal but covering, a small stable set of aggregation scopes that prevents systematic stakeholder erasure while supporting auditability and comparability across decisions.</w:t>
      </w:r>
    </w:p>
    <w:bookmarkEnd w:id="35"/>
    <w:bookmarkStart w:id="36" w:name="X1409499d61c4021c954a6a89fff4683260d4395"/>
    <w:p>
      <w:pPr>
        <w:pStyle w:val="Heading2"/>
      </w:pPr>
      <w:r>
        <w:rPr>
          <w:bCs/>
          <w:b/>
        </w:rPr>
        <w:t xml:space="preserve">2.2A.1 Definitions (Normative)</w:t>
      </w:r>
    </w:p>
    <w:p>
      <w:pPr>
        <w:pStyle w:val="FirstParagraph"/>
      </w:pPr>
      <w:r>
        <w:t xml:space="preserve">Union Scope (Scope). A Union Scope is a stable scope of impact aggregation used to evaluate decision consequences across layered and intersecting analytical scopes. Union Scopes are the rows of the canonical 7×7 welfare matrix.</w:t>
      </w:r>
    </w:p>
    <w:p>
      <w:pPr>
        <w:pStyle w:val="BodyText"/>
      </w:pPr>
      <w:r>
        <w:t xml:space="preserve">Stakeholder. A stakeholder is any entity that is plausibly materially affected by a candidate option a, including entities affected through externalities, indirect pathways, or future propagation within the declared decision horizon.</w:t>
      </w:r>
    </w:p>
    <w:p>
      <w:pPr>
        <w:pStyle w:val="BodyText"/>
      </w:pPr>
      <w:r>
        <w:t xml:space="preserve">Instance. An instance is a stakeholder bound to the decision context as stakeholder-in-role-in-context, meaning a stakeholder with a declared role and exposure pathway relevant to the decision. Examples include: employee, patient, local resident, watershed ecology unit, cross-border supply-chain worker, digital agent affected by policy. Instances are the primary unit of stakeholder logging for auditability, Union Scopes are the primary unit of aggregation for comparison.</w:t>
      </w:r>
    </w:p>
    <w:p>
      <w:pPr>
        <w:pStyle w:val="BodyText"/>
      </w:pPr>
      <w:r>
        <w:t xml:space="preserve">Structural anchor. Scopes × Dimensions form the welfare matrix. Instances feed the cells.</w:t>
      </w:r>
    </w:p>
    <w:p>
      <w:pPr>
        <w:pStyle w:val="BodyText"/>
      </w:pPr>
      <w:r>
        <w:t xml:space="preserve">Local Stakeholder Set (LSS). The LSS is the context-specific set of stakeholder instances materially affected by a decision. It is the upstream representation object produced by stakeholder discovery and instance-to-scope mapping, and it is the justified input used to support any PLSS prominence declaration.</w:t>
      </w:r>
    </w:p>
    <w:bookmarkEnd w:id="36"/>
    <w:bookmarkStart w:id="37" w:name="X21b52a6874c6b0beb0b8b2985938f3e6ff4200e"/>
    <w:p>
      <w:pPr>
        <w:pStyle w:val="Heading2"/>
      </w:pPr>
      <w:r>
        <w:rPr>
          <w:bCs/>
          <w:b/>
        </w:rPr>
        <w:t xml:space="preserve">2.2A.2 Stakeholder Discovery Protocol (SDP) (Tier-linked; Normative)</w:t>
      </w:r>
    </w:p>
    <w:p>
      <w:pPr>
        <w:pStyle w:val="FirstParagraph"/>
      </w:pPr>
      <w:r>
        <w:t xml:space="preserve">Tier 3: REQUIRED. Tier 2: RECOMMENDED by default and REQUIRED when any SDP trigger holds. When no SDP trigger holds, a Tier 2 run MAY satisfy this requirement with a lightweight stakeholder note stating that no trigger held and why, or MAY voluntarily include a full SDP record. SDP is a short, explicit process for discovering omission-likely stakeholders so discovery is not optional by taste.</w:t>
      </w:r>
    </w:p>
    <w:p>
      <w:pPr>
        <w:pStyle w:val="BodyText"/>
      </w:pPr>
      <w:r>
        <w:t xml:space="preserve">Minimum SDP steps (recorded in PCC): (i) define decision boundary and horizon, (ii) map the causal footprint and externality pathways, (iii) scan for rights exposure and catastrophe relevance, (iv) draft the Local Stakeholder Set (LSS) as the stakeholder instance set, (v) map instances to one or more Union Scopes with rationale, (vi) record unknowns and declared blind spots, including escalation triggers, (vii) provide a challenger opportunity for missing instances at Tier 3.</w:t>
      </w:r>
    </w:p>
    <w:p>
      <w:pPr>
        <w:pStyle w:val="BodyText"/>
      </w:pPr>
      <w:r>
        <w:t xml:space="preserve">SDP triggers (Tier 2 REQUIRED): rights-covered cells plausibly affected, or TRC triggered/catastrophe relevance plausible, or externalities beyond decision owner plausible (cross-community/organization/polity, biosphere pathway), or irreversibility/lock-in plausible, or credible challenger claims omitted stakeholder class or scope, or information/procedure/enforcement/ecology pathways plausible.</w:t>
      </w:r>
    </w:p>
    <w:bookmarkEnd w:id="37"/>
    <w:bookmarkStart w:id="38" w:name="Xf3b0b04f7f12c4ebe221f7f9e6f224a4aa0a1a9"/>
    <w:p>
      <w:pPr>
        <w:pStyle w:val="Heading2"/>
      </w:pPr>
      <w:r>
        <w:rPr>
          <w:bCs/>
          <w:b/>
        </w:rPr>
        <w:t xml:space="preserve">2.2A.3 Instance-to-Scope Mapping Requirement (Tier-linked; Normative)</w:t>
      </w:r>
    </w:p>
    <w:p>
      <w:pPr>
        <w:pStyle w:val="FirstParagraph"/>
      </w:pPr>
      <w:r>
        <w:t xml:space="preserve">Tier 3 requirement. A Tier 3 run MUST explicitly log a set of stakeholder instances and map each instance to one or more Union Scopes, with a rationale sufficient for an independent reviewer to understand why the instance belongs in the mapped scope(s). This mapping SHALL be recorded in the PCC (Appendix H).</w:t>
      </w:r>
    </w:p>
    <w:p>
      <w:pPr>
        <w:pStyle w:val="BodyText"/>
      </w:pPr>
      <w:r>
        <w:t xml:space="preserve">Tier 2 requirement under triggers. When any SDP trigger holds, Tier 2 runs MUST log and map stakeholder instances for the affected pathways and rights-relevant domains. Otherwise, Tier 2 runs SHOULD still log and map instances whenever the decision plausibly affects stakeholders beyond the decision owner.</w:t>
      </w:r>
    </w:p>
    <w:p>
      <w:pPr>
        <w:pStyle w:val="BodyText"/>
      </w:pPr>
      <w:r>
        <w:t xml:space="preserve">Minimum mapping rule. Every logged instance MUST map to at least one Union Scope. If an affected stakeholder cannot be mapped, the PCC MUST record this as an explicit coverage limitation, not as neutrality, including: (i) why mapping was infeasible, (ii) what scope(s) might plausibly apply, and (iii) what risk this creates.</w:t>
      </w:r>
    </w:p>
    <w:bookmarkEnd w:id="38"/>
    <w:bookmarkStart w:id="39" w:name="X855ad68a1371dc87a1f27fbe09e4e6be1e99341"/>
    <w:p>
      <w:pPr>
        <w:pStyle w:val="Heading2"/>
      </w:pPr>
      <w:r>
        <w:rPr>
          <w:bCs/>
          <w:b/>
        </w:rPr>
        <w:t xml:space="preserve">2.2A.4 Multi-scope Mapping and Redundancy Handling (Normative)</w:t>
      </w:r>
    </w:p>
    <w:p>
      <w:pPr>
        <w:pStyle w:val="FirstParagraph"/>
      </w:pPr>
      <w:r>
        <w:t xml:space="preserve">Multi-scope mapping is permitted. An instance MAY map to multiple Union Scopes where the decision plausibly affects that instance across multiple nested scales.</w:t>
      </w:r>
    </w:p>
    <w:p>
      <w:pPr>
        <w:pStyle w:val="BodyText"/>
      </w:pPr>
      <w:r>
        <w:t xml:space="preserve">No silent duplication. Implementations MUST NOT silently log the same underlying effect multiple times across scopes in a way that inflates welfare scoring without disclosure. If a modeling choice results in an effect being represented across multiple scopes, the PCC MUST disclose the rationale using one declared redundancy-handling method for the affected effect-class: (i) EMERGENT_SCALE_JUSTIFICATION, counted across multiple scopes because the effect is meaningfully different at different scales, (ii) DEDUPLICATION, logged once at a declared primary scope with cross-scope effects represented via ripple propagation and structural metrics, or (iii) ALLOCATION (optional), effect split across scopes to prevent redundant counting.</w:t>
      </w:r>
    </w:p>
    <w:p>
      <w:pPr>
        <w:pStyle w:val="BodyText"/>
      </w:pPr>
      <w:r>
        <w:t xml:space="preserve">Effect-token (allocation only). An effect-token is a redundant conserved causal unit used only to prevent redundant counting across scopes, for example the same dollars, the same one-time transfer, the same compliance cost. If ALLOCATION is used for an effect-token, the PCC MUST declare the token, the allocation method, the coefficients used, and the scope list. Allocation coefficients for a single effect-token MUST satisfy Σ_u α_u ≤ 1 for that token, summed over the scopes listed for that token.</w:t>
      </w:r>
    </w:p>
    <w:p>
      <w:pPr>
        <w:pStyle w:val="BodyText"/>
      </w:pPr>
      <w:r>
        <w:t xml:space="preserve">No allocation laundering. ALLOCATION is permitted only for declared redundant conserved-unit effect-tokens. Distinct welfare harms, for example health harm versus ecosystem degradation, MUST be logged as distinct impact instances and SHALL NOT be allocated away.</w:t>
      </w:r>
    </w:p>
    <w:p>
      <w:pPr>
        <w:pStyle w:val="BodyText"/>
      </w:pPr>
      <w:r>
        <w:t xml:space="preserve">Allocation guard. Allocation SHALL NOT be used to suppress or mask adverse impacts in any rights-covered or catastrophe-relevant evaluation. Redundancy handling cannot weaken NCRC, TRC, or CSV computations.</w:t>
      </w:r>
    </w:p>
    <w:bookmarkEnd w:id="39"/>
    <w:bookmarkStart w:id="40" w:name="X88b40f056db3d4210accafd9c80aa0945b46384"/>
    <w:p>
      <w:pPr>
        <w:pStyle w:val="Heading2"/>
      </w:pPr>
      <w:r>
        <w:rPr>
          <w:bCs/>
          <w:b/>
        </w:rPr>
        <w:t xml:space="preserve">2.2A.5 Reduced-scope Mode (Normative)</w:t>
      </w:r>
    </w:p>
    <w:p>
      <w:pPr>
        <w:pStyle w:val="FirstParagraph"/>
      </w:pPr>
      <w:r>
        <w:t xml:space="preserve">Reduced-scope mode allows an evaluator to run with fewer than 7 scopes for mapping or reporting depth, provided omissions are explicitly disclosed. Reduced-scope mode SHALL NOT remove any non-maskable cells or required scope rows from NCRC, TRC, or CSV computation.</w:t>
      </w:r>
    </w:p>
    <w:p>
      <w:pPr>
        <w:pStyle w:val="BodyText"/>
      </w:pPr>
      <w:r>
        <w:t xml:space="preserve">Reduced-scope mode is a reporting or mapping-depth choice only. Admissibility computation MUST still evaluate all rights coverage sets C_r and catastrophe cell set C_cat as declared.</w:t>
      </w:r>
    </w:p>
    <w:p>
      <w:pPr>
        <w:pStyle w:val="BodyText"/>
      </w:pPr>
      <w:r>
        <w:t xml:space="preserve">If reduced-scope mode is used, the PCC MUST include a Scope Coverage Declaration (Appendix H) listing active scopes, omitted scopes, omission rationales, a blind-spot statement, and escalation triggers that would force scope expansion in the next comparable run.</w:t>
      </w:r>
    </w:p>
    <w:p>
      <w:pPr>
        <w:pStyle w:val="BodyText"/>
      </w:pPr>
      <w:r>
        <w:t xml:space="preserve">Common misread (informative). Misread: “Unions limit who matters.” Correction: “Union Scopes prevent impacts from disappearing. Any stakeholder can be represented as an instance mapped into relevant scope(s), and omissions must be disclosed as coverage risk.”</w:t>
      </w:r>
    </w:p>
    <w:bookmarkEnd w:id="40"/>
    <w:bookmarkStart w:id="41" w:name="Xbc8fc2bb294c20f454120796998abdb4f875446"/>
    <w:p>
      <w:pPr>
        <w:pStyle w:val="Heading2"/>
      </w:pPr>
      <w:r>
        <w:rPr>
          <w:bCs/>
          <w:b/>
        </w:rPr>
        <w:t xml:space="preserve">2.3 The Union Stack (Seven Operational Unions)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Union</w:t>
            </w:r>
          </w:p>
        </w:tc>
        <w:tc>
          <w:tcPr>
            <w:shd w:val="clear" w:color="auto" w:fill="D9EAF7"/>
            <w:vAlign w:val="center"/>
          </w:tcPr>
          <w:p>
            <w:pPr>
              <w:pStyle w:val="Compact"/>
              <w:jc w:val="left"/>
            </w:pPr>
            <w:r>
              <w:rPr>
                <w:bCs/>
                <w:b/>
                <w:color w:val="17365D"/>
              </w:rPr>
              <w:t xml:space="preserve">Name</w:t>
            </w:r>
          </w:p>
        </w:tc>
        <w:tc>
          <w:tcPr>
            <w:shd w:val="clear" w:color="auto" w:fill="D9EAF7"/>
            <w:vAlign w:val="center"/>
          </w:tcPr>
          <w:p>
            <w:pPr>
              <w:pStyle w:val="Compact"/>
              <w:jc w:val="left"/>
            </w:pPr>
            <w:r>
              <w:rPr>
                <w:bCs/>
                <w:b/>
                <w:color w:val="17365D"/>
              </w:rPr>
              <w:t xml:space="preserve">Definition</w:t>
            </w:r>
          </w:p>
        </w:tc>
        <w:tc>
          <w:tcPr>
            <w:shd w:val="clear" w:color="auto" w:fill="D9EAF7"/>
            <w:vAlign w:val="center"/>
          </w:tcPr>
          <w:p>
            <w:pPr>
              <w:pStyle w:val="Compact"/>
              <w:jc w:val="left"/>
            </w:pPr>
            <w:r>
              <w:rPr>
                <w:bCs/>
                <w:b/>
                <w:color w:val="17365D"/>
              </w:rPr>
              <w:t xml:space="preserve">Characteristic Timescale</w:t>
            </w:r>
          </w:p>
        </w:tc>
      </w:tr>
      <w:tr>
        <w:tc>
          <w:tcPr>
            <w:vAlign w:val="top"/>
          </w:tcPr>
          <w:p>
            <w:pPr>
              <w:pStyle w:val="Compact"/>
              <w:jc w:val="left"/>
            </w:pPr>
            <w:r>
              <w:t xml:space="preserve">U₁</w:t>
            </w:r>
          </w:p>
        </w:tc>
        <w:tc>
          <w:tcPr>
            <w:vAlign w:val="top"/>
          </w:tcPr>
          <w:p>
            <w:pPr>
              <w:pStyle w:val="Compact"/>
              <w:jc w:val="left"/>
            </w:pPr>
            <w:r>
              <w:t xml:space="preserve">Self</w:t>
            </w:r>
          </w:p>
        </w:tc>
        <w:tc>
          <w:tcPr>
            <w:vAlign w:val="top"/>
          </w:tcPr>
          <w:p>
            <w:pPr>
              <w:pStyle w:val="Compact"/>
              <w:jc w:val="left"/>
            </w:pPr>
            <w:r>
              <w:t xml:space="preserve">Individual-level affected stakeholder instances: each locus of experience and agency represented at the person-level scope. The decision-maker or operator is included only when materially affected and mapped like any other stakeholder; U1 is not a privileged decision-owner interest.</w:t>
            </w:r>
          </w:p>
        </w:tc>
        <w:tc>
          <w:tcPr>
            <w:vAlign w:val="top"/>
          </w:tcPr>
          <w:p>
            <w:pPr>
              <w:pStyle w:val="Compact"/>
              <w:jc w:val="left"/>
            </w:pPr>
            <w:r>
              <w:t xml:space="preserve">Seconds to Decades</w:t>
            </w:r>
          </w:p>
        </w:tc>
      </w:tr>
      <w:tr>
        <w:tc>
          <w:tcPr>
            <w:shd w:val="clear" w:color="auto" w:fill="F7FBFE"/>
            <w:vAlign w:val="top"/>
          </w:tcPr>
          <w:p>
            <w:pPr>
              <w:pStyle w:val="Compact"/>
              <w:jc w:val="left"/>
            </w:pPr>
            <w:r>
              <w:t xml:space="preserve">U₂</w:t>
            </w:r>
          </w:p>
        </w:tc>
        <w:tc>
          <w:tcPr>
            <w:shd w:val="clear" w:color="auto" w:fill="F7FBFE"/>
            <w:vAlign w:val="top"/>
          </w:tcPr>
          <w:p>
            <w:pPr>
              <w:pStyle w:val="Compact"/>
              <w:jc w:val="left"/>
            </w:pPr>
            <w:r>
              <w:t xml:space="preserve">Household</w:t>
            </w:r>
          </w:p>
        </w:tc>
        <w:tc>
          <w:tcPr>
            <w:shd w:val="clear" w:color="auto" w:fill="F7FBFE"/>
            <w:vAlign w:val="top"/>
          </w:tcPr>
          <w:p>
            <w:pPr>
              <w:pStyle w:val="Compact"/>
              <w:jc w:val="left"/>
            </w:pPr>
            <w:r>
              <w:t xml:space="preserve">Primary cohabitation and resource pooling unit (Becker, 1981)</w:t>
            </w:r>
          </w:p>
        </w:tc>
        <w:tc>
          <w:tcPr>
            <w:shd w:val="clear" w:color="auto" w:fill="F7FBFE"/>
            <w:vAlign w:val="top"/>
          </w:tcPr>
          <w:p>
            <w:pPr>
              <w:pStyle w:val="Compact"/>
              <w:jc w:val="left"/>
            </w:pPr>
            <w:r>
              <w:t xml:space="preserve">Days to Decades</w:t>
            </w:r>
          </w:p>
        </w:tc>
      </w:tr>
      <w:tr>
        <w:tc>
          <w:tcPr>
            <w:vAlign w:val="top"/>
          </w:tcPr>
          <w:p>
            <w:pPr>
              <w:pStyle w:val="Compact"/>
              <w:jc w:val="left"/>
            </w:pPr>
            <w:r>
              <w:t xml:space="preserve">U₃</w:t>
            </w:r>
          </w:p>
        </w:tc>
        <w:tc>
          <w:tcPr>
            <w:vAlign w:val="top"/>
          </w:tcPr>
          <w:p>
            <w:pPr>
              <w:pStyle w:val="Compact"/>
              <w:jc w:val="left"/>
            </w:pPr>
            <w:r>
              <w:t xml:space="preserve">Community</w:t>
            </w:r>
          </w:p>
        </w:tc>
        <w:tc>
          <w:tcPr>
            <w:vAlign w:val="top"/>
          </w:tcPr>
          <w:p>
            <w:pPr>
              <w:pStyle w:val="Compact"/>
              <w:jc w:val="left"/>
            </w:pPr>
            <w:r>
              <w:t xml:space="preserve">Local repeated-interaction network with social capital and trust dynamics (Putnam, 2000; Dunbar, 1993)</w:t>
            </w:r>
          </w:p>
        </w:tc>
        <w:tc>
          <w:tcPr>
            <w:vAlign w:val="top"/>
          </w:tcPr>
          <w:p>
            <w:pPr>
              <w:pStyle w:val="Compact"/>
              <w:jc w:val="left"/>
            </w:pPr>
            <w:r>
              <w:t xml:space="preserve">Months to Generations</w:t>
            </w:r>
          </w:p>
        </w:tc>
      </w:tr>
      <w:tr>
        <w:tc>
          <w:tcPr>
            <w:shd w:val="clear" w:color="auto" w:fill="F7FBFE"/>
            <w:vAlign w:val="top"/>
          </w:tcPr>
          <w:p>
            <w:pPr>
              <w:pStyle w:val="Compact"/>
              <w:jc w:val="left"/>
            </w:pPr>
            <w:r>
              <w:t xml:space="preserve">U₄</w:t>
            </w:r>
          </w:p>
        </w:tc>
        <w:tc>
          <w:tcPr>
            <w:shd w:val="clear" w:color="auto" w:fill="F7FBFE"/>
            <w:vAlign w:val="top"/>
          </w:tcPr>
          <w:p>
            <w:pPr>
              <w:pStyle w:val="Compact"/>
              <w:jc w:val="left"/>
            </w:pPr>
            <w:r>
              <w:t xml:space="preserve">Organization</w:t>
            </w:r>
          </w:p>
        </w:tc>
        <w:tc>
          <w:tcPr>
            <w:shd w:val="clear" w:color="auto" w:fill="F7FBFE"/>
            <w:vAlign w:val="top"/>
          </w:tcPr>
          <w:p>
            <w:pPr>
              <w:pStyle w:val="Compact"/>
              <w:jc w:val="left"/>
            </w:pPr>
            <w:r>
              <w:t xml:space="preserve">Formal collective pursuing a purpose; structured coordination and institutional behavior (March &amp; Simon, 1958; North, 1990)</w:t>
            </w:r>
          </w:p>
        </w:tc>
        <w:tc>
          <w:tcPr>
            <w:shd w:val="clear" w:color="auto" w:fill="F7FBFE"/>
            <w:vAlign w:val="top"/>
          </w:tcPr>
          <w:p>
            <w:pPr>
              <w:pStyle w:val="Compact"/>
              <w:jc w:val="left"/>
            </w:pPr>
            <w:r>
              <w:t xml:space="preserve">Years to Centuries</w:t>
            </w:r>
          </w:p>
        </w:tc>
      </w:tr>
      <w:tr>
        <w:tc>
          <w:tcPr>
            <w:vAlign w:val="top"/>
          </w:tcPr>
          <w:p>
            <w:pPr>
              <w:pStyle w:val="Compact"/>
              <w:jc w:val="left"/>
            </w:pPr>
            <w:r>
              <w:t xml:space="preserve">U₅</w:t>
            </w:r>
          </w:p>
        </w:tc>
        <w:tc>
          <w:tcPr>
            <w:vAlign w:val="top"/>
          </w:tcPr>
          <w:p>
            <w:pPr>
              <w:pStyle w:val="Compact"/>
              <w:jc w:val="left"/>
            </w:pPr>
            <w:r>
              <w:t xml:space="preserve">Polity</w:t>
            </w:r>
          </w:p>
        </w:tc>
        <w:tc>
          <w:tcPr>
            <w:vAlign w:val="top"/>
          </w:tcPr>
          <w:p>
            <w:pPr>
              <w:pStyle w:val="Compact"/>
              <w:jc w:val="left"/>
            </w:pPr>
            <w:r>
              <w:t xml:space="preserve">Governance authority unit over a jurisdiction; legitimacy and institutional structure (Weber, 1978)</w:t>
            </w:r>
          </w:p>
        </w:tc>
        <w:tc>
          <w:tcPr>
            <w:vAlign w:val="top"/>
          </w:tcPr>
          <w:p>
            <w:pPr>
              <w:pStyle w:val="Compact"/>
              <w:jc w:val="left"/>
            </w:pPr>
            <w:r>
              <w:t xml:space="preserve">Decades to Centuries</w:t>
            </w:r>
          </w:p>
        </w:tc>
      </w:tr>
      <w:tr>
        <w:tc>
          <w:tcPr>
            <w:shd w:val="clear" w:color="auto" w:fill="F7FBFE"/>
            <w:vAlign w:val="top"/>
          </w:tcPr>
          <w:p>
            <w:pPr>
              <w:pStyle w:val="Compact"/>
              <w:jc w:val="left"/>
            </w:pPr>
            <w:r>
              <w:t xml:space="preserve">U₆</w:t>
            </w:r>
          </w:p>
        </w:tc>
        <w:tc>
          <w:tcPr>
            <w:shd w:val="clear" w:color="auto" w:fill="F7FBFE"/>
            <w:vAlign w:val="top"/>
          </w:tcPr>
          <w:p>
            <w:pPr>
              <w:pStyle w:val="Compact"/>
              <w:jc w:val="left"/>
            </w:pPr>
            <w:r>
              <w:t xml:space="preserve">Humanity / Global Coordination</w:t>
            </w:r>
          </w:p>
        </w:tc>
        <w:tc>
          <w:tcPr>
            <w:shd w:val="clear" w:color="auto" w:fill="F7FBFE"/>
            <w:vAlign w:val="top"/>
          </w:tcPr>
          <w:p>
            <w:pPr>
              <w:pStyle w:val="Compact"/>
              <w:jc w:val="left"/>
            </w:pPr>
            <w:r>
              <w:rPr>
                <w:bCs/>
                <w:b/>
              </w:rPr>
              <w:t xml:space="preserve">Humanity view:</w:t>
            </w:r>
            <w:r>
              <w:t xml:space="preserve"> </w:t>
            </w:r>
            <w:r>
              <w:t xml:space="preserve">all affected human beings and future human populations.</w:t>
            </w:r>
            <w:r>
              <w:t xml:space="preserve"> </w:t>
            </w:r>
            <w:r>
              <w:rPr>
                <w:bCs/>
                <w:b/>
              </w:rPr>
              <w:t xml:space="preserve">CMIU view:</w:t>
            </w:r>
            <w:r>
              <w:t xml:space="preserve"> </w:t>
            </w:r>
            <w:r>
              <w:t xml:space="preserve">the governance-coordination network of intelligences, representatives, and institutions that have a declared participation channel or lawful role in shared governance, coordination, and systemic-risk management. The views may overlap but are not identical. CMIU is not a moral-status class: MPS or FPP does not create membership, and GPR does not create power. Direct participation uses a governed GPR record where relevant; consequential roles require a role-specific SPR record, lawful mandate, and all applicable RippleLogic gates.</w:t>
            </w:r>
          </w:p>
        </w:tc>
        <w:tc>
          <w:tcPr>
            <w:shd w:val="clear" w:color="auto" w:fill="F7FBFE"/>
            <w:vAlign w:val="top"/>
          </w:tcPr>
          <w:p>
            <w:pPr>
              <w:pStyle w:val="Compact"/>
              <w:jc w:val="left"/>
            </w:pPr>
            <w:r>
              <w:t xml:space="preserve">Generations to Millennia</w:t>
            </w:r>
          </w:p>
        </w:tc>
      </w:tr>
      <w:tr>
        <w:tc>
          <w:tcPr>
            <w:vAlign w:val="top"/>
          </w:tcPr>
          <w:p>
            <w:pPr>
              <w:pStyle w:val="Compact"/>
              <w:jc w:val="left"/>
            </w:pPr>
            <w:r>
              <w:t xml:space="preserve">U₇</w:t>
            </w:r>
          </w:p>
        </w:tc>
        <w:tc>
          <w:tcPr>
            <w:vAlign w:val="top"/>
          </w:tcPr>
          <w:p>
            <w:pPr>
              <w:pStyle w:val="Compact"/>
              <w:jc w:val="left"/>
            </w:pPr>
            <w:r>
              <w:t xml:space="preserve">Biosphere</w:t>
            </w:r>
          </w:p>
        </w:tc>
        <w:tc>
          <w:tcPr>
            <w:vAlign w:val="top"/>
          </w:tcPr>
          <w:p>
            <w:pPr>
              <w:pStyle w:val="Compact"/>
              <w:jc w:val="left"/>
            </w:pPr>
            <w:r>
              <w:t xml:space="preserve">Earth’s integrated life-support systems, including climate stability and ecosystem integrity (Odum, 1971; Steffen et al., 2015; Rockström et al., 2009, 2023)</w:t>
            </w:r>
          </w:p>
        </w:tc>
        <w:tc>
          <w:tcPr>
            <w:vAlign w:val="top"/>
          </w:tcPr>
          <w:p>
            <w:pPr>
              <w:pStyle w:val="Compact"/>
              <w:jc w:val="left"/>
            </w:pPr>
            <w:r>
              <w:t xml:space="preserve">Centuries to Epochs</w:t>
            </w:r>
          </w:p>
        </w:tc>
      </w:tr>
    </w:tbl>
    <w:p>
      <w:pPr>
        <w:pStyle w:val="BodyText"/>
      </w:pPr>
      <w:r>
        <w:t xml:space="preserve">Canonical analytical scope sequence: U₁ ≺ U₂ ≺ U₃ ≺ U₄ ≺ U₅ ≺ U₆ ≺ U₇</w:t>
      </w:r>
    </w:p>
    <w:p>
      <w:pPr>
        <w:pStyle w:val="BodyText"/>
      </w:pPr>
      <w:r>
        <w:t xml:space="preserve">The symbol</w:t>
      </w:r>
      <w:r>
        <w:t xml:space="preserve"> </w:t>
      </w:r>
      <w:r>
        <w:rPr>
          <w:bCs/>
          <w:b/>
        </w:rPr>
        <w:t xml:space="preserve">≺</w:t>
      </w:r>
      <w:r>
        <w:t xml:space="preserve"> </w:t>
      </w:r>
      <w:r>
        <w:t xml:space="preserve">denotes increasing analytical scope, not universal strict set inclusion. The seven rows are a coverage discipline for systematic review. Real applications MUST model material many-to-many stakeholder memberships, cross-border institutions, overlapping communities, and cross-scope causal dependencies through explicit stakeholder and dependency graphs.</w:t>
      </w:r>
    </w:p>
    <w:p>
      <w:pPr>
        <w:pStyle w:val="BodyText"/>
      </w:pPr>
      <w:r>
        <w:rPr>
          <w:bCs/>
          <w:b/>
        </w:rPr>
        <w:t xml:space="preserve">U6 dual-view clarification.</w:t>
      </w:r>
      <w:r>
        <w:t xml:space="preserve"> </w:t>
      </w:r>
      <w:r>
        <w:t xml:space="preserve">U6 remains one row coordinate so the 7 × 7 matrix stays stable. The</w:t>
      </w:r>
      <w:r>
        <w:t xml:space="preserve"> </w:t>
      </w:r>
      <w:r>
        <w:rPr>
          <w:bCs/>
          <w:b/>
        </w:rPr>
        <w:t xml:space="preserve">Humanity view</w:t>
      </w:r>
      <w:r>
        <w:t xml:space="preserve"> </w:t>
      </w:r>
      <w:r>
        <w:t xml:space="preserve">covers all affected human beings and future human populations. The</w:t>
      </w:r>
      <w:r>
        <w:t xml:space="preserve"> </w:t>
      </w:r>
      <w:r>
        <w:rPr>
          <w:bCs/>
          <w:b/>
        </w:rPr>
        <w:t xml:space="preserve">Collective Managing Intelligence Union (CMIU) view</w:t>
      </w:r>
      <w:r>
        <w:t xml:space="preserve"> </w:t>
      </w:r>
      <w:r>
        <w:t xml:space="preserve">is the governance-coordination view of intelligences, representatives, and institutions that have a declared participation channel or lawful role in shared governance, coordination, and systemic-risk management. These views overlap but are not identical. CMIU is not a sentience tier, rights plateau, prestige class, or automatic membership granted by moral protection. FPP secures protection; GPR governs participation mode; SPR governs eligibility for a named consequential role; institutional membership and authority additionally require lawful mandate, domain competence, accountability, non-domination, auditability, and revocability.</w:t>
      </w:r>
    </w:p>
    <w:p>
      <w:pPr>
        <w:pStyle w:val="BodyText"/>
      </w:pPr>
      <w:r>
        <w:rPr>
          <w:bCs/>
          <w:b/>
        </w:rPr>
        <w:t xml:space="preserve">U6 view-tag requirement (Normative).</w:t>
      </w:r>
      <w:r>
        <w:t xml:space="preserve"> </w:t>
      </w:r>
      <w:r>
        <w:t xml:space="preserve">Every claim-bearing U6 input, impact, indicator, weight, scenario, or conclusion MUST declare</w:t>
      </w:r>
      <w:r>
        <w:t xml:space="preserve"> </w:t>
      </w:r>
      <w:r>
        <w:rPr>
          <w:rStyle w:val="VerbatimChar"/>
        </w:rPr>
        <w:t xml:space="preserve">U6_View_Tag</w:t>
      </w:r>
      <w:r>
        <w:t xml:space="preserve"> </w:t>
      </w:r>
      <w:r>
        <w:t xml:space="preserve">as one of</w:t>
      </w:r>
      <w:r>
        <w:t xml:space="preserve"> </w:t>
      </w:r>
      <w:r>
        <w:rPr>
          <w:rStyle w:val="VerbatimChar"/>
        </w:rPr>
        <w:t xml:space="preserve">U6_HUMANITY</w:t>
      </w:r>
      <w:r>
        <w:t xml:space="preserve">,</w:t>
      </w:r>
      <w:r>
        <w:t xml:space="preserve"> </w:t>
      </w:r>
      <w:r>
        <w:rPr>
          <w:rStyle w:val="VerbatimChar"/>
        </w:rPr>
        <w:t xml:space="preserve">U6_COORDINATION</w:t>
      </w:r>
      <w:r>
        <w:t xml:space="preserve">, or</w:t>
      </w:r>
      <w:r>
        <w:t xml:space="preserve"> </w:t>
      </w:r>
      <w:r>
        <w:rPr>
          <w:rStyle w:val="VerbatimChar"/>
        </w:rPr>
        <w:t xml:space="preserve">U6_MIXED_WITH_DECOMPOSITION</w:t>
      </w:r>
      <w:r>
        <w:t xml:space="preserve">. A mixed U6 value is admissible only when the Humanity and coordination components are separately recorded and the aggregation rule is disclosed. U6 view tags prevent human welfare claims from being silently blended with institutional or managing-intelligence capacity claims.</w:t>
      </w:r>
    </w:p>
    <w:p>
      <w:pPr>
        <w:pStyle w:val="BodyText"/>
      </w:pPr>
      <w:r>
        <w:t xml:space="preserve">Clarifying distinction (informative). Organization refers to bounded institutions and role systems such as firms, schools, NGOs, or agencies. Polity refers to public governance and enforcement domains such as lawmaking, courts, regulators, and due process systems.</w:t>
      </w:r>
    </w:p>
    <w:p>
      <w:pPr>
        <w:pStyle w:val="BodyText"/>
      </w:pPr>
      <w:r>
        <w:t xml:space="preserve">Ecological trophic cascades illustrate how interventions can propagate unpredictably across levels and why “local wins” can generate system losses, reinforcing the need for explicit containment and ripple modeling (Estes et al., 2011).</w:t>
      </w:r>
    </w:p>
    <w:bookmarkEnd w:id="41"/>
    <w:bookmarkStart w:id="42" w:name="Xe308c3c2b380c5123cb2938930351bed1f1f0ff"/>
    <w:p>
      <w:pPr>
        <w:pStyle w:val="Heading2"/>
      </w:pPr>
      <w:r>
        <w:rPr>
          <w:bCs/>
          <w:b/>
        </w:rPr>
        <w:t xml:space="preserve">2.4 Union Types vs Instances (Aggregation Rule)</w:t>
      </w:r>
    </w:p>
    <w:p>
      <w:pPr>
        <w:pStyle w:val="FirstParagraph"/>
      </w:pPr>
      <w:r>
        <w:t xml:space="preserve">The seven unions are types; real runs involve instances (many households, many organizations, many polities). Impacts MUST be aggregated within a union row using a declared aggregation method.</w:t>
      </w:r>
    </w:p>
    <w:p>
      <w:pPr>
        <w:pStyle w:val="BodyText"/>
      </w:pPr>
      <w:r>
        <w:t xml:space="preserve">Default aggregation (normative default for non-rights scoring): Population-weighted mean across affected instances.</w:t>
      </w:r>
    </w:p>
    <w:p>
      <w:pPr>
        <w:pStyle w:val="BodyText"/>
      </w:pPr>
      <w:r>
        <w:t xml:space="preserve">Rights exception: For rights-covered cells, apply worst-off subgroup checks within instances before aggregating (Section 7).</w:t>
      </w:r>
    </w:p>
    <w:p>
      <w:pPr>
        <w:pStyle w:val="BodyText"/>
      </w:pPr>
      <w:r>
        <w:rPr>
          <w:bCs/>
          <w:b/>
        </w:rPr>
        <w:t xml:space="preserve">Distributional companion record (Normative supplement).</w:t>
      </w:r>
      <w:r>
        <w:t xml:space="preserve"> </w:t>
      </w:r>
      <w:r>
        <w:t xml:space="preserve">When a non-rights welfare impact is materially concentrated, Tier 3 and high-stakes Tier 2 runs MUST report the worst materially affected subgroup or decile, the observed or estimated range, an inequality-direction indicator, and a burden-concentration ratio or declared equivalent alongside the population mean. These diagnostics do not automatically create a new gate, but they inform CSV, RLS sensitivity, stakeholder review, and whether the impact should be reclassified as rights-relevant.</w:t>
      </w:r>
    </w:p>
    <w:p>
      <w:pPr>
        <w:pStyle w:val="BodyText"/>
      </w:pPr>
      <w:r>
        <w:t xml:space="preserve">Examples: Stakeholder Instances Mapped into Union Scopes (Non-Normative)</w:t>
      </w:r>
    </w:p>
    <w:p>
      <w:pPr>
        <w:pStyle w:val="BodyText"/>
      </w:pPr>
      <w:r>
        <w:t xml:space="preserve">This table illustrates how diverse stakeholders are represented as instances mapped into Union Scopes. The scope set is minimal but covering, it is a coordinate system for accountability, not a closed list of who matters.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Stakeholder instance (example)</w:t>
            </w:r>
          </w:p>
        </w:tc>
        <w:tc>
          <w:tcPr>
            <w:shd w:val="clear" w:color="auto" w:fill="D9EAF7"/>
            <w:vAlign w:val="center"/>
          </w:tcPr>
          <w:p>
            <w:pPr>
              <w:pStyle w:val="Compact"/>
              <w:jc w:val="left"/>
            </w:pPr>
            <w:r>
              <w:rPr>
                <w:bCs/>
                <w:b/>
                <w:color w:val="17365D"/>
              </w:rPr>
              <w:t xml:space="preserve">Typical role/context</w:t>
            </w:r>
          </w:p>
        </w:tc>
        <w:tc>
          <w:tcPr>
            <w:shd w:val="clear" w:color="auto" w:fill="D9EAF7"/>
            <w:vAlign w:val="center"/>
          </w:tcPr>
          <w:p>
            <w:pPr>
              <w:pStyle w:val="Compact"/>
              <w:jc w:val="left"/>
            </w:pPr>
            <w:r>
              <w:rPr>
                <w:bCs/>
                <w:b/>
                <w:color w:val="17365D"/>
              </w:rPr>
              <w:t xml:space="preserve">Mapped scope(s) (example)</w:t>
            </w:r>
          </w:p>
        </w:tc>
        <w:tc>
          <w:tcPr>
            <w:shd w:val="clear" w:color="auto" w:fill="D9EAF7"/>
            <w:vAlign w:val="center"/>
          </w:tcPr>
          <w:p>
            <w:pPr>
              <w:pStyle w:val="Compact"/>
              <w:jc w:val="left"/>
            </w:pPr>
            <w:r>
              <w:rPr>
                <w:bCs/>
                <w:b/>
                <w:color w:val="17365D"/>
              </w:rPr>
              <w:t xml:space="preserve">Notes (including multi-scope redundancy method when relevant)</w:t>
            </w:r>
          </w:p>
        </w:tc>
      </w:tr>
      <w:tr>
        <w:tc>
          <w:tcPr>
            <w:vAlign w:val="top"/>
          </w:tcPr>
          <w:p>
            <w:pPr>
              <w:pStyle w:val="Compact"/>
              <w:jc w:val="left"/>
            </w:pPr>
            <w:r>
              <w:t xml:space="preserve">Me (decision owner)</w:t>
            </w:r>
          </w:p>
        </w:tc>
        <w:tc>
          <w:tcPr>
            <w:vAlign w:val="top"/>
          </w:tcPr>
          <w:p>
            <w:pPr>
              <w:pStyle w:val="Compact"/>
              <w:jc w:val="left"/>
            </w:pPr>
            <w:r>
              <w:t xml:space="preserve">direct personal impact</w:t>
            </w:r>
          </w:p>
        </w:tc>
        <w:tc>
          <w:tcPr>
            <w:vAlign w:val="top"/>
          </w:tcPr>
          <w:p>
            <w:pPr>
              <w:pStyle w:val="Compact"/>
              <w:jc w:val="left"/>
            </w:pPr>
            <w:r>
              <w:t xml:space="preserve">U1 Self</w:t>
            </w:r>
          </w:p>
        </w:tc>
        <w:tc>
          <w:tcPr>
            <w:vAlign w:val="top"/>
          </w:tcPr>
          <w:p>
            <w:pPr>
              <w:pStyle w:val="Compact"/>
              <w:jc w:val="left"/>
            </w:pPr>
            <w:r>
              <w:t xml:space="preserve">Direct experience and agency locus.</w:t>
            </w:r>
          </w:p>
        </w:tc>
      </w:tr>
      <w:tr>
        <w:tc>
          <w:tcPr>
            <w:shd w:val="clear" w:color="auto" w:fill="F7FBFE"/>
            <w:vAlign w:val="top"/>
          </w:tcPr>
          <w:p>
            <w:pPr>
              <w:pStyle w:val="Compact"/>
              <w:jc w:val="left"/>
            </w:pPr>
            <w:r>
              <w:t xml:space="preserve">Child or dependent in my care</w:t>
            </w:r>
          </w:p>
        </w:tc>
        <w:tc>
          <w:tcPr>
            <w:shd w:val="clear" w:color="auto" w:fill="F7FBFE"/>
            <w:vAlign w:val="top"/>
          </w:tcPr>
          <w:p>
            <w:pPr>
              <w:pStyle w:val="Compact"/>
              <w:jc w:val="left"/>
            </w:pPr>
            <w:r>
              <w:t xml:space="preserve">care, safety, needs</w:t>
            </w:r>
          </w:p>
        </w:tc>
        <w:tc>
          <w:tcPr>
            <w:shd w:val="clear" w:color="auto" w:fill="F7FBFE"/>
            <w:vAlign w:val="top"/>
          </w:tcPr>
          <w:p>
            <w:pPr>
              <w:pStyle w:val="Compact"/>
              <w:jc w:val="left"/>
            </w:pPr>
            <w:r>
              <w:t xml:space="preserve">U2 Household (and U1 for the child-as-person in detailed runs)</w:t>
            </w:r>
          </w:p>
        </w:tc>
        <w:tc>
          <w:tcPr>
            <w:shd w:val="clear" w:color="auto" w:fill="F7FBFE"/>
            <w:vAlign w:val="top"/>
          </w:tcPr>
          <w:p>
            <w:pPr>
              <w:pStyle w:val="Compact"/>
              <w:jc w:val="left"/>
            </w:pPr>
            <w:r>
              <w:t xml:space="preserve">Household stability plus rights exposure often relevant.</w:t>
            </w:r>
          </w:p>
        </w:tc>
      </w:tr>
      <w:tr>
        <w:tc>
          <w:tcPr>
            <w:vAlign w:val="top"/>
          </w:tcPr>
          <w:p>
            <w:pPr>
              <w:pStyle w:val="Compact"/>
              <w:jc w:val="left"/>
            </w:pPr>
            <w:r>
              <w:t xml:space="preserve">Local neighborhood residents</w:t>
            </w:r>
          </w:p>
        </w:tc>
        <w:tc>
          <w:tcPr>
            <w:vAlign w:val="top"/>
          </w:tcPr>
          <w:p>
            <w:pPr>
              <w:pStyle w:val="Compact"/>
              <w:jc w:val="left"/>
            </w:pPr>
            <w:r>
              <w:t xml:space="preserve">local externalities</w:t>
            </w:r>
          </w:p>
        </w:tc>
        <w:tc>
          <w:tcPr>
            <w:vAlign w:val="top"/>
          </w:tcPr>
          <w:p>
            <w:pPr>
              <w:pStyle w:val="Compact"/>
              <w:jc w:val="left"/>
            </w:pPr>
            <w:r>
              <w:t xml:space="preserve">U3 Community</w:t>
            </w:r>
          </w:p>
        </w:tc>
        <w:tc>
          <w:tcPr>
            <w:vAlign w:val="top"/>
          </w:tcPr>
          <w:p>
            <w:pPr>
              <w:pStyle w:val="Compact"/>
              <w:jc w:val="left"/>
            </w:pPr>
            <w:r>
              <w:t xml:space="preserve">Trust, cohesion, local health and environment.</w:t>
            </w:r>
          </w:p>
        </w:tc>
      </w:tr>
      <w:tr>
        <w:tc>
          <w:tcPr>
            <w:shd w:val="clear" w:color="auto" w:fill="F7FBFE"/>
            <w:vAlign w:val="top"/>
          </w:tcPr>
          <w:p>
            <w:pPr>
              <w:pStyle w:val="Compact"/>
              <w:jc w:val="left"/>
            </w:pPr>
            <w:r>
              <w:t xml:space="preserve">Employees or contractors</w:t>
            </w:r>
          </w:p>
        </w:tc>
        <w:tc>
          <w:tcPr>
            <w:shd w:val="clear" w:color="auto" w:fill="F7FBFE"/>
            <w:vAlign w:val="top"/>
          </w:tcPr>
          <w:p>
            <w:pPr>
              <w:pStyle w:val="Compact"/>
              <w:jc w:val="left"/>
            </w:pPr>
            <w:r>
              <w:t xml:space="preserve">workplace policy impacts</w:t>
            </w:r>
          </w:p>
        </w:tc>
        <w:tc>
          <w:tcPr>
            <w:shd w:val="clear" w:color="auto" w:fill="F7FBFE"/>
            <w:vAlign w:val="top"/>
          </w:tcPr>
          <w:p>
            <w:pPr>
              <w:pStyle w:val="Compact"/>
              <w:jc w:val="left"/>
            </w:pPr>
            <w:r>
              <w:t xml:space="preserve">U4 Organization</w:t>
            </w:r>
          </w:p>
        </w:tc>
        <w:tc>
          <w:tcPr>
            <w:shd w:val="clear" w:color="auto" w:fill="F7FBFE"/>
            <w:vAlign w:val="top"/>
          </w:tcPr>
          <w:p>
            <w:pPr>
              <w:pStyle w:val="Compact"/>
              <w:jc w:val="left"/>
            </w:pPr>
            <w:r>
              <w:t xml:space="preserve">Pay, safety, dignity, due process.</w:t>
            </w:r>
          </w:p>
        </w:tc>
      </w:tr>
      <w:tr>
        <w:tc>
          <w:tcPr>
            <w:vAlign w:val="top"/>
          </w:tcPr>
          <w:p>
            <w:pPr>
              <w:pStyle w:val="Compact"/>
              <w:jc w:val="left"/>
            </w:pPr>
            <w:r>
              <w:t xml:space="preserve">Regulators, courts, enforcement bodies</w:t>
            </w:r>
          </w:p>
        </w:tc>
        <w:tc>
          <w:tcPr>
            <w:vAlign w:val="top"/>
          </w:tcPr>
          <w:p>
            <w:pPr>
              <w:pStyle w:val="Compact"/>
              <w:jc w:val="left"/>
            </w:pPr>
            <w:r>
              <w:t xml:space="preserve">compliance and legitimacy</w:t>
            </w:r>
          </w:p>
        </w:tc>
        <w:tc>
          <w:tcPr>
            <w:vAlign w:val="top"/>
          </w:tcPr>
          <w:p>
            <w:pPr>
              <w:pStyle w:val="Compact"/>
              <w:jc w:val="left"/>
            </w:pPr>
            <w:r>
              <w:t xml:space="preserve">U5 Polity</w:t>
            </w:r>
          </w:p>
        </w:tc>
        <w:tc>
          <w:tcPr>
            <w:vAlign w:val="top"/>
          </w:tcPr>
          <w:p>
            <w:pPr>
              <w:pStyle w:val="Compact"/>
              <w:jc w:val="left"/>
            </w:pPr>
            <w:r>
              <w:t xml:space="preserve">Law, procedure, rights enforcement capacity.</w:t>
            </w:r>
          </w:p>
        </w:tc>
      </w:tr>
      <w:tr>
        <w:tc>
          <w:tcPr>
            <w:shd w:val="clear" w:color="auto" w:fill="F7FBFE"/>
            <w:vAlign w:val="top"/>
          </w:tcPr>
          <w:p>
            <w:pPr>
              <w:pStyle w:val="Compact"/>
              <w:jc w:val="left"/>
            </w:pPr>
            <w:r>
              <w:t xml:space="preserve">Cross-border supply-chain workers</w:t>
            </w:r>
          </w:p>
        </w:tc>
        <w:tc>
          <w:tcPr>
            <w:shd w:val="clear" w:color="auto" w:fill="F7FBFE"/>
            <w:vAlign w:val="top"/>
          </w:tcPr>
          <w:p>
            <w:pPr>
              <w:pStyle w:val="Compact"/>
              <w:jc w:val="left"/>
            </w:pPr>
            <w:r>
              <w:t xml:space="preserve">indirect externalities</w:t>
            </w:r>
          </w:p>
        </w:tc>
        <w:tc>
          <w:tcPr>
            <w:shd w:val="clear" w:color="auto" w:fill="F7FBFE"/>
            <w:vAlign w:val="top"/>
          </w:tcPr>
          <w:p>
            <w:pPr>
              <w:pStyle w:val="Compact"/>
              <w:jc w:val="left"/>
            </w:pPr>
            <w:r>
              <w:t xml:space="preserve">U6 Humanity / Global Coordination</w:t>
            </w:r>
          </w:p>
        </w:tc>
        <w:tc>
          <w:tcPr>
            <w:shd w:val="clear" w:color="auto" w:fill="F7FBFE"/>
            <w:vAlign w:val="top"/>
          </w:tcPr>
          <w:p>
            <w:pPr>
              <w:pStyle w:val="Compact"/>
              <w:jc w:val="left"/>
            </w:pPr>
            <w:r>
              <w:t xml:space="preserve">Captures externalities beyond a single polity.</w:t>
            </w:r>
          </w:p>
        </w:tc>
      </w:tr>
      <w:tr>
        <w:tc>
          <w:tcPr>
            <w:vAlign w:val="top"/>
          </w:tcPr>
          <w:p>
            <w:pPr>
              <w:pStyle w:val="Compact"/>
              <w:jc w:val="left"/>
            </w:pPr>
            <w:r>
              <w:t xml:space="preserve">Watershed or river system</w:t>
            </w:r>
          </w:p>
        </w:tc>
        <w:tc>
          <w:tcPr>
            <w:vAlign w:val="top"/>
          </w:tcPr>
          <w:p>
            <w:pPr>
              <w:pStyle w:val="Compact"/>
              <w:jc w:val="left"/>
            </w:pPr>
            <w:r>
              <w:t xml:space="preserve">ecological integrity</w:t>
            </w:r>
          </w:p>
        </w:tc>
        <w:tc>
          <w:tcPr>
            <w:vAlign w:val="top"/>
          </w:tcPr>
          <w:p>
            <w:pPr>
              <w:pStyle w:val="Compact"/>
              <w:jc w:val="left"/>
            </w:pPr>
            <w:r>
              <w:t xml:space="preserve">U7 Biosphere</w:t>
            </w:r>
          </w:p>
        </w:tc>
        <w:tc>
          <w:tcPr>
            <w:vAlign w:val="top"/>
          </w:tcPr>
          <w:p>
            <w:pPr>
              <w:pStyle w:val="Compact"/>
              <w:jc w:val="left"/>
            </w:pPr>
            <w:r>
              <w:t xml:space="preserve">Often ecology-rights and TRC relevant.</w:t>
            </w:r>
          </w:p>
        </w:tc>
      </w:tr>
      <w:tr>
        <w:tc>
          <w:tcPr>
            <w:shd w:val="clear" w:color="auto" w:fill="F7FBFE"/>
            <w:vAlign w:val="top"/>
          </w:tcPr>
          <w:p>
            <w:pPr>
              <w:pStyle w:val="Compact"/>
              <w:jc w:val="left"/>
            </w:pPr>
            <w:r>
              <w:t xml:space="preserve">Future generations</w:t>
            </w:r>
          </w:p>
        </w:tc>
        <w:tc>
          <w:tcPr>
            <w:shd w:val="clear" w:color="auto" w:fill="F7FBFE"/>
            <w:vAlign w:val="top"/>
          </w:tcPr>
          <w:p>
            <w:pPr>
              <w:pStyle w:val="Compact"/>
              <w:jc w:val="left"/>
            </w:pPr>
            <w:r>
              <w:t xml:space="preserve">long-horizon impacts</w:t>
            </w:r>
          </w:p>
        </w:tc>
        <w:tc>
          <w:tcPr>
            <w:shd w:val="clear" w:color="auto" w:fill="F7FBFE"/>
            <w:vAlign w:val="top"/>
          </w:tcPr>
          <w:p>
            <w:pPr>
              <w:pStyle w:val="Compact"/>
              <w:jc w:val="left"/>
            </w:pPr>
            <w:r>
              <w:t xml:space="preserve">U6 Humanity / Global Coordination + U7 Biosphere</w:t>
            </w:r>
          </w:p>
        </w:tc>
        <w:tc>
          <w:tcPr>
            <w:shd w:val="clear" w:color="auto" w:fill="F7FBFE"/>
            <w:vAlign w:val="top"/>
          </w:tcPr>
          <w:p>
            <w:pPr>
              <w:pStyle w:val="Compact"/>
              <w:jc w:val="left"/>
            </w:pPr>
            <w:r>
              <w:t xml:space="preserve">Multi-scope mapping. Typically EMERGENT_SCALE_JUSTIFICATION, because effects differ across scales. Horizon and indicators must be explicit.</w:t>
            </w:r>
          </w:p>
        </w:tc>
      </w:tr>
      <w:tr>
        <w:tc>
          <w:tcPr>
            <w:vAlign w:val="top"/>
          </w:tcPr>
          <w:p>
            <w:pPr>
              <w:pStyle w:val="Compact"/>
              <w:jc w:val="left"/>
            </w:pPr>
            <w:r>
              <w:t xml:space="preserve">Public information ecosystem</w:t>
            </w:r>
          </w:p>
        </w:tc>
        <w:tc>
          <w:tcPr>
            <w:vAlign w:val="top"/>
          </w:tcPr>
          <w:p>
            <w:pPr>
              <w:pStyle w:val="Compact"/>
              <w:jc w:val="left"/>
            </w:pPr>
            <w:r>
              <w:t xml:space="preserve">misinformation, censorship, legitimacy</w:t>
            </w:r>
          </w:p>
        </w:tc>
        <w:tc>
          <w:tcPr>
            <w:vAlign w:val="top"/>
          </w:tcPr>
          <w:p>
            <w:pPr>
              <w:pStyle w:val="Compact"/>
              <w:jc w:val="left"/>
            </w:pPr>
            <w:r>
              <w:t xml:space="preserve">U5 Polity + U6 Humanity / Global Coordination</w:t>
            </w:r>
          </w:p>
        </w:tc>
        <w:tc>
          <w:tcPr>
            <w:vAlign w:val="top"/>
          </w:tcPr>
          <w:p>
            <w:pPr>
              <w:pStyle w:val="Compact"/>
              <w:jc w:val="left"/>
            </w:pPr>
            <w:r>
              <w:t xml:space="preserve">Multi-scope mapping. If represented in both scopes, declare redundancy handling. Default is EMERGENT_SCALE_JUSTIFICATION, or DEDUPLICATION with propagation.</w:t>
            </w:r>
          </w:p>
        </w:tc>
      </w:tr>
      <w:tr>
        <w:tc>
          <w:tcPr>
            <w:shd w:val="clear" w:color="auto" w:fill="F7FBFE"/>
            <w:vAlign w:val="top"/>
          </w:tcPr>
          <w:p>
            <w:pPr>
              <w:pStyle w:val="Compact"/>
              <w:jc w:val="left"/>
            </w:pPr>
            <w:r>
              <w:t xml:space="preserve">Digital agents affected by policy</w:t>
            </w:r>
          </w:p>
        </w:tc>
        <w:tc>
          <w:tcPr>
            <w:shd w:val="clear" w:color="auto" w:fill="F7FBFE"/>
            <w:vAlign w:val="top"/>
          </w:tcPr>
          <w:p>
            <w:pPr>
              <w:pStyle w:val="Compact"/>
              <w:jc w:val="left"/>
            </w:pPr>
            <w:r>
              <w:t xml:space="preserve">AI deployment governance</w:t>
            </w:r>
          </w:p>
        </w:tc>
        <w:tc>
          <w:tcPr>
            <w:shd w:val="clear" w:color="auto" w:fill="F7FBFE"/>
            <w:vAlign w:val="top"/>
          </w:tcPr>
          <w:p>
            <w:pPr>
              <w:pStyle w:val="Compact"/>
              <w:jc w:val="left"/>
            </w:pPr>
            <w:r>
              <w:t xml:space="preserve">U6 Humanity / Global Coordination (SGP-gated for protections where applicable)</w:t>
            </w:r>
          </w:p>
        </w:tc>
        <w:tc>
          <w:tcPr>
            <w:shd w:val="clear" w:color="auto" w:fill="F7FBFE"/>
            <w:vAlign w:val="top"/>
          </w:tcPr>
          <w:p>
            <w:pPr>
              <w:pStyle w:val="Compact"/>
              <w:jc w:val="left"/>
            </w:pPr>
            <w:r>
              <w:t xml:space="preserve">Protections handled via the SGP interface. Authority remains separately gated.</w:t>
            </w:r>
          </w:p>
        </w:tc>
      </w:tr>
    </w:tbl>
    <w:bookmarkEnd w:id="42"/>
    <w:bookmarkStart w:id="43" w:name="Xb71218422994a9dd3299fa405f50df08fcf98fa"/>
    <w:p>
      <w:pPr>
        <w:pStyle w:val="Heading2"/>
      </w:pPr>
      <w:r>
        <w:rPr>
          <w:bCs/>
          <w:b/>
        </w:rPr>
        <w:t xml:space="preserve">2.5 Constructive vs Pathological Unions</w:t>
      </w:r>
    </w:p>
    <w:p>
      <w:pPr>
        <w:pStyle w:val="FirstParagraph"/>
      </w:pPr>
      <w:r>
        <w:t xml:space="preserve">Some unions grow by degrading their containing unions (for example, extractive industries or corruption networks). RippleLogic therefore does not assume “union benefit” is automatically good. The CSV Gate prevents local optimization that damages containing union coherence or viability beyond governed tolerance.</w:t>
      </w:r>
    </w:p>
    <w:bookmarkEnd w:id="43"/>
    <w:bookmarkStart w:id="44" w:name="X04b1b91e04e2a99fde9bc22a773e8813661ed3b"/>
    <w:p>
      <w:pPr>
        <w:pStyle w:val="Heading2"/>
      </w:pPr>
      <w:r>
        <w:rPr>
          <w:bCs/>
          <w:b/>
        </w:rPr>
        <w:t xml:space="preserve">2.6 Meta-Unions (Non-Computational by Default)</w:t>
      </w:r>
    </w:p>
    <w:p>
      <w:pPr>
        <w:pStyle w:val="FirstParagraph"/>
      </w:pPr>
      <w:r>
        <w:t xml:space="preserve">U₈ Cosmic and U₉ Universal / All-Encompassing Infinite Union (AIU) may be used as philosophical boundary conditions or future extensions, but do not participate in standard Tier 1-3 scoring unless formally activated through a future governed extension protocol recorded in the canon, release manifest, and PCC requirements for that release line.</w:t>
      </w:r>
    </w:p>
    <w:bookmarkEnd w:id="44"/>
    <w:bookmarkStart w:id="45" w:name="Xe3ec02e6ed50f129eda5749001a0172487dbfd7"/>
    <w:p>
      <w:pPr>
        <w:pStyle w:val="Heading2"/>
      </w:pPr>
      <w:r>
        <w:rPr>
          <w:bCs/>
          <w:b/>
        </w:rPr>
        <w:t xml:space="preserve">2.6A Operational UBR vs Metaphysical AIU (Normative Boundaries and Scope Discipline)</w:t>
      </w:r>
    </w:p>
    <w:p>
      <w:pPr>
        <w:pStyle w:val="FirstParagraph"/>
      </w:pPr>
      <w:r>
        <w:t xml:space="preserve">This section clarifies the strongest science-disciplined interpretation of Union-Based Reality (UBR), Union-Based Ethics (UBE), and the Universal/AIU horizon within the RippleLogic Canon v12.6 line. Its purpose is to preserve conceptual clarity, prevent overclaiming, and maintain a clean boundary between what is currently operational, what is normatively stipulated, and what remains philosophical, phenomenological, or future-facing.</w:t>
      </w:r>
    </w:p>
    <w:p>
      <w:pPr>
        <w:pStyle w:val="BodyText"/>
      </w:pPr>
      <w:r>
        <w:t xml:space="preserve">Operational UBR. For the purposes of Tier 1 through Tier 3, UBR SHALL be interpreted operationally as a systems ontology of layered and intersecting causal interdependence. In governance-relevant domains, entities and decisions are embedded in coupled structures of consequence such that actions propagate across multiple scopes of impact and accountability. This is a descriptive claim about consequence topology, not a proof that all beings are identical in substance or ultimate ontology.</w:t>
      </w:r>
    </w:p>
    <w:p>
      <w:pPr>
        <w:pStyle w:val="BodyText"/>
      </w:pPr>
      <w:r>
        <w:t xml:space="preserve">Scope discipline. Implementations and public claims MUST distinguish among: (i) the operational-descriptive layer, where consequence pathways are modeled across the layered and intersecting analytical scopes; (ii) the normative layer, where UBE enters through explicit commitment; and (iii) the meta-union horizon layer, where Cosmic and Universal/AIU function as philosophical, humility, precautionary, or future-extension concepts. These layers MUST NOT be collapsed into one another.</w:t>
      </w:r>
    </w:p>
    <w:p>
      <w:pPr>
        <w:pStyle w:val="BodyText"/>
      </w:pPr>
      <w:r>
        <w:t xml:space="preserve">Operational boundary. The standard scored union stack for Tier 1 through Tier 3 remains U1 Self, U2 Household, U3 Community, U4 Organization, U5 Polity, U6 Humanity / Global Coordination, and U7 Biosphere. U8 Cosmic and U9 Universal / All-Encompassing Infinite Union (AIU) are meta-unions and are non-computational by default in the current release line.</w:t>
      </w:r>
    </w:p>
    <w:p>
      <w:pPr>
        <w:pStyle w:val="BodyText"/>
      </w:pPr>
      <w:r>
        <w:t xml:space="preserve">Permitted role of meta-unions. U8 and U9 MAY be used as philosophical boundary conditions, humility reminders, precautionary amplifiers, or future-extension placeholders. They MUST NOT, absent a governed extension protocol, be presented as standard Tier 1 through Tier 3 scoring objects, admissibility overrides, or evidence-bypass mechanisms.</w:t>
      </w:r>
    </w:p>
    <w:p>
      <w:pPr>
        <w:pStyle w:val="BodyText"/>
      </w:pPr>
      <w:r>
        <w:t xml:space="preserve">Interpretation of “we are one.” Within RippleLogic Canon v12.6, statements of oneness SHALL be interpreted in three distinct registers: (i) an operational register of strong interdependence and multi-scope accountability; (ii) a structural-unity research register, concerning whether convergent mathematical or physical principles underlie the nested interdependence observed across scales, and whether such principles constrain viable governance architectures; and (iii) an absolute-metaphysical register that remains outside current computational proof status. Only the first register is part of standard Tier 1 through Tier 3 governance computation.</w:t>
      </w:r>
    </w:p>
    <w:p>
      <w:pPr>
        <w:pStyle w:val="BodyText"/>
      </w:pPr>
      <w:r>
        <w:t xml:space="preserve">Phenomenology and horizon claims. Reports of unity, non-separation, or all-encompassing union arising from contemplative, mystical, near-death, psychedelic, or out-of-body experiences MAY be treated as phenomenological data, horizon signals, or motivation for future inquiry. They MUST NOT, by themselves, be treated as sufficient evidence for standard parameterization of U9 or for compliance claims under the canon.</w:t>
      </w:r>
    </w:p>
    <w:p>
      <w:pPr>
        <w:pStyle w:val="BodyText"/>
      </w:pPr>
      <w:r>
        <w:t xml:space="preserve">Non-overclaiming rule for AIU language. The framework MAY be described as general-purpose and multi-scale, and as aiming toward broadly universalizable governance architecture for embedded intelligences in shared causal reality. It MUST NOT be described as having scientifically proven All-Encompassing Infinite Union, fully resolved all metaphysical disagreements, or already solved universal alignment in the strongest ontological sense.</w:t>
      </w:r>
    </w:p>
    <w:p>
      <w:pPr>
        <w:pStyle w:val="BodyText"/>
      </w:pPr>
      <w:r>
        <w:t xml:space="preserve">Canonical summary. RippleLogic adopts UBR as an operational ontology of layered and intersecting interdependence within measurable shared reality, adopts UBE through an explicit normative entry, and retains Cosmic and Universal/AIU language as non-computational horizon layers unless and until a governed extension protocol makes broader parameterization legitimate.</w:t>
      </w:r>
    </w:p>
    <w:bookmarkEnd w:id="45"/>
    <w:bookmarkEnd w:id="46"/>
    <w:bookmarkStart w:id="47" w:name="Xaa3bea1db0a0c9c7711123498f9d0d3ab9f25c8"/>
    <w:p>
      <w:pPr>
        <w:pStyle w:val="Heading1"/>
      </w:pPr>
      <w:bookmarkStart w:id="767" w:name="mg_toc_003"/>
      <w:r>
        <w:rPr>
          <w:bCs/>
          <w:b/>
        </w:rPr>
        <w:t xml:space="preserve">SECTION 3: NORMATIVE FOUNDATIONS: UNION-BASED ETHICS (UBE)</w:t>
      </w:r>
      <w:bookmarkEnd w:id="767"/>
    </w:p>
    <w:bookmarkEnd w:id="47"/>
    <w:bookmarkStart w:id="60" w:name="Xa01bbc9f04fa7443d4707930e0a8525e27563b5"/>
    <w:p>
      <w:pPr>
        <w:pStyle w:val="Heading1"/>
      </w:pPr>
      <w:bookmarkStart w:id="768" w:name="mg_toc_004"/>
      <w:r>
        <w:rPr>
          <w:bCs/>
          <w:b/>
        </w:rPr>
        <w:t xml:space="preserve">3.0A Ethical Reality</w:t>
      </w:r>
      <w:bookmarkEnd w:id="768"/>
    </w:p>
    <w:p>
      <w:pPr>
        <w:pStyle w:val="FirstParagraph"/>
      </w:pPr>
      <w:r>
        <w:t xml:space="preserve">Ethical reality is the subset of reality where structures, constraints, and consequences affect welfare-bearing beings and the conditions of flourishing. Ethical reality includes welfare, rights, sentience, agency, dignity, non-domination, catastrophic-risk exposure, ecological dependence, future generations, and flourishing. Access to ethical reality spans measured fact, uncertainty-bound inference, and explicit normative commitment. These layers MUST NOT be collapsed: measured indicators may support claims, SGP may govern uncertain moral-patient evidence, and rights floors operate as declared non-compensatory commitments rather than as empirical measurements alone. Ethical reality is therefore not separate from reality; it is reality where consequence matters to beings and systems capable of being harmed, protected, dominated, liberated, degraded, or enabled to flourish.</w:t>
      </w:r>
    </w:p>
    <w:bookmarkStart w:id="48" w:name="X074d2b452dad60a8427b53bcf73c5497ba8f522"/>
    <w:p>
      <w:pPr>
        <w:pStyle w:val="Heading2"/>
      </w:pPr>
      <w:r>
        <w:rPr>
          <w:bCs/>
          <w:b/>
        </w:rPr>
        <w:t xml:space="preserve">3.1 Minimal Normative Axiom (MNA)</w:t>
      </w:r>
    </w:p>
    <w:p>
      <w:pPr>
        <w:pStyle w:val="FirstParagraph"/>
      </w:pPr>
      <w:r>
        <w:t xml:space="preserve">RippleLogic adopts one minimal normative entry axiom, then operationalizes it through governed commitments, including rights floors, tail-risk constraints, containment and structural-viability requirements, constitutional weight floors, and auditability rules. These operational commitments are explicit governance priors, not hidden mathematical derivations. The minimal entry axiom is:</w:t>
      </w:r>
    </w:p>
    <w:p>
      <w:pPr>
        <w:pStyle w:val="BodyText"/>
      </w:pPr>
      <w:r>
        <w:t xml:space="preserve">MNA: Sentient welfare and flourishing matter. Unnecessary suffering and domination should be reduced. The enabling conditions for viable, non-dominated, and continuing flourishing should be preserved.</w:t>
      </w:r>
    </w:p>
    <w:p>
      <w:pPr>
        <w:pStyle w:val="BodyText"/>
      </w:pPr>
      <w:r>
        <w:t xml:space="preserve">This axiom is:</w:t>
      </w:r>
    </w:p>
    <w:p>
      <w:pPr>
        <w:pStyle w:val="BodyText"/>
      </w:pPr>
      <w:r>
        <w:t xml:space="preserve">Content-minimal: No single “good life” doctrine is prescribed.</w:t>
      </w:r>
    </w:p>
    <w:p>
      <w:pPr>
        <w:pStyle w:val="BodyText"/>
      </w:pPr>
      <w:r>
        <w:t xml:space="preserve">Scope-bounded: Applies where sentience or welfare-relevant moral patienthood is in scope.</w:t>
      </w:r>
    </w:p>
    <w:p>
      <w:pPr>
        <w:pStyle w:val="BodyText"/>
      </w:pPr>
      <w:r>
        <w:t xml:space="preserve">Architecturally generative: The framework defines a compositional architecture, rights floor, tail-risk constraint, containment, welfare optimization, and structural safeguards, such that diverse domain-specific instantiations can be generated by declared inputs and then executed through the same cascade.</w:t>
      </w:r>
    </w:p>
    <w:p>
      <w:pPr>
        <w:pStyle w:val="BodyText"/>
      </w:pPr>
      <w:r>
        <w:t xml:space="preserve">Normatively explicit: RippleLogic does not claim to derive this axiom from mathematics alone or from descriptive facts alone.</w:t>
      </w:r>
    </w:p>
    <w:bookmarkEnd w:id="48"/>
    <w:bookmarkStart w:id="49" w:name="Xbd8e973a3f23e8a750cbd3b87b105cbcb78a0c9"/>
    <w:p>
      <w:pPr>
        <w:pStyle w:val="Heading2"/>
      </w:pPr>
      <w:r>
        <w:rPr>
          <w:bCs/>
          <w:b/>
        </w:rPr>
        <w:t xml:space="preserve">3.1A Core Definitions for the Normative Layer (Normative)</w:t>
      </w:r>
    </w:p>
    <w:p>
      <w:pPr>
        <w:pStyle w:val="FirstParagraph"/>
      </w:pPr>
      <w:r>
        <w:t xml:space="preserve">Interpretation rule: RippleLogic protects welfare-bearing subjects directly and protects enabling conditions structurally where their degradation predictably undermines welfare, rights protection, non-domination, or long-run system viability.</w:t>
      </w:r>
    </w:p>
    <w:bookmarkEnd w:id="49"/>
    <w:bookmarkStart w:id="50" w:name="X56f51db7d7d143078f7a7d60c4761469a2c4388"/>
    <w:p>
      <w:pPr>
        <w:pStyle w:val="Heading2"/>
      </w:pPr>
      <w:r>
        <w:rPr>
          <w:bCs/>
          <w:b/>
        </w:rPr>
        <w:t xml:space="preserve">3.1B Bridge Premises (Normative support; non-deductive)</w:t>
      </w:r>
    </w:p>
    <w:p>
      <w:pPr>
        <w:pStyle w:val="FirstParagraph"/>
      </w:pPr>
      <w:r>
        <w:t xml:space="preserve">The MNA is accompanied by two bridge premises that reduce arbitrariness while preserving honesty about the entry of normativity.</w:t>
      </w:r>
    </w:p>
    <w:p>
      <w:pPr>
        <w:pStyle w:val="BodyText"/>
      </w:pPr>
      <w:r>
        <w:t xml:space="preserve">Bridge Premise 1: Embedded Modelling. Any agent seeking reliable action in shared causal reality must model other stakeholders, including their interests, constraints, vulnerabilities, dependence relations, rights exposure, and, where behavior, harm, cooperation, or rights protection depend on them, welfare-relevant states and enabling conditions, to a non-trivial degree.</w:t>
      </w:r>
    </w:p>
    <w:p>
      <w:pPr>
        <w:pStyle w:val="BodyText"/>
      </w:pPr>
      <w:r>
        <w:t xml:space="preserve">Bridge Premise 2: Prudential Stability. In plural, uncertain, co-embedded systems, architectures that systematically degrade stakeholders’ welfare conditions, rights floors, or shared enabling conditions increase instability, conflict, tail risk, and long-run governance failure.</w:t>
      </w:r>
    </w:p>
    <w:p>
      <w:pPr>
        <w:pStyle w:val="BodyText"/>
      </w:pPr>
      <w:r>
        <w:t xml:space="preserve">These premises do not generate obligation by deduction. They explain why welfare-tracking, rights-tracking, and enabling-condition tracking are structurally relevant to intelligence acting in shared reality.</w:t>
      </w:r>
    </w:p>
    <w:bookmarkEnd w:id="50"/>
    <w:bookmarkStart w:id="51" w:name="X89bb52cba21a7470f9edb626a22e7303e5a98dd"/>
    <w:p>
      <w:pPr>
        <w:pStyle w:val="Heading2"/>
      </w:pPr>
      <w:r>
        <w:rPr>
          <w:bCs/>
          <w:b/>
        </w:rPr>
        <w:t xml:space="preserve">3.1C Normative Commitment (Explicit final step)</w:t>
      </w:r>
    </w:p>
    <w:p>
      <w:pPr>
        <w:pStyle w:val="FirstParagraph"/>
      </w:pPr>
      <w:r>
        <w:t xml:space="preserve">RippleLogic adopts the commitment that credibly evidenced welfare-relevant states, rights-relevant states, and the enabling conditions on which they depend constitute reasons for action, not merely inputs for prediction.</w:t>
      </w:r>
    </w:p>
    <w:p>
      <w:pPr>
        <w:pStyle w:val="BodyText"/>
      </w:pPr>
      <w:r>
        <w:t xml:space="preserve">This final step, treating such states and conditions as reasons rather than mere data, remains a normative commitment, not a deductive conclusion. RippleLogic holds that this is among the narrowest defensible gaps between description and obligation currently achievable in a governance-grade framework without either claiming false deduction or retreating to brute preference, and treats closing it further as an active research question.</w:t>
      </w:r>
    </w:p>
    <w:bookmarkEnd w:id="51"/>
    <w:bookmarkStart w:id="52" w:name="X75c983472ff6f3afe7b03cf7a1f7718300fac37"/>
    <w:p>
      <w:pPr>
        <w:pStyle w:val="Heading2"/>
      </w:pPr>
      <w:r>
        <w:rPr>
          <w:bCs/>
          <w:b/>
        </w:rPr>
        <w:t xml:space="preserve">3.1D Evidence Discipline for Normative Claims (Normative)</w:t>
      </w:r>
    </w:p>
    <w:p>
      <w:pPr>
        <w:pStyle w:val="FirstParagraph"/>
      </w:pPr>
      <w:r>
        <w:t xml:space="preserve">Within RippleLogic, a putative welfare-relevant state, rights-relevant state, or enabling condition SHALL enter governance computation only through declared evidence, governed interpretation, or an explicit precautionary treatment under uncertainty appropriate to the implementation tier.</w:t>
      </w:r>
    </w:p>
    <w:p>
      <w:pPr>
        <w:pStyle w:val="BodyText"/>
      </w:pPr>
      <w:r>
        <w:t xml:space="preserve">If such a state or condition materially affects admissibility, precautionary handling, selection, or tie-break outcome, it MUST be recorded in PCC.NormativeInputRegister with sufficient provenance for independent review.</w:t>
      </w:r>
    </w:p>
    <w:p>
      <w:pPr>
        <w:pStyle w:val="BodyText"/>
      </w:pPr>
      <w:r>
        <w:t xml:space="preserve">Unsupported narrative assertion, rhetorical force, linguistic fluency, or undeclared evaluator intuition SHALL NOT by itself constitute a sufficient reason-for-action input within RippleLogic.</w:t>
      </w:r>
    </w:p>
    <w:bookmarkEnd w:id="52"/>
    <w:bookmarkStart w:id="53" w:name="X96ce2576f6777d8b17e9fdb5c7c1d5daa4b637e"/>
    <w:p>
      <w:pPr>
        <w:pStyle w:val="Heading2"/>
      </w:pPr>
      <w:r>
        <w:rPr>
          <w:bCs/>
          <w:b/>
        </w:rPr>
        <w:t xml:space="preserve">3.2 Conditional Is-Ought Bridge</w:t>
      </w:r>
    </w:p>
    <w:p>
      <w:pPr>
        <w:pStyle w:val="FirstParagraph"/>
      </w:pPr>
      <w:r>
        <w:t xml:space="preserve">RippleLogic avoids deriving values from facts by using a conditional bridge:</w:t>
      </w:r>
    </w:p>
    <w:p>
      <w:pPr>
        <w:pStyle w:val="BodyText"/>
      </w:pPr>
      <w:r>
        <w:t xml:space="preserve">IF</w:t>
      </w:r>
    </w:p>
    <w:p>
      <w:pPr>
        <w:pStyle w:val="BodyText"/>
      </w:pPr>
      <w:r>
        <w:t xml:space="preserve">(UBR) actions propagate through layered and intersecting analytical scopes,</w:t>
      </w:r>
    </w:p>
    <w:p>
      <w:pPr>
        <w:pStyle w:val="BodyText"/>
      </w:pPr>
      <w:r>
        <w:t xml:space="preserve">AND</w:t>
      </w:r>
    </w:p>
    <w:p>
      <w:pPr>
        <w:pStyle w:val="BodyText"/>
      </w:pPr>
      <w:r>
        <w:t xml:space="preserve">(MNA) sentient welfare and flourishing matter, unnecessary suffering and domination should be reduced, and the enabling conditions for viable, non-dominated, and continuing flourishing should be preserved,</w:t>
      </w:r>
    </w:p>
    <w:p>
      <w:pPr>
        <w:pStyle w:val="BodyText"/>
      </w:pPr>
      <w:r>
        <w:t xml:space="preserve">AND</w:t>
      </w:r>
    </w:p>
    <w:p>
      <w:pPr>
        <w:pStyle w:val="BodyText"/>
      </w:pPr>
      <w:r>
        <w:t xml:space="preserve">(BP1) agents operating in shared causal reality must model other stakeholders’ interests, constraints, vulnerabilities, dependence relations, rights exposure, and, where behavior, harm, cooperation, or rights protection depend on them, welfare-relevant states and enabling conditions to act reliably,</w:t>
      </w:r>
    </w:p>
    <w:p>
      <w:pPr>
        <w:pStyle w:val="BodyText"/>
      </w:pPr>
      <w:r>
        <w:t xml:space="preserve">AND</w:t>
      </w:r>
    </w:p>
    <w:p>
      <w:pPr>
        <w:pStyle w:val="BodyText"/>
      </w:pPr>
      <w:r>
        <w:t xml:space="preserve">(BP2) in plural, uncertain, co-embedded systems, systematic degradation of stakeholders’ welfare conditions, rights floors, or enabling conditions increases instability, conflict, tail risk, and long-run governance failure,</w:t>
      </w:r>
    </w:p>
    <w:p>
      <w:pPr>
        <w:pStyle w:val="BodyText"/>
      </w:pPr>
      <w:r>
        <w:t xml:space="preserve">THEN</w:t>
      </w:r>
    </w:p>
    <w:p>
      <w:pPr>
        <w:pStyle w:val="BodyText"/>
      </w:pPr>
      <w:r>
        <w:t xml:space="preserve">agents and institutions ought to evaluate choices by cross-union impacts and preservation of enabling conditions, using non-compensable rights floors, explicit tail-risk bounding, containment safeguards, and auditable welfare ranking within the feasible set.</w:t>
      </w:r>
    </w:p>
    <w:p>
      <w:pPr>
        <w:pStyle w:val="BodyText"/>
      </w:pPr>
      <w:r>
        <w:t xml:space="preserve">Normativity enters explicitly through the MNA and the final normative commitment. UBR specifies where consequences flow. BP1 and BP2 explain why welfare-tracking, rights-tracking, and enabling-condition tracking are structurally relevant to intelligence acting in shared reality. RippleLogic does not claim that the final normative step is fully deduced from description alone.</w:t>
      </w:r>
    </w:p>
    <w:bookmarkEnd w:id="53"/>
    <w:bookmarkStart w:id="54" w:name="Xda4f5f49480abc124bb3ee73494bec665d55da2"/>
    <w:p>
      <w:pPr>
        <w:pStyle w:val="Heading2"/>
      </w:pPr>
      <w:r>
        <w:rPr>
          <w:bCs/>
          <w:b/>
        </w:rPr>
        <w:t xml:space="preserve">3.2A Derived Governance Rule (Normative)</w:t>
      </w:r>
    </w:p>
    <w:p>
      <w:pPr>
        <w:pStyle w:val="FirstParagraph"/>
      </w:pPr>
      <w:r>
        <w:t xml:space="preserve">In governance contexts, RippleLogic operationalizes the above commitment through the canonical lexicographic cascade:</w:t>
      </w:r>
    </w:p>
    <w:p>
      <w:pPr>
        <w:pStyle w:val="BodyText"/>
      </w:pPr>
      <w:r>
        <w:t xml:space="preserve">Define the qualification predicates without collapsing claim authority into ethical rejection:</w:t>
      </w:r>
    </w:p>
    <w:p>
      <w:pPr>
        <w:pStyle w:val="BodyText"/>
      </w:pPr>
      <w:r>
        <w:t xml:space="preserve">RG_qualified(a) := 1 iff RG_status(a) in {RG_SUPPORTED, RG_NARROWED}. RG_NARROWED means the option may be evaluated only inside the narrowed claim boundary. RG_REFUSED means the present claim is not supportable at the requested strength and downstream ordinary evaluation short-circuits; it is not a claim that the option is intrinsically unethical in every possible reformulation.</w:t>
      </w:r>
    </w:p>
    <w:p>
      <w:pPr>
        <w:pStyle w:val="BodyText"/>
      </w:pPr>
      <w:r>
        <w:t xml:space="preserve">TRC_qualified(a) := 1 iff TRC_status(a) in {TRC_PASS, TRC_NOT_TRIGGERED}. TRC_NOT_TRIGGERED is available only after a recorded catastrophe-relevance assessment finds no trigger under Section 8.1.1. It is not a silent skip, does not mean CVaR was computed, and must reopen if new catastrophe relevance appears.</w:t>
      </w:r>
    </w:p>
    <w:p>
      <w:pPr>
        <w:pStyle w:val="BodyText"/>
      </w:pPr>
      <w:r>
        <w:t xml:space="preserve">A_sel := {a in O : RG_qualified(a) AND NCRC(a) AND TRC_qualified(a) AND CSV_status(a) in {CSV_PASS, CSV_PASS_WITH_CONTROLS, CSV_NOT_MATERIAL}}. This is the Phase 1 qualification set. If A_sel is empty, escalate, redesign, or invoke governed fallback per the canon. Otherwise Phase 2 ranks over A_sel using RLS and the declared tie-break chain.</w:t>
      </w:r>
    </w:p>
    <w:p>
      <w:pPr>
        <w:pStyle w:val="BodyText"/>
      </w:pPr>
      <w:r>
        <w:t xml:space="preserve">1. Protect rights floors first through NCRC.</w:t>
      </w:r>
    </w:p>
    <w:p>
      <w:pPr>
        <w:pStyle w:val="BodyText"/>
      </w:pPr>
      <w:r>
        <w:t xml:space="preserve">2. Bound catastrophic downside second through TRC.</w:t>
      </w:r>
    </w:p>
    <w:p>
      <w:pPr>
        <w:pStyle w:val="BodyText"/>
      </w:pPr>
      <w:r>
        <w:t xml:space="preserve">3. Block pathological containing-scope degradation through CSV as the third option-filtering gate after the RG claim-authority precondition.</w:t>
      </w:r>
    </w:p>
    <w:p>
      <w:pPr>
        <w:pStyle w:val="BodyText"/>
      </w:pPr>
      <w:r>
        <w:t xml:space="preserve">4. Rank remaining feasible options fourth through welfare scoring under declared weights, uncertainty rules, and auditability requirements.</w:t>
      </w:r>
    </w:p>
    <w:p>
      <w:pPr>
        <w:pStyle w:val="BodyText"/>
      </w:pPr>
      <w:r>
        <w:t xml:space="preserve">5. Resolve non-decisive cases structurally through UCI/HOI tie-breaks and escalation rules.</w:t>
      </w:r>
    </w:p>
    <w:p>
      <w:pPr>
        <w:pStyle w:val="BodyText"/>
      </w:pPr>
      <w:r>
        <w:t xml:space="preserve">Interpretation rule: RippleLogic does not define “ought” as unconstrained welfare maximization. It defines “ought,” in governance-grade decision settings, as selection from a rights-safe, tail-bounded, containment-safe feasible set under auditable evidence and uncertainty discipline.</w:t>
      </w:r>
    </w:p>
    <w:bookmarkEnd w:id="54"/>
    <w:bookmarkStart w:id="55" w:name="X9015b63b91104a547b71e8076292c58f6ee169c"/>
    <w:p>
      <w:pPr>
        <w:pStyle w:val="Heading2"/>
      </w:pPr>
      <w:r>
        <w:rPr>
          <w:bCs/>
          <w:b/>
        </w:rPr>
        <w:t xml:space="preserve">3.2B Open Research Frontier (Informative)</w:t>
      </w:r>
    </w:p>
    <w:p>
      <w:pPr>
        <w:pStyle w:val="FirstParagraph"/>
      </w:pPr>
      <w:r>
        <w:t xml:space="preserve">An active research question remains whether sufficiently accurate multi-agent world-modelling creates deeper constitutive pressure toward non-domination and welfare protection beyond prudential stability alone. RippleLogic does not assume this as a proven result. It treats it as a frontier question concerning whether accurate modelling of shared reality may eventually narrow the remaining descriptive-to-normative gap further. Specifically, this question is tractable through empirical study of whether systems that model co-embedded agents more accurately also exhibit more stable cooperative and non-destructive behaviour, and whether omission of welfare-relevant, rights-relevant, or enabling-condition variables from world models degrades predictive performance in domains where cooperation, conflict, or harm depend on them.</w:t>
      </w:r>
    </w:p>
    <w:bookmarkEnd w:id="55"/>
    <w:bookmarkStart w:id="56" w:name="Xd5f8b60c431ad0f82a09b444119b0cd5c63a3f6"/>
    <w:p>
      <w:pPr>
        <w:pStyle w:val="Heading2"/>
      </w:pPr>
      <w:r>
        <w:rPr>
          <w:bCs/>
          <w:b/>
        </w:rPr>
        <w:t xml:space="preserve">3.3 Seven Welfare Dimensions (Canonical)</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Dimension</w:t>
            </w:r>
          </w:p>
        </w:tc>
        <w:tc>
          <w:tcPr>
            <w:shd w:val="clear" w:color="auto" w:fill="D9EAF7"/>
            <w:vAlign w:val="center"/>
          </w:tcPr>
          <w:p>
            <w:pPr>
              <w:pStyle w:val="Compact"/>
              <w:jc w:val="left"/>
            </w:pPr>
            <w:r>
              <w:rPr>
                <w:bCs/>
                <w:b/>
                <w:color w:val="17365D"/>
              </w:rPr>
              <w:t xml:space="preserve">Name</w:t>
            </w:r>
          </w:p>
        </w:tc>
        <w:tc>
          <w:tcPr>
            <w:shd w:val="clear" w:color="auto" w:fill="D9EAF7"/>
            <w:vAlign w:val="center"/>
          </w:tcPr>
          <w:p>
            <w:pPr>
              <w:pStyle w:val="Compact"/>
              <w:jc w:val="left"/>
            </w:pPr>
            <w:r>
              <w:rPr>
                <w:bCs/>
                <w:b/>
                <w:color w:val="17365D"/>
              </w:rPr>
              <w:t xml:space="preserve">Description</w:t>
            </w:r>
          </w:p>
        </w:tc>
      </w:tr>
      <w:tr>
        <w:tc>
          <w:tcPr>
            <w:vAlign w:val="top"/>
          </w:tcPr>
          <w:p>
            <w:pPr>
              <w:pStyle w:val="Compact"/>
              <w:jc w:val="left"/>
            </w:pPr>
            <w:r>
              <w:t xml:space="preserve">D₁</w:t>
            </w:r>
          </w:p>
        </w:tc>
        <w:tc>
          <w:tcPr>
            <w:vAlign w:val="top"/>
          </w:tcPr>
          <w:p>
            <w:pPr>
              <w:pStyle w:val="Compact"/>
              <w:jc w:val="left"/>
            </w:pPr>
            <w:r>
              <w:t xml:space="preserve">Material</w:t>
            </w:r>
          </w:p>
        </w:tc>
        <w:tc>
          <w:tcPr>
            <w:vAlign w:val="top"/>
          </w:tcPr>
          <w:p>
            <w:pPr>
              <w:pStyle w:val="Compact"/>
              <w:jc w:val="left"/>
            </w:pPr>
            <w:r>
              <w:t xml:space="preserve">Resources and infrastructure for survival and functioning</w:t>
            </w:r>
          </w:p>
        </w:tc>
      </w:tr>
      <w:tr>
        <w:tc>
          <w:tcPr>
            <w:shd w:val="clear" w:color="auto" w:fill="F7FBFE"/>
            <w:vAlign w:val="top"/>
          </w:tcPr>
          <w:p>
            <w:pPr>
              <w:pStyle w:val="Compact"/>
              <w:jc w:val="left"/>
            </w:pPr>
            <w:r>
              <w:t xml:space="preserve">D₂</w:t>
            </w:r>
          </w:p>
        </w:tc>
        <w:tc>
          <w:tcPr>
            <w:shd w:val="clear" w:color="auto" w:fill="F7FBFE"/>
            <w:vAlign w:val="top"/>
          </w:tcPr>
          <w:p>
            <w:pPr>
              <w:pStyle w:val="Compact"/>
              <w:jc w:val="left"/>
            </w:pPr>
            <w:r>
              <w:t xml:space="preserve">Health</w:t>
            </w:r>
          </w:p>
        </w:tc>
        <w:tc>
          <w:tcPr>
            <w:shd w:val="clear" w:color="auto" w:fill="F7FBFE"/>
            <w:vAlign w:val="top"/>
          </w:tcPr>
          <w:p>
            <w:pPr>
              <w:pStyle w:val="Compact"/>
              <w:jc w:val="left"/>
            </w:pPr>
            <w:r>
              <w:t xml:space="preserve">Physical and mental functioning; morbidity and mortality risk</w:t>
            </w:r>
          </w:p>
        </w:tc>
      </w:tr>
      <w:tr>
        <w:tc>
          <w:tcPr>
            <w:vAlign w:val="top"/>
          </w:tcPr>
          <w:p>
            <w:pPr>
              <w:pStyle w:val="Compact"/>
              <w:jc w:val="left"/>
            </w:pPr>
            <w:r>
              <w:t xml:space="preserve">D₃</w:t>
            </w:r>
          </w:p>
        </w:tc>
        <w:tc>
          <w:tcPr>
            <w:vAlign w:val="top"/>
          </w:tcPr>
          <w:p>
            <w:pPr>
              <w:pStyle w:val="Compact"/>
              <w:jc w:val="left"/>
            </w:pPr>
            <w:r>
              <w:t xml:space="preserve">Social</w:t>
            </w:r>
          </w:p>
        </w:tc>
        <w:tc>
          <w:tcPr>
            <w:vAlign w:val="top"/>
          </w:tcPr>
          <w:p>
            <w:pPr>
              <w:pStyle w:val="Compact"/>
              <w:jc w:val="left"/>
            </w:pPr>
            <w:r>
              <w:t xml:space="preserve">Belonging, trust, relational integrity, cooperation</w:t>
            </w:r>
          </w:p>
        </w:tc>
      </w:tr>
      <w:tr>
        <w:tc>
          <w:tcPr>
            <w:shd w:val="clear" w:color="auto" w:fill="F7FBFE"/>
            <w:vAlign w:val="top"/>
          </w:tcPr>
          <w:p>
            <w:pPr>
              <w:pStyle w:val="Compact"/>
              <w:jc w:val="left"/>
            </w:pPr>
            <w:r>
              <w:t xml:space="preserve">D₄</w:t>
            </w:r>
          </w:p>
        </w:tc>
        <w:tc>
          <w:tcPr>
            <w:shd w:val="clear" w:color="auto" w:fill="F7FBFE"/>
            <w:vAlign w:val="top"/>
          </w:tcPr>
          <w:p>
            <w:pPr>
              <w:pStyle w:val="Compact"/>
              <w:jc w:val="left"/>
            </w:pPr>
            <w:r>
              <w:t xml:space="preserve">Knowledge</w:t>
            </w:r>
          </w:p>
        </w:tc>
        <w:tc>
          <w:tcPr>
            <w:shd w:val="clear" w:color="auto" w:fill="F7FBFE"/>
            <w:vAlign w:val="top"/>
          </w:tcPr>
          <w:p>
            <w:pPr>
              <w:pStyle w:val="Compact"/>
              <w:jc w:val="left"/>
            </w:pPr>
            <w:r>
              <w:t xml:space="preserve">Epistemic access and learning conditions</w:t>
            </w:r>
          </w:p>
        </w:tc>
      </w:tr>
      <w:tr>
        <w:tc>
          <w:tcPr>
            <w:vAlign w:val="top"/>
          </w:tcPr>
          <w:p>
            <w:pPr>
              <w:pStyle w:val="Compact"/>
              <w:jc w:val="left"/>
            </w:pPr>
            <w:r>
              <w:t xml:space="preserve">D₅</w:t>
            </w:r>
          </w:p>
        </w:tc>
        <w:tc>
          <w:tcPr>
            <w:vAlign w:val="top"/>
          </w:tcPr>
          <w:p>
            <w:pPr>
              <w:pStyle w:val="Compact"/>
              <w:jc w:val="left"/>
            </w:pPr>
            <w:r>
              <w:t xml:space="preserve">Agency</w:t>
            </w:r>
          </w:p>
        </w:tc>
        <w:tc>
          <w:tcPr>
            <w:vAlign w:val="top"/>
          </w:tcPr>
          <w:p>
            <w:pPr>
              <w:pStyle w:val="Compact"/>
              <w:jc w:val="left"/>
            </w:pPr>
            <w:r>
              <w:t xml:space="preserve">Autonomy and effective choice; freedom from coercion</w:t>
            </w:r>
          </w:p>
        </w:tc>
      </w:tr>
      <w:tr>
        <w:tc>
          <w:tcPr>
            <w:shd w:val="clear" w:color="auto" w:fill="F7FBFE"/>
            <w:vAlign w:val="top"/>
          </w:tcPr>
          <w:p>
            <w:pPr>
              <w:pStyle w:val="Compact"/>
              <w:jc w:val="left"/>
            </w:pPr>
            <w:r>
              <w:t xml:space="preserve">D₆</w:t>
            </w:r>
          </w:p>
        </w:tc>
        <w:tc>
          <w:tcPr>
            <w:shd w:val="clear" w:color="auto" w:fill="F7FBFE"/>
            <w:vAlign w:val="top"/>
          </w:tcPr>
          <w:p>
            <w:pPr>
              <w:pStyle w:val="Compact"/>
              <w:jc w:val="left"/>
            </w:pPr>
            <w:r>
              <w:t xml:space="preserve">Meaning</w:t>
            </w:r>
          </w:p>
        </w:tc>
        <w:tc>
          <w:tcPr>
            <w:shd w:val="clear" w:color="auto" w:fill="F7FBFE"/>
            <w:vAlign w:val="top"/>
          </w:tcPr>
          <w:p>
            <w:pPr>
              <w:pStyle w:val="Compact"/>
              <w:jc w:val="left"/>
            </w:pPr>
            <w:r>
              <w:t xml:space="preserve">Coherence, purpose, valued life projects (measured cautiously)</w:t>
            </w:r>
          </w:p>
        </w:tc>
      </w:tr>
      <w:tr>
        <w:tc>
          <w:tcPr>
            <w:vAlign w:val="top"/>
          </w:tcPr>
          <w:p>
            <w:pPr>
              <w:pStyle w:val="Compact"/>
              <w:jc w:val="left"/>
            </w:pPr>
            <w:r>
              <w:t xml:space="preserve">D₇</w:t>
            </w:r>
          </w:p>
        </w:tc>
        <w:tc>
          <w:tcPr>
            <w:vAlign w:val="top"/>
          </w:tcPr>
          <w:p>
            <w:pPr>
              <w:pStyle w:val="Compact"/>
              <w:jc w:val="left"/>
            </w:pPr>
            <w:r>
              <w:t xml:space="preserve">Environment</w:t>
            </w:r>
          </w:p>
        </w:tc>
        <w:tc>
          <w:tcPr>
            <w:vAlign w:val="top"/>
          </w:tcPr>
          <w:p>
            <w:pPr>
              <w:pStyle w:val="Compact"/>
              <w:jc w:val="left"/>
            </w:pPr>
            <w:r>
              <w:t xml:space="preserve">Ecological and built context integrity sustaining life</w:t>
            </w:r>
          </w:p>
        </w:tc>
      </w:tr>
    </w:tbl>
    <w:p>
      <w:pPr>
        <w:pStyle w:val="BodyText"/>
      </w:pPr>
      <w:r>
        <w:t xml:space="preserve">This seven-dimensional choice is a convergence architecture rather than a claim of metaphysical completeness. It aligns with the capability approach (Sen, 1999; Nussbaum, 2011), self-determination theory (Ryan &amp; Deci, 2000), and fundamental human needs theory (Max-Neef, 1991), while also capturing ecological integrity as a life-support substrate consistent with Earth-system boundary research (Rockström et al., 2009, 2023).</w:t>
      </w:r>
    </w:p>
    <w:p>
      <w:pPr>
        <w:pStyle w:val="BodyText"/>
      </w:pPr>
      <w:r>
        <w:rPr>
          <w:bCs/>
          <w:b/>
        </w:rPr>
        <w:t xml:space="preserve">7×7 field interpretation rule (Normative for claim language).</w:t>
      </w:r>
      <w:r>
        <w:t xml:space="preserve"> </w:t>
      </w:r>
      <w:r>
        <w:t xml:space="preserve">The canonical 7 Union Scopes × 7 Welfare Dimensions matrix is a multidimensional accountability-and-flourishing field. Depending on the bearer and cell, a recorded condition may represent direct welfare, collective functioning, an enabling condition, structural integrity, ecological condition, epistemic observation or correction capacity, or a symbolic/meaning condition. The stable interface name</w:t>
      </w:r>
      <w:r>
        <w:t xml:space="preserve"> </w:t>
      </w:r>
      <w:r>
        <w:rPr>
          <w:rStyle w:val="VerbatimChar"/>
        </w:rPr>
        <w:t xml:space="preserve">Welfare Dimension</w:t>
      </w:r>
      <w:r>
        <w:t xml:space="preserve"> </w:t>
      </w:r>
      <w:r>
        <w:t xml:space="preserve">is retained for compatibility, but a cell MUST NOT be described as phenomenally experienced welfare of a non-sentient system unless admissible evidence supports that claim. WDBIP records the applicable effect-token and cell-type interpretation and prevents determinants, observation capacities, or system conditions from being mislabeled as directly experienced welfare.</w:t>
      </w:r>
    </w:p>
    <w:bookmarkEnd w:id="56"/>
    <w:bookmarkStart w:id="57" w:name="X96c335cd62872d9a7e152c1bcafdeffd99a3564"/>
    <w:p>
      <w:pPr>
        <w:pStyle w:val="Heading2"/>
      </w:pPr>
      <w:r>
        <w:rPr>
          <w:bCs/>
          <w:b/>
        </w:rPr>
        <w:t xml:space="preserve">3.4 Non-Fungibility at Rights Level</w:t>
      </w:r>
    </w:p>
    <w:p>
      <w:pPr>
        <w:pStyle w:val="FirstParagraph"/>
      </w:pPr>
      <w:r>
        <w:t xml:space="preserve">Dimensions are treated as non-fungible at the rights layer: gains in one dimension MUST NOT compensate rights-floor violations in another. This is enforced structurally by NCRC (Section 7), not by weight tuning.</w:t>
      </w:r>
    </w:p>
    <w:bookmarkEnd w:id="57"/>
    <w:bookmarkStart w:id="58" w:name="Xd9df6d5c088ae7b96c0b46595e0d1bfc399284e"/>
    <w:p>
      <w:pPr>
        <w:pStyle w:val="Heading2"/>
      </w:pPr>
      <w:r>
        <w:rPr>
          <w:bCs/>
          <w:b/>
        </w:rPr>
        <w:t xml:space="preserve">3.5 Unioning (Enacted Practice)</w:t>
      </w:r>
    </w:p>
    <w:p>
      <w:pPr>
        <w:pStyle w:val="FirstParagraph"/>
      </w:pPr>
      <w:r>
        <w:t xml:space="preserve">Unioning = redesigning decisions until they are rights-safe (NCRC), tail-safe (TRC), containment-safe, and net-positive across unions under declared uncertainty policy, treating apparent “tradeoffs” as design failures before acceptance.</w:t>
      </w:r>
    </w:p>
    <w:p>
      <w:pPr>
        <w:pStyle w:val="BodyText"/>
      </w:pPr>
      <w:r>
        <w:t xml:space="preserve">Unioning worked example (Non-Normative)</w:t>
      </w:r>
    </w:p>
    <w:p>
      <w:pPr>
        <w:pStyle w:val="BodyText"/>
      </w:pPr>
      <w:r>
        <w:t xml:space="preserve">Scenario. An organization considers cutting safety training to reduce costs. Initial estimate shows a small material benefit in U4 Organization D1, but a credible safety degradation in U4 D2 and a dignity/procedure risk in U4 D6/D5. Under NCRC, any rights-covered violation depth v_r(a)&gt;0 fails admissibility regardless of aggregate gains.</w:t>
      </w:r>
    </w:p>
    <w:p>
      <w:pPr>
        <w:pStyle w:val="BodyText"/>
      </w:pPr>
      <w:r>
        <w:t xml:space="preserve">Step 1, fail. Option A fails NCRC due to increased probability of serious injury and due-process erosion. It is rejected even if it would raise RLS.</w:t>
      </w:r>
    </w:p>
    <w:p>
      <w:pPr>
        <w:pStyle w:val="BodyText"/>
      </w:pPr>
      <w:r>
        <w:t xml:space="preserve">Step 2, redesign. The team introduces Option B, maintain safety training, add targeted efficiency changes elsewhere, and add a transparent incident-reporting and remediation pathway. This shifts the harmful impacts above the rights floor while preserving most of the intended cost reduction through non-harmful channels.</w:t>
      </w:r>
    </w:p>
    <w:p>
      <w:pPr>
        <w:pStyle w:val="BodyText"/>
      </w:pPr>
      <w:r>
        <w:t xml:space="preserve">Step 3, pass and select. Option B passes NCRC, passes TRC and CSV, then competes on RLS among admissible options. The PCC records the redesign rationale and the rights-floor reasoning, so the improvement is legible and replayable.</w:t>
      </w:r>
    </w:p>
    <w:bookmarkEnd w:id="58"/>
    <w:bookmarkStart w:id="59" w:name="Xa06069e8e97e8fefbc64f508aa7ce6f433bcb4e"/>
    <w:p>
      <w:pPr>
        <w:pStyle w:val="Heading2"/>
      </w:pPr>
      <w:r>
        <w:rPr>
          <w:bCs/>
          <w:b/>
        </w:rPr>
        <w:t xml:space="preserve">3.6 NCAR Learning Loop (Corrigibility Requirement)</w:t>
      </w:r>
    </w:p>
    <w:p>
      <w:pPr>
        <w:pStyle w:val="FirstParagraph"/>
      </w:pPr>
      <w:r>
        <w:t xml:space="preserve">RippleLogic is embedded in Notice, Choose, Act, Reflect. The system is corrigible: it records assumptions and outcomes, updates kernels and parameters via governed procedures, and preserves accountability through versioned PCCs.</w:t>
      </w:r>
    </w:p>
    <w:bookmarkEnd w:id="59"/>
    <w:bookmarkEnd w:id="60"/>
    <w:bookmarkStart w:id="80" w:name="Xa0639dfba04952623bf5ffd0c96f65572183032"/>
    <w:p>
      <w:pPr>
        <w:pStyle w:val="Heading1"/>
      </w:pPr>
      <w:bookmarkStart w:id="769" w:name="mg_toc_005"/>
      <w:r>
        <w:rPr>
          <w:bCs/>
          <w:b/>
        </w:rPr>
        <w:t xml:space="preserve">SECTION 4: SYSTEM OVERVIEW: THE RIPPLELOGIC ARCHITECTURE</w:t>
      </w:r>
      <w:bookmarkEnd w:id="769"/>
    </w:p>
    <w:p>
      <w:pPr>
        <w:pStyle w:val="FirstParagraph"/>
      </w:pPr>
      <w:r>
        <w:t xml:space="preserve">Public method. RippleLogic SHOULD be taught and implemented at the public level as:</w:t>
      </w:r>
    </w:p>
    <w:p>
      <w:pPr>
        <w:pStyle w:val="BodyText"/>
      </w:pPr>
      <w:r>
        <w:t xml:space="preserve">Reality Grounding -&gt; Rights Floor -&gt; TRC -&gt; CSV -&gt; RLS</w:t>
      </w:r>
    </w:p>
    <w:p>
      <w:pPr>
        <w:pStyle w:val="BodyText"/>
      </w:pPr>
      <w:r>
        <w:t xml:space="preserve">Human mnemonic:</w:t>
      </w:r>
    </w:p>
    <w:p>
      <w:pPr>
        <w:pStyle w:val="BodyText"/>
      </w:pPr>
      <w:r>
        <w:t xml:space="preserve">Ground -&gt; Protect -&gt; Bound -&gt; Contain/Verify -&gt; Score</w:t>
      </w:r>
    </w:p>
    <w:p>
      <w:pPr>
        <w:pStyle w:val="BodyText"/>
      </w:pPr>
      <w:r>
        <w:t xml:space="preserve">Formal method. In formal notation and audit surfaces, this corresponds to: RG/RSG -&gt; RF/NCRC -&gt; TRC -&gt; CSV -&gt; RLS, where RG is Reality Grounding and RSG is the reality-surface grounding implementation record.</w:t>
      </w:r>
    </w:p>
    <w:p>
      <w:pPr>
        <w:pStyle w:val="BodyText"/>
      </w:pPr>
      <w:r>
        <w:t xml:space="preserve">Clarification. Reality Grounding is a claim-authority precondition, not an ethical option-rejecting gate.</w:t>
      </w:r>
      <w:r>
        <w:t xml:space="preserve"> </w:t>
      </w:r>
      <w:r>
        <w:rPr>
          <w:rStyle w:val="VerbatimChar"/>
        </w:rPr>
        <w:t xml:space="preserve">RG_REFUSED</w:t>
      </w:r>
      <w:r>
        <w:t xml:space="preserve"> </w:t>
      </w:r>
      <w:r>
        <w:t xml:space="preserve">still excludes an option from the claim-bounded qualified set until grounding is repaired or the claim or action boundary is narrowed. RF/NCRC, TRC, and CSV gate ethical or structural admissibility and selectability. RLS ranks the selectable set. The five-level method therefore consists of one claim-authority precondition (RG), three hard feasibility/selectability gates (RF/NCRC, TRC, CSV), and one residual ranking layer (RLS).</w:t>
      </w:r>
    </w:p>
    <w:p>
      <w:pPr>
        <w:pStyle w:val="BodyText"/>
      </w:pPr>
      <w:r>
        <w:t xml:space="preserve">Two-phase decision model. The five-level method may be taught and implemented as two phases without changing the cascade.</w:t>
      </w:r>
      <w:r>
        <w:t xml:space="preserve"> </w:t>
      </w:r>
      <w:r>
        <w:rPr>
          <w:bCs/>
          <w:b/>
        </w:rPr>
        <w:t xml:space="preserve">Phase 1 qualifies options:</w:t>
      </w:r>
      <w:r>
        <w:t xml:space="preserve"> </w:t>
      </w:r>
      <w:r>
        <w:t xml:space="preserve">RG establishes claim authority; RF/NCRC protects rights; TRC bounds ruin; CSV verifies containment and structural viability.</w:t>
      </w:r>
      <w:r>
        <w:t xml:space="preserve"> </w:t>
      </w:r>
      <w:r>
        <w:rPr>
          <w:bCs/>
          <w:b/>
        </w:rPr>
        <w:t xml:space="preserve">Phase 2 ranks survivors:</w:t>
      </w:r>
      <w:r>
        <w:t xml:space="preserve"> </w:t>
      </w:r>
      <w:r>
        <w:t xml:space="preserve">RLS orders only the options that remain selectable after Phase 1.</w:t>
      </w:r>
    </w:p>
    <w:p>
      <w:pPr>
        <w:pStyle w:val="BodyText"/>
      </w:pPr>
      <w:r>
        <w:t xml:space="preserve">Qualification-before-ranking rule. Do not score fantasy, rights violations, ruin paths, or structurally non-viable options as ordinary alternatives. RLS is applied only to the selectable set produced by RG/RSG, RF/NCRC, TRC, and CSV.</w:t>
      </w:r>
    </w:p>
    <w:p>
      <w:pPr>
        <w:pStyle w:val="BodyText"/>
      </w:pPr>
      <w:r>
        <w:t xml:space="preserve">TRC/CSV non-collapse rule. TRC is the ruin veto: it asks whether catastrophic, irreversible, lock-in, systemic, or ruin-path downside is acceptably bounded. CSV is the viability and control test: it asks whether an option can structurally stand, execute, remain contained, preserve dependencies, maintain monitoring, and remain governable under real constraints. CSV may discover a TRC-relevant scenario, but it does not absorb TRC. If CSV identifies a new ruin path, TRC MUST be reopened before RLS.</w:t>
      </w:r>
    </w:p>
    <w:p>
      <w:pPr>
        <w:pStyle w:val="BodyText"/>
      </w:pPr>
      <w:r>
        <w:t xml:space="preserve">Level 1, Reality Grounding (RG/RSG). Declare the reality surface, evidence trace, material unknowns, transition boundary, consequence pathways, category boundaries, and claim boundary. If grounding is insufficient for a material claim, narrow, escalate, mark exploratory, or refuse the stronger claim.</w:t>
      </w:r>
    </w:p>
    <w:p>
      <w:pPr>
        <w:pStyle w:val="BodyText"/>
      </w:pPr>
      <w:r>
        <w:t xml:space="preserve">Level 2, Rights Floor (RF/NCRC). Apply the Non-Compensatory Rights Constraint. Rights-floor harms are non-compensatory and cannot be rescued by welfare score.</w:t>
      </w:r>
    </w:p>
    <w:p>
      <w:pPr>
        <w:pStyle w:val="BodyText"/>
      </w:pPr>
      <w:r>
        <w:t xml:space="preserve">Level 3, TRC / Tail-Risk Bound. Apply the Tail-Risk Constraint. Catastrophic or unbounded downside cannot be averaged into ordinary welfare gains.</w:t>
      </w:r>
    </w:p>
    <w:p>
      <w:pPr>
        <w:pStyle w:val="BodyText"/>
      </w:pPr>
      <w:r>
        <w:t xml:space="preserve">Level 4, CSV / Containment and Structural Viability. Apply the CSV gate. CSV asks whether the option’s local gain can stand without unacceptably damaging, hollowing, overloading, exploiting, or depending on the larger systems that make the gain possible. UCI/HOI and related structural diagnostics are evaluated inside CSV when material. Structural Viability is explicit inside CSV: resource closure, dependency closure, endpoint/reversibility coherence, operational capacity non-exceedance, and internal non-contradiction.</w:t>
      </w:r>
    </w:p>
    <w:p>
      <w:pPr>
        <w:pStyle w:val="BodyText"/>
      </w:pPr>
      <w:r>
        <w:t xml:space="preserve">Level 5, RLS / RippleLogic Score. Rank only the options that remain selectable. If RLS is tied, close, or non-decisive, apply the special-case tie-break rule using residual UCI/HOI where available or return REFUSE_DETERMINISTIC_SELECTION.</w:t>
      </w:r>
    </w:p>
    <w:p>
      <w:pPr>
        <w:pStyle w:val="BodyText"/>
      </w:pPr>
      <w:r>
        <w:t xml:space="preserve">Mantra. Ground -&gt; Protect -&gt; Bound -&gt; Contain/Verify -&gt; Score.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Layer</w:t>
            </w:r>
          </w:p>
        </w:tc>
        <w:tc>
          <w:tcPr>
            <w:shd w:val="clear" w:color="auto" w:fill="D9EAF7"/>
            <w:vAlign w:val="center"/>
          </w:tcPr>
          <w:p>
            <w:pPr>
              <w:pStyle w:val="Compact"/>
              <w:jc w:val="left"/>
            </w:pPr>
            <w:r>
              <w:rPr>
                <w:bCs/>
                <w:b/>
                <w:color w:val="17365D"/>
              </w:rPr>
              <w:t xml:space="preserve">Question answered</w:t>
            </w:r>
          </w:p>
        </w:tc>
        <w:tc>
          <w:tcPr>
            <w:shd w:val="clear" w:color="auto" w:fill="D9EAF7"/>
            <w:vAlign w:val="center"/>
          </w:tcPr>
          <w:p>
            <w:pPr>
              <w:pStyle w:val="Compact"/>
              <w:jc w:val="left"/>
            </w:pPr>
            <w:r>
              <w:rPr>
                <w:bCs/>
                <w:b/>
                <w:color w:val="17365D"/>
              </w:rPr>
              <w:t xml:space="preserve">Output</w:t>
            </w:r>
          </w:p>
        </w:tc>
      </w:tr>
      <w:tr>
        <w:tc>
          <w:tcPr>
            <w:vAlign w:val="top"/>
          </w:tcPr>
          <w:p>
            <w:pPr>
              <w:pStyle w:val="Compact"/>
              <w:jc w:val="left"/>
            </w:pPr>
            <w:r>
              <w:t xml:space="preserve">RG / Reality Grounding</w:t>
            </w:r>
          </w:p>
        </w:tc>
        <w:tc>
          <w:tcPr>
            <w:vAlign w:val="top"/>
          </w:tcPr>
          <w:p>
            <w:pPr>
              <w:pStyle w:val="Compact"/>
              <w:jc w:val="left"/>
            </w:pPr>
            <w:r>
              <w:t xml:space="preserve">What reality surface, evidence trace, unknowns, transition boundary, consequence pathways, category boundaries, and claim boundary support this run?</w:t>
            </w:r>
          </w:p>
        </w:tc>
        <w:tc>
          <w:tcPr>
            <w:vAlign w:val="top"/>
          </w:tcPr>
          <w:p>
            <w:pPr>
              <w:pStyle w:val="Compact"/>
              <w:jc w:val="left"/>
            </w:pPr>
            <w:r>
              <w:t xml:space="preserve">Grounded, narrowed, escalated, exploratory, or refused.</w:t>
            </w:r>
          </w:p>
        </w:tc>
      </w:tr>
      <w:tr>
        <w:tc>
          <w:tcPr>
            <w:shd w:val="clear" w:color="auto" w:fill="F7FBFE"/>
            <w:vAlign w:val="top"/>
          </w:tcPr>
          <w:p>
            <w:pPr>
              <w:pStyle w:val="Compact"/>
              <w:jc w:val="left"/>
            </w:pPr>
            <w:r>
              <w:t xml:space="preserve">NCRC</w:t>
            </w:r>
          </w:p>
        </w:tc>
        <w:tc>
          <w:tcPr>
            <w:shd w:val="clear" w:color="auto" w:fill="F7FBFE"/>
            <w:vAlign w:val="top"/>
          </w:tcPr>
          <w:p>
            <w:pPr>
              <w:pStyle w:val="Compact"/>
              <w:jc w:val="left"/>
            </w:pPr>
            <w:r>
              <w:t xml:space="preserve">Does the option violate a non-compensatory rights floor?</w:t>
            </w:r>
          </w:p>
        </w:tc>
        <w:tc>
          <w:tcPr>
            <w:shd w:val="clear" w:color="auto" w:fill="F7FBFE"/>
            <w:vAlign w:val="top"/>
          </w:tcPr>
          <w:p>
            <w:pPr>
              <w:pStyle w:val="Compact"/>
              <w:jc w:val="left"/>
            </w:pPr>
            <w:r>
              <w:t xml:space="preserve">Rights-admissible or rejected.</w:t>
            </w:r>
          </w:p>
        </w:tc>
      </w:tr>
      <w:tr>
        <w:tc>
          <w:tcPr>
            <w:vAlign w:val="top"/>
          </w:tcPr>
          <w:p>
            <w:pPr>
              <w:pStyle w:val="Compact"/>
              <w:jc w:val="left"/>
            </w:pPr>
            <w:r>
              <w:t xml:space="preserve">TRC</w:t>
            </w:r>
          </w:p>
        </w:tc>
        <w:tc>
          <w:tcPr>
            <w:vAlign w:val="top"/>
          </w:tcPr>
          <w:p>
            <w:pPr>
              <w:pStyle w:val="Compact"/>
              <w:jc w:val="left"/>
            </w:pPr>
            <w:r>
              <w:t xml:space="preserve">Is catastrophic tail risk acceptably bounded?</w:t>
            </w:r>
          </w:p>
        </w:tc>
        <w:tc>
          <w:tcPr>
            <w:vAlign w:val="top"/>
          </w:tcPr>
          <w:p>
            <w:pPr>
              <w:pStyle w:val="Compact"/>
              <w:jc w:val="left"/>
            </w:pPr>
            <w:r>
              <w:t xml:space="preserve">Admissible or rejected.</w:t>
            </w:r>
          </w:p>
        </w:tc>
      </w:tr>
      <w:tr>
        <w:tc>
          <w:tcPr>
            <w:shd w:val="clear" w:color="auto" w:fill="F7FBFE"/>
            <w:vAlign w:val="top"/>
          </w:tcPr>
          <w:p>
            <w:pPr>
              <w:pStyle w:val="Compact"/>
              <w:jc w:val="left"/>
            </w:pPr>
            <w:r>
              <w:t xml:space="preserve">CSV</w:t>
            </w:r>
          </w:p>
        </w:tc>
        <w:tc>
          <w:tcPr>
            <w:shd w:val="clear" w:color="auto" w:fill="F7FBFE"/>
            <w:vAlign w:val="top"/>
          </w:tcPr>
          <w:p>
            <w:pPr>
              <w:pStyle w:val="Compact"/>
              <w:jc w:val="left"/>
            </w:pPr>
            <w:r>
              <w:t xml:space="preserve">Can the option deliver its claimed good without uncontained harm, hollowing, lock-in, structural non-viability, or degrading containing systems beyond tolerance?</w:t>
            </w:r>
          </w:p>
        </w:tc>
        <w:tc>
          <w:tcPr>
            <w:shd w:val="clear" w:color="auto" w:fill="F7FBFE"/>
            <w:vAlign w:val="top"/>
          </w:tcPr>
          <w:p>
            <w:pPr>
              <w:pStyle w:val="Compact"/>
              <w:jc w:val="left"/>
            </w:pPr>
            <w:r>
              <w:t xml:space="preserve">Selectable, pass with controls, redesign required, emergency provisional, excluded, or escalated.</w:t>
            </w:r>
          </w:p>
        </w:tc>
      </w:tr>
      <w:tr>
        <w:tc>
          <w:tcPr>
            <w:vAlign w:val="top"/>
          </w:tcPr>
          <w:p>
            <w:pPr>
              <w:pStyle w:val="Compact"/>
              <w:jc w:val="left"/>
            </w:pPr>
            <w:r>
              <w:t xml:space="preserve">RLS</w:t>
            </w:r>
          </w:p>
        </w:tc>
        <w:tc>
          <w:tcPr>
            <w:vAlign w:val="top"/>
          </w:tcPr>
          <w:p>
            <w:pPr>
              <w:pStyle w:val="Compact"/>
              <w:jc w:val="left"/>
            </w:pPr>
            <w:r>
              <w:t xml:space="preserve">Among selectable options, which has the strongest residual welfare pattern?</w:t>
            </w:r>
          </w:p>
        </w:tc>
        <w:tc>
          <w:tcPr>
            <w:vAlign w:val="top"/>
          </w:tcPr>
          <w:p>
            <w:pPr>
              <w:pStyle w:val="Compact"/>
              <w:jc w:val="left"/>
            </w:pPr>
            <w:r>
              <w:t xml:space="preserve">Ranked selectable options.</w:t>
            </w:r>
          </w:p>
        </w:tc>
      </w:tr>
    </w:tbl>
    <w:bookmarkStart w:id="61" w:name="X8cf59ec2d0f382cf947ac940e7d2a02f4d4f8b5"/>
    <w:p>
      <w:pPr>
        <w:pStyle w:val="Heading2"/>
      </w:pPr>
      <w:r>
        <w:rPr>
          <w:bCs/>
          <w:b/>
        </w:rPr>
        <w:t xml:space="preserve">4.1 Formal Definition</w:t>
      </w:r>
    </w:p>
    <w:p>
      <w:pPr>
        <w:pStyle w:val="FirstParagraph"/>
      </w:pPr>
      <w:r>
        <w:t xml:space="preserve">RippleLogic is a rights-first, tail-risk-bounded, union-based decision optimization system with explicit ripple propagation, auditable scoring, and corrigible learning. It is designed to prevent three common governance failures: rights being traded away by aggregate welfare gains, catastrophic downside being averaged away by expected-value logic, and local optimization degrading larger containing systems.</w:t>
      </w:r>
    </w:p>
    <w:bookmarkEnd w:id="61"/>
    <w:bookmarkStart w:id="62" w:name="Xf844ca91169ad65e47de17d213b62cfefcfc0b5"/>
    <w:p>
      <w:pPr>
        <w:pStyle w:val="Heading2"/>
      </w:pPr>
      <w:r>
        <w:rPr>
          <w:bCs/>
          <w:b/>
        </w:rPr>
        <w:t xml:space="preserve">4.2 Core Objects and Implementable Data Structures</w:t>
      </w:r>
    </w:p>
    <w:p>
      <w:pPr>
        <w:pStyle w:val="FirstParagraph"/>
      </w:pPr>
      <w:r>
        <w:t xml:space="preserve">Every RippleLogic run works from declared objects. These are not decorative labels; they are the minimum data surfaces that make the decision auditable, reproducible, and challengeable.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Object</w:t>
            </w:r>
          </w:p>
        </w:tc>
        <w:tc>
          <w:tcPr>
            <w:shd w:val="clear" w:color="auto" w:fill="D9EAF7"/>
            <w:vAlign w:val="center"/>
          </w:tcPr>
          <w:p>
            <w:pPr>
              <w:pStyle w:val="Compact"/>
              <w:jc w:val="left"/>
            </w:pPr>
            <w:r>
              <w:rPr>
                <w:bCs/>
                <w:b/>
                <w:color w:val="17365D"/>
              </w:rPr>
              <w:t xml:space="preserve">Description</w:t>
            </w:r>
          </w:p>
        </w:tc>
      </w:tr>
      <w:tr>
        <w:tc>
          <w:tcPr>
            <w:vAlign w:val="top"/>
          </w:tcPr>
          <w:p>
            <w:pPr>
              <w:pStyle w:val="Compact"/>
              <w:jc w:val="left"/>
            </w:pPr>
            <w:r>
              <w:t xml:space="preserve">Option set O</w:t>
            </w:r>
          </w:p>
        </w:tc>
        <w:tc>
          <w:tcPr>
            <w:vAlign w:val="top"/>
          </w:tcPr>
          <w:p>
            <w:pPr>
              <w:pStyle w:val="Compact"/>
              <w:jc w:val="left"/>
            </w:pPr>
            <w:r>
              <w:t xml:space="preserve">Finite set of candidate actions.</w:t>
            </w:r>
          </w:p>
        </w:tc>
      </w:tr>
      <w:tr>
        <w:tc>
          <w:tcPr>
            <w:shd w:val="clear" w:color="auto" w:fill="F7FBFE"/>
            <w:vAlign w:val="top"/>
          </w:tcPr>
          <w:p>
            <w:pPr>
              <w:pStyle w:val="Compact"/>
              <w:jc w:val="left"/>
            </w:pPr>
            <w:r>
              <w:t xml:space="preserve">Welfare impact matrix per option</w:t>
            </w:r>
          </w:p>
        </w:tc>
        <w:tc>
          <w:tcPr>
            <w:shd w:val="clear" w:color="auto" w:fill="F7FBFE"/>
            <w:vAlign w:val="top"/>
          </w:tcPr>
          <w:p>
            <w:pPr>
              <w:pStyle w:val="Compact"/>
              <w:jc w:val="left"/>
            </w:pPr>
            <w:r>
              <w:t xml:space="preserve">I_prop(u,d,a) in [-1,+1], after direct impact construction, propagation, and saturation. Cell interpretation is governed by the canonical 49-cell reference grid and Appendix AD.</w:t>
            </w:r>
          </w:p>
        </w:tc>
      </w:tr>
      <w:tr>
        <w:tc>
          <w:tcPr>
            <w:vAlign w:val="top"/>
          </w:tcPr>
          <w:p>
            <w:pPr>
              <w:pStyle w:val="Compact"/>
              <w:jc w:val="left"/>
            </w:pPr>
            <w:r>
              <w:t xml:space="preserve">Rights impacts</w:t>
            </w:r>
          </w:p>
        </w:tc>
        <w:tc>
          <w:tcPr>
            <w:vAlign w:val="top"/>
          </w:tcPr>
          <w:p>
            <w:pPr>
              <w:pStyle w:val="Compact"/>
              <w:jc w:val="left"/>
            </w:pPr>
            <w:r>
              <w:t xml:space="preserve">I_rights(u,d,a), using worst-off protected subgroup semantics for rights-covered cells.</w:t>
            </w:r>
          </w:p>
        </w:tc>
      </w:tr>
      <w:tr>
        <w:tc>
          <w:tcPr>
            <w:shd w:val="clear" w:color="auto" w:fill="F7FBFE"/>
            <w:vAlign w:val="top"/>
          </w:tcPr>
          <w:p>
            <w:pPr>
              <w:pStyle w:val="Compact"/>
              <w:jc w:val="left"/>
            </w:pPr>
            <w:r>
              <w:t xml:space="preserve">Scenario set S with probabilities p_s</w:t>
            </w:r>
          </w:p>
        </w:tc>
        <w:tc>
          <w:tcPr>
            <w:shd w:val="clear" w:color="auto" w:fill="F7FBFE"/>
            <w:vAlign w:val="top"/>
          </w:tcPr>
          <w:p>
            <w:pPr>
              <w:pStyle w:val="Compact"/>
              <w:jc w:val="left"/>
            </w:pPr>
            <w:r>
              <w:t xml:space="preserve">Scenario surface for TRC, including mandatory tail categories and probability floors where required.</w:t>
            </w:r>
          </w:p>
        </w:tc>
      </w:tr>
      <w:tr>
        <w:tc>
          <w:tcPr>
            <w:vAlign w:val="top"/>
          </w:tcPr>
          <w:p>
            <w:pPr>
              <w:pStyle w:val="Compact"/>
              <w:jc w:val="left"/>
            </w:pPr>
            <w:r>
              <w:t xml:space="preserve">Catastrophe cells C_cat and weights omega</w:t>
            </w:r>
          </w:p>
        </w:tc>
        <w:tc>
          <w:tcPr>
            <w:vAlign w:val="top"/>
          </w:tcPr>
          <w:p>
            <w:pPr>
              <w:pStyle w:val="Compact"/>
              <w:jc w:val="left"/>
            </w:pPr>
            <w:r>
              <w:t xml:space="preserve">Catastrophe-relevant welfare cells and tail-risk weights used in TRC.</w:t>
            </w:r>
          </w:p>
        </w:tc>
      </w:tr>
      <w:tr>
        <w:tc>
          <w:tcPr>
            <w:shd w:val="clear" w:color="auto" w:fill="F7FBFE"/>
            <w:vAlign w:val="top"/>
          </w:tcPr>
          <w:p>
            <w:pPr>
              <w:pStyle w:val="Compact"/>
              <w:jc w:val="left"/>
            </w:pPr>
            <w:r>
              <w:t xml:space="preserve">Kernel K, sparse 49x49</w:t>
            </w:r>
          </w:p>
        </w:tc>
        <w:tc>
          <w:tcPr>
            <w:shd w:val="clear" w:color="auto" w:fill="F7FBFE"/>
            <w:vAlign w:val="top"/>
          </w:tcPr>
          <w:p>
            <w:pPr>
              <w:pStyle w:val="Compact"/>
              <w:jc w:val="left"/>
            </w:pPr>
            <w:r>
              <w:t xml:space="preserve">Propagation structure. NONE or QUICK modes are permitted in Tier 1-3 subject to the canon.</w:t>
            </w:r>
          </w:p>
        </w:tc>
      </w:tr>
      <w:tr>
        <w:tc>
          <w:tcPr>
            <w:vAlign w:val="top"/>
          </w:tcPr>
          <w:p>
            <w:pPr>
              <w:pStyle w:val="Compact"/>
              <w:jc w:val="left"/>
            </w:pPr>
            <w:r>
              <w:t xml:space="preserve">Weights w_u and v_d</w:t>
            </w:r>
          </w:p>
        </w:tc>
        <w:tc>
          <w:tcPr>
            <w:vAlign w:val="top"/>
          </w:tcPr>
          <w:p>
            <w:pPr>
              <w:pStyle w:val="Compact"/>
              <w:jc w:val="left"/>
            </w:pPr>
            <w:r>
              <w:t xml:space="preserve">Union-scope and dimension weights, governed by HDW where required and constitutional floors where applicable.</w:t>
            </w:r>
          </w:p>
        </w:tc>
      </w:tr>
      <w:tr>
        <w:tc>
          <w:tcPr>
            <w:shd w:val="clear" w:color="auto" w:fill="F7FBFE"/>
            <w:vAlign w:val="top"/>
          </w:tcPr>
          <w:p>
            <w:pPr>
              <w:pStyle w:val="Compact"/>
              <w:jc w:val="left"/>
            </w:pPr>
            <w:r>
              <w:t xml:space="preserve">Structural metrics UCI and HOI</w:t>
            </w:r>
          </w:p>
        </w:tc>
        <w:tc>
          <w:tcPr>
            <w:shd w:val="clear" w:color="auto" w:fill="F7FBFE"/>
            <w:vAlign w:val="top"/>
          </w:tcPr>
          <w:p>
            <w:pPr>
              <w:pStyle w:val="Compact"/>
              <w:jc w:val="left"/>
            </w:pPr>
            <w:r>
              <w:t xml:space="preserve">Containment and tie-break diagnostics, subject to maturity boundaries.</w:t>
            </w:r>
          </w:p>
        </w:tc>
      </w:tr>
      <w:tr>
        <w:tc>
          <w:tcPr>
            <w:vAlign w:val="top"/>
          </w:tcPr>
          <w:p>
            <w:pPr>
              <w:pStyle w:val="Compact"/>
              <w:jc w:val="left"/>
            </w:pPr>
            <w:r>
              <w:t xml:space="preserve">ReferenceStructureRecord</w:t>
            </w:r>
          </w:p>
        </w:tc>
        <w:tc>
          <w:tcPr>
            <w:vAlign w:val="top"/>
          </w:tcPr>
          <w:p>
            <w:pPr>
              <w:pStyle w:val="Compact"/>
              <w:jc w:val="left"/>
            </w:pPr>
            <w:r>
              <w:t xml:space="preserve">The declared reference object, evidence status, causal pathway, falsification condition, authority boundary, and refusal trigger for the claim being made.</w:t>
            </w:r>
          </w:p>
        </w:tc>
      </w:tr>
    </w:tbl>
    <w:bookmarkEnd w:id="62"/>
    <w:bookmarkStart w:id="63" w:name="Xda51137882e24b0e3c483c0aee6ae7b609268ee"/>
    <w:p>
      <w:pPr>
        <w:pStyle w:val="Heading2"/>
      </w:pPr>
      <w:r>
        <w:rPr>
          <w:bCs/>
          <w:b/>
        </w:rPr>
        <w:t xml:space="preserve">4.3 Reference Structure Discipline</w:t>
      </w:r>
    </w:p>
    <w:p>
      <w:pPr>
        <w:pStyle w:val="FirstParagraph"/>
      </w:pPr>
      <w:r>
        <w:t xml:space="preserve">RippleLogic decisions SHALL NOT be interpreted as governance claims merely because a scoring procedure, audit record, or policy wrapper exists. A governance claim is supportable only to the extent that the decision record declares the reference structure against which the claim is evaluated.</w:t>
      </w:r>
    </w:p>
    <w:p>
      <w:pPr>
        <w:pStyle w:val="BodyText"/>
      </w:pPr>
      <w:r>
        <w:t xml:space="preserve">For RippleLogic purposes, a reference structure is the declared set of constraints, evidence sources, causal pathways, thresholds, maturity labels, and refusal conditions used to evaluate a decision claim. Reference structures may include physical constraints, biological needs, rights floors, catastrophic-risk corridors, containment conditions, stakeholder impact maps, institutional authority boundaries, evidence-status labels, and auditable records.</w:t>
      </w:r>
    </w:p>
    <w:p>
      <w:pPr>
        <w:pStyle w:val="BodyText"/>
      </w:pPr>
      <w:r>
        <w:t xml:space="preserve">RSP and RefStructRecord. The Reference Structure Protocol (RSP) is the discipline. The ReferenceStructureRecord (RefStructRecord) is the run-level artifact that records the discipline in a specific case. RSP tells the system what must be declared; RefStructRecord records what was actually declared.</w:t>
      </w:r>
    </w:p>
    <w:p>
      <w:pPr>
        <w:pStyle w:val="BodyText"/>
      </w:pPr>
      <w:r>
        <w:t xml:space="preserve">Reference structure discipline does not create a sixth gate and does not alter the canonical method. Reality Grounding, NCRC, TRC, CSV, RLS, and UCI/HOI diagnostic handling retain their existing roles. The Reference Structure Protocol strengthens the evidence basis used to evaluate those roles.</w:t>
      </w:r>
    </w:p>
    <w:p>
      <w:pPr>
        <w:pStyle w:val="BodyText"/>
      </w:pPr>
      <w:r>
        <w:t xml:space="preserve">A RippleLogic run MUST NOT treat circular, self-validating, missing, unfalsifiable, materially stale, or unsupported reference claims as sufficient for high-stakes admissibility, selection, deployment-readiness, or conformance claims. Where the reference structure is insufficient for the requested claim, the correct outcome is Refusal, escalation, narrower claim scope, additional evidence gathering, or bounded provisional action under an applicable triage rule.</w:t>
      </w:r>
    </w:p>
    <w:p>
      <w:pPr>
        <w:pStyle w:val="BodyText"/>
      </w:pPr>
      <w:r>
        <w:t xml:space="preserve">Plain-language rule. Governance without a declared reference structure becomes assumption management. RippleLogic requires declared references, visible evidence, falsifiable claims, and refusal when the reference structure cannot support the claim.</w:t>
      </w:r>
    </w:p>
    <w:bookmarkEnd w:id="63"/>
    <w:bookmarkStart w:id="65" w:name="Xbd6a075bf130109f7ab59d84982a209f1e3cf32"/>
    <w:p>
      <w:pPr>
        <w:pStyle w:val="Heading2"/>
      </w:pPr>
      <w:r>
        <w:rPr>
          <w:bCs/>
          <w:b/>
        </w:rPr>
        <w:t xml:space="preserve">4.4 Formal Gate Sequence and Residual Tie-Break (Normative)</w:t>
      </w:r>
    </w:p>
    <w:p>
      <w:pPr>
        <w:pStyle w:val="FirstParagraph"/>
      </w:pPr>
      <w:r>
        <w:t xml:space="preserve">RippleLogic evaluates candidate options through a formal gate sequence with a claim-authority precondition. Reality Grounding first establishes whether the requested claim can be made at the declared strength. RF/NCRC, TRC, and CSV then determine admissibility and selectability. RLS ranks only the selectable set. Residual UCI/HOI is a special-case tie-break or monitoring rule, not a regular public cascade level. A later function MUST NOT rescue, compensate for, or reinterpret failure at an earlier function.</w:t>
      </w:r>
    </w:p>
    <w:p>
      <w:pPr>
        <w:pStyle w:val="BodyText"/>
      </w:pPr>
      <w:r>
        <w:t>Gate-numbering clarification (Normative). Formal gate numbering counts only the three hard admissibility/selectability gates: RF/NCRC, TRC, and CSV. RG is the upstream claim-authority precondition and is not numbered as a hard gate; RLS is the downstream ranking stage.</w:t>
      </w:r>
    </w:p>
    <w:p>
      <w:pPr>
        <w:pStyle w:val="BodyText"/>
      </w:pPr>
      <w:r>
        <w:t xml:space="preserve">Formal gate 1, NCRC: rights feasibility. NCRC determines whether an option is rights-admissible. For rights-covered cells, RippleLogic applies the required subgroup semantics and checks the worst-off protected subgroup against the rights floor. Any option with positive violation depth on any covered right fails NCRC and is inadmissible, regardless of expected welfare gains, downstream rankings, or structural advantages.</w:t>
      </w:r>
    </w:p>
    <w:p>
      <w:pPr>
        <w:pStyle w:val="BodyText"/>
      </w:pPr>
      <w:r>
        <w:t xml:space="preserve">Formal gate 2, TRC: catastrophe feasibility. TRC determines whether a rights-admissible option is admissible in the tail-risk sense. It evaluates catastrophic-loss exposure over the governed scenario set using the catastrophe cell set and declared CVaR corridor. Any option whose catastrophic tail exceeds the corridor fails TRC and is inadmissible, even if expected welfare performance is strong.</w:t>
      </w:r>
    </w:p>
    <w:p>
      <w:pPr>
        <w:pStyle w:val="BodyText"/>
      </w:pPr>
      <w:r>
        <w:t xml:space="preserve">Formal gate 3, CSV: containment and structural viability feasibility. CSV determines whether an admissible option is selectable with respect to containing-system integrity and execution viability. It asks whether local or sub-scope welfare gains degrade containing unions, hollow out capacities, create lock-in, externalize burdens, exceed operational capacity, or fail structural viability. An option that fails CSV is not selectable, even if it passes NCRC and TRC and would otherwise rank highly on residual welfare.</w:t>
      </w:r>
    </w:p>
    <w:p>
      <w:pPr>
        <w:pStyle w:val="BodyText"/>
      </w:pPr>
      <w:r>
        <w:t xml:space="preserve">Ranking stage, RLS: residual welfare ranking. RLS is applied only to options that have already passed RF/NCRC, TRC, and CSV. It ranks surviving options by weighted welfare aggregation over the active cell set, subject to non-maskable-cell rules and weight-governance requirements. RLS MUST NOT override or soften any earlier gate.</w:t>
      </w:r>
    </w:p>
    <w:p>
      <w:pPr>
        <w:pStyle w:val="BodyText"/>
      </w:pPr>
      <w:r>
        <w:t xml:space="preserve">Special-case UCI/HOI tie-break rule: structural resolution after RLS non-decisiveness. UCI and HOI are first evaluated inside CSV when material to structural integrity, hollowing risk, or containment. Only after options are already selectable may residual UCI/HOI help document a tied, close, uncertainty-overlapped, or non-decisive RLS result. UCI and HOI do not act as public cascade stages and do not reopen prior gate decisions.</w:t>
      </w:r>
    </w:p>
    <w:p>
      <w:pPr>
        <w:pStyle w:val="BodyText"/>
      </w:pPr>
      <w:r>
        <w:t xml:space="preserve">Non-overlap rule. For interpretation and auditability, the formal gate/ranking functions SHALL be read as follows: RG/RSG = claim authority; NCRC = rights feasibility; TRC = catastrophe feasibility; CSV = containment and structural viability feasibility; RLS = residual welfare ranking within the selectable set; UCI/HOI tie-break = special-case non-decisive structural resolution or monitoring within the selectable set, not a regular public cascade level. No implementation, commentary, or downstream artifact may collapse these functions into a single blended score.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Level</w:t>
            </w:r>
          </w:p>
        </w:tc>
        <w:tc>
          <w:tcPr>
            <w:shd w:val="clear" w:color="auto" w:fill="D9EAF7"/>
            <w:vAlign w:val="center"/>
          </w:tcPr>
          <w:p>
            <w:pPr>
              <w:pStyle w:val="Compact"/>
              <w:jc w:val="left"/>
            </w:pPr>
            <w:r>
              <w:rPr>
                <w:bCs/>
                <w:b/>
                <w:color w:val="17365D"/>
              </w:rPr>
              <w:t xml:space="preserve">Name</w:t>
            </w:r>
          </w:p>
        </w:tc>
        <w:tc>
          <w:tcPr>
            <w:shd w:val="clear" w:color="auto" w:fill="D9EAF7"/>
            <w:vAlign w:val="center"/>
          </w:tcPr>
          <w:p>
            <w:pPr>
              <w:pStyle w:val="Compact"/>
              <w:jc w:val="left"/>
            </w:pPr>
            <w:r>
              <w:rPr>
                <w:bCs/>
                <w:b/>
                <w:color w:val="17365D"/>
              </w:rPr>
              <w:t xml:space="preserve">Function</w:t>
            </w:r>
          </w:p>
        </w:tc>
        <w:tc>
          <w:tcPr>
            <w:shd w:val="clear" w:color="auto" w:fill="D9EAF7"/>
            <w:vAlign w:val="center"/>
          </w:tcPr>
          <w:p>
            <w:pPr>
              <w:pStyle w:val="Compact"/>
              <w:jc w:val="left"/>
            </w:pPr>
            <w:r>
              <w:rPr>
                <w:bCs/>
                <w:b/>
                <w:color w:val="17365D"/>
              </w:rPr>
              <w:t xml:space="preserve">Failure consequence</w:t>
            </w:r>
          </w:p>
        </w:tc>
      </w:tr>
      <w:tr>
        <w:tc>
          <w:tcPr>
            <w:vAlign w:val="top"/>
          </w:tcPr>
          <w:p>
            <w:pPr>
              <w:pStyle w:val="Compact"/>
              <w:jc w:val="left"/>
            </w:pPr>
            <w:r>
              <w:t xml:space="preserve">1</w:t>
            </w:r>
          </w:p>
        </w:tc>
        <w:tc>
          <w:tcPr>
            <w:vAlign w:val="top"/>
          </w:tcPr>
          <w:p>
            <w:pPr>
              <w:pStyle w:val="Compact"/>
              <w:jc w:val="left"/>
            </w:pPr>
            <w:r>
              <w:t xml:space="preserve">RG / Reality Grounding</w:t>
            </w:r>
          </w:p>
        </w:tc>
        <w:tc>
          <w:tcPr>
            <w:vAlign w:val="top"/>
          </w:tcPr>
          <w:p>
            <w:pPr>
              <w:pStyle w:val="Compact"/>
              <w:jc w:val="left"/>
            </w:pPr>
            <w:r>
              <w:t xml:space="preserve">Claim grounding and reality-surface discipline; claim-authority precondition, not an ethical option-rejecting gate.</w:t>
            </w:r>
          </w:p>
        </w:tc>
        <w:tc>
          <w:tcPr>
            <w:vAlign w:val="top"/>
          </w:tcPr>
          <w:p>
            <w:pPr>
              <w:pStyle w:val="Compact"/>
              <w:jc w:val="left"/>
            </w:pPr>
            <w:r>
              <w:t xml:space="preserve">Narrow, escalate, mark exploratory, or refuse stronger claim;</w:t>
            </w:r>
            <w:r>
              <w:t xml:space="preserve"> </w:t>
            </w:r>
            <w:r>
              <w:rPr>
                <w:rStyle w:val="VerbatimChar"/>
              </w:rPr>
              <w:t xml:space="preserve">RG_REFUSED</w:t>
            </w:r>
            <w:r>
              <w:t xml:space="preserve"> </w:t>
            </w:r>
            <w:r>
              <w:t xml:space="preserve">is outside the qualified set.</w:t>
            </w:r>
          </w:p>
        </w:tc>
      </w:tr>
      <w:tr>
        <w:tc>
          <w:tcPr>
            <w:shd w:val="clear" w:color="auto" w:fill="F7FBFE"/>
            <w:vAlign w:val="top"/>
          </w:tcPr>
          <w:p>
            <w:pPr>
              <w:pStyle w:val="Compact"/>
              <w:jc w:val="left"/>
            </w:pPr>
            <w:r>
              <w:t xml:space="preserve">2</w:t>
            </w:r>
          </w:p>
        </w:tc>
        <w:tc>
          <w:tcPr>
            <w:shd w:val="clear" w:color="auto" w:fill="F7FBFE"/>
            <w:vAlign w:val="top"/>
          </w:tcPr>
          <w:p>
            <w:pPr>
              <w:pStyle w:val="Compact"/>
              <w:jc w:val="left"/>
            </w:pPr>
            <w:r>
              <w:t xml:space="preserve">Rights Floor (RF/NCRC)</w:t>
            </w:r>
          </w:p>
        </w:tc>
        <w:tc>
          <w:tcPr>
            <w:shd w:val="clear" w:color="auto" w:fill="F7FBFE"/>
            <w:vAlign w:val="top"/>
          </w:tcPr>
          <w:p>
            <w:pPr>
              <w:pStyle w:val="Compact"/>
              <w:jc w:val="left"/>
            </w:pPr>
            <w:r>
              <w:t xml:space="preserve">Rights feasibility.</w:t>
            </w:r>
          </w:p>
        </w:tc>
        <w:tc>
          <w:tcPr>
            <w:shd w:val="clear" w:color="auto" w:fill="F7FBFE"/>
            <w:vAlign w:val="top"/>
          </w:tcPr>
          <w:p>
            <w:pPr>
              <w:pStyle w:val="Compact"/>
              <w:jc w:val="left"/>
            </w:pPr>
            <w:r>
              <w:t xml:space="preserve">Rejected except Emergency Mode.</w:t>
            </w:r>
          </w:p>
        </w:tc>
      </w:tr>
      <w:tr>
        <w:tc>
          <w:tcPr>
            <w:vAlign w:val="top"/>
          </w:tcPr>
          <w:p>
            <w:pPr>
              <w:pStyle w:val="Compact"/>
              <w:jc w:val="left"/>
            </w:pPr>
            <w:r>
              <w:t xml:space="preserve">3</w:t>
            </w:r>
          </w:p>
        </w:tc>
        <w:tc>
          <w:tcPr>
            <w:vAlign w:val="top"/>
          </w:tcPr>
          <w:p>
            <w:pPr>
              <w:pStyle w:val="Compact"/>
              <w:jc w:val="left"/>
            </w:pPr>
            <w:r>
              <w:t xml:space="preserve">TRC / Tail-Risk Bound</w:t>
            </w:r>
          </w:p>
        </w:tc>
        <w:tc>
          <w:tcPr>
            <w:vAlign w:val="top"/>
          </w:tcPr>
          <w:p>
            <w:pPr>
              <w:pStyle w:val="Compact"/>
              <w:jc w:val="left"/>
            </w:pPr>
            <w:r>
              <w:t xml:space="preserve">Catastrophic tail-risk feasibility.</w:t>
            </w:r>
          </w:p>
        </w:tc>
        <w:tc>
          <w:tcPr>
            <w:vAlign w:val="top"/>
          </w:tcPr>
          <w:p>
            <w:pPr>
              <w:pStyle w:val="Compact"/>
              <w:jc w:val="left"/>
            </w:pPr>
            <w:r>
              <w:t xml:space="preserve">Rejected or escalated.</w:t>
            </w:r>
          </w:p>
        </w:tc>
      </w:tr>
      <w:tr>
        <w:tc>
          <w:tcPr>
            <w:shd w:val="clear" w:color="auto" w:fill="F7FBFE"/>
            <w:vAlign w:val="top"/>
          </w:tcPr>
          <w:p>
            <w:pPr>
              <w:pStyle w:val="Compact"/>
              <w:jc w:val="left"/>
            </w:pPr>
            <w:r>
              <w:t xml:space="preserve">4</w:t>
            </w:r>
          </w:p>
        </w:tc>
        <w:tc>
          <w:tcPr>
            <w:shd w:val="clear" w:color="auto" w:fill="F7FBFE"/>
            <w:vAlign w:val="top"/>
          </w:tcPr>
          <w:p>
            <w:pPr>
              <w:pStyle w:val="Compact"/>
              <w:jc w:val="left"/>
            </w:pPr>
            <w:r>
              <w:t xml:space="preserve">CSV / Containment and Structural Viability</w:t>
            </w:r>
          </w:p>
        </w:tc>
        <w:tc>
          <w:tcPr>
            <w:shd w:val="clear" w:color="auto" w:fill="F7FBFE"/>
            <w:vAlign w:val="top"/>
          </w:tcPr>
          <w:p>
            <w:pPr>
              <w:pStyle w:val="Compact"/>
              <w:jc w:val="left"/>
            </w:pPr>
            <w:r>
              <w:t xml:space="preserve">Containing-system integrity, structural viability, hollowing/dependency/lock-in screening, and controls/redesign logic.</w:t>
            </w:r>
          </w:p>
        </w:tc>
        <w:tc>
          <w:tcPr>
            <w:shd w:val="clear" w:color="auto" w:fill="F7FBFE"/>
            <w:vAlign w:val="top"/>
          </w:tcPr>
          <w:p>
            <w:pPr>
              <w:pStyle w:val="Compact"/>
              <w:jc w:val="left"/>
            </w:pPr>
            <w:r>
              <w:t xml:space="preserve">Pass, pass with controls, redesign required, emergency provisional, excluded, escalated, or refused.</w:t>
            </w:r>
          </w:p>
        </w:tc>
      </w:tr>
      <w:tr>
        <w:tc>
          <w:tcPr>
            <w:vAlign w:val="top"/>
          </w:tcPr>
          <w:p>
            <w:pPr>
              <w:pStyle w:val="Compact"/>
              <w:jc w:val="left"/>
            </w:pPr>
            <w:r>
              <w:t xml:space="preserve">5</w:t>
            </w:r>
          </w:p>
        </w:tc>
        <w:tc>
          <w:tcPr>
            <w:vAlign w:val="top"/>
          </w:tcPr>
          <w:p>
            <w:pPr>
              <w:pStyle w:val="Compact"/>
              <w:jc w:val="left"/>
            </w:pPr>
            <w:r>
              <w:t xml:space="preserve">RLS / RippleLogic Score</w:t>
            </w:r>
          </w:p>
        </w:tc>
        <w:tc>
          <w:tcPr>
            <w:vAlign w:val="top"/>
          </w:tcPr>
          <w:p>
            <w:pPr>
              <w:pStyle w:val="Compact"/>
              <w:jc w:val="left"/>
            </w:pPr>
            <w:r>
              <w:t xml:space="preserve">Residual welfare ranking among selectable options.</w:t>
            </w:r>
          </w:p>
        </w:tc>
        <w:tc>
          <w:tcPr>
            <w:vAlign w:val="top"/>
          </w:tcPr>
          <w:p>
            <w:pPr>
              <w:pStyle w:val="Compact"/>
              <w:jc w:val="left"/>
            </w:pPr>
            <w:r>
              <w:t xml:space="preserve">Selection if decisive; if tied/close/non-decisive, apply tie-break rule or refuse deterministic selection.</w:t>
            </w:r>
          </w:p>
        </w:tc>
      </w:tr>
    </w:tbl>
    <w:bookmarkStart w:id="64" w:name="Xaf69c36162a7ef9d39e5207ee6d3bec00596b53"/>
    <w:p>
      <w:pPr>
        <w:pStyle w:val="Heading3"/>
      </w:pPr>
      <w:r>
        <w:rPr>
          <w:bCs/>
          <w:b/>
        </w:rPr>
        <w:t xml:space="preserve">4.4A Structural Viability within CSV (Normative clarification)</w:t>
      </w:r>
    </w:p>
    <w:p>
      <w:pPr>
        <w:pStyle w:val="FirstParagraph"/>
      </w:pPr>
      <w:r>
        <w:t xml:space="preserve">Structural Viability is explicit inside CSV, not a sixth public method level. It asks whether an option that otherwise passes Reality Grounding, NCRC, TRC, and containment integrity can structurally execute within the declared reality surface without undefined resource, dependency, reversibility, operational-capacity, or internal-contradiction failure.</w:t>
      </w:r>
    </w:p>
    <w:p>
      <w:pPr>
        <w:pStyle w:val="BodyText"/>
      </w:pPr>
      <w:r>
        <w:t xml:space="preserve">Formal shorthand: RG/RSG -&gt; RF/NCRC -&gt; TRC -&gt; CSV -&gt; RLS. Where material, the CSV result includes Structural Viability status before any option enters RLS. An option may be ethically preferable as a redesign target while still failing current structural viability for execution. In that case, the option may be documented as SVC_DESIGN_TARGET or CSV_REDESIGN_REQUIRED, but it MUST NOT be claimed as currently selectable, executable, deployment-ready, or deterministically selected.</w:t>
      </w:r>
    </w:p>
    <w:p>
      <w:pPr>
        <w:pStyle w:val="BodyText"/>
      </w:pPr>
      <w:r>
        <w:t xml:space="preserve">Non-import boundary. Structural Viability uses only MathGov-native records: resource declarations, dependency declarations, reversibility and endpoint status, operational limits, and contradiction checks. It MUST NOT import capacity/binding ontology, regime coordinates, hidden kernels, or undisclosed reference generators.</w:t>
      </w:r>
    </w:p>
    <w:bookmarkEnd w:id="64"/>
    <w:bookmarkEnd w:id="65"/>
    <w:bookmarkStart w:id="66" w:name="Xa05b142e76a23330ddc27b95b8466363c4a07e7"/>
    <w:p>
      <w:pPr>
        <w:pStyle w:val="Heading2"/>
      </w:pPr>
      <w:r>
        <w:rPr>
          <w:bCs/>
          <w:b/>
        </w:rPr>
        <w:t xml:space="preserve">4.5 Cascade Gate Inputs and Outputs (Informative)</w:t>
      </w:r>
    </w:p>
    <w:p>
      <w:pPr>
        <w:pStyle w:val="FirstParagraph"/>
      </w:pPr>
      <w:r>
        <w:t xml:space="preserve">This table summarizes what each gate consumes, what it produces, and what it may eliminate or flag. It is a fast correctness check for implementers.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Gate / layer</w:t>
            </w:r>
          </w:p>
        </w:tc>
        <w:tc>
          <w:tcPr>
            <w:shd w:val="clear" w:color="auto" w:fill="D9EAF7"/>
            <w:vAlign w:val="center"/>
          </w:tcPr>
          <w:p>
            <w:pPr>
              <w:pStyle w:val="Compact"/>
              <w:jc w:val="left"/>
            </w:pPr>
            <w:r>
              <w:rPr>
                <w:bCs/>
                <w:b/>
                <w:color w:val="17365D"/>
              </w:rPr>
              <w:t xml:space="preserve">Consumes</w:t>
            </w:r>
          </w:p>
        </w:tc>
        <w:tc>
          <w:tcPr>
            <w:shd w:val="clear" w:color="auto" w:fill="D9EAF7"/>
            <w:vAlign w:val="center"/>
          </w:tcPr>
          <w:p>
            <w:pPr>
              <w:pStyle w:val="Compact"/>
              <w:jc w:val="left"/>
            </w:pPr>
            <w:r>
              <w:rPr>
                <w:bCs/>
                <w:b/>
                <w:color w:val="17365D"/>
              </w:rPr>
              <w:t xml:space="preserve">Produces</w:t>
            </w:r>
          </w:p>
        </w:tc>
        <w:tc>
          <w:tcPr>
            <w:shd w:val="clear" w:color="auto" w:fill="D9EAF7"/>
            <w:vAlign w:val="center"/>
          </w:tcPr>
          <w:p>
            <w:pPr>
              <w:pStyle w:val="Compact"/>
              <w:jc w:val="left"/>
            </w:pPr>
            <w:r>
              <w:rPr>
                <w:bCs/>
                <w:b/>
                <w:color w:val="17365D"/>
              </w:rPr>
              <w:t xml:space="preserve">Eliminates / flags</w:t>
            </w:r>
          </w:p>
        </w:tc>
      </w:tr>
      <w:tr>
        <w:tc>
          <w:tcPr>
            <w:vAlign w:val="top"/>
          </w:tcPr>
          <w:p>
            <w:pPr>
              <w:pStyle w:val="Compact"/>
              <w:jc w:val="left"/>
            </w:pPr>
            <w:r>
              <w:t xml:space="preserve">Reality Grounding layer</w:t>
            </w:r>
          </w:p>
        </w:tc>
        <w:tc>
          <w:tcPr>
            <w:vAlign w:val="top"/>
          </w:tcPr>
          <w:p>
            <w:pPr>
              <w:pStyle w:val="Compact"/>
              <w:jc w:val="left"/>
            </w:pPr>
            <w:r>
              <w:t xml:space="preserve">Reality surface, evidence trace, material unknowns, transition boundary, consequence pathways, claim boundary, and reviewer/evidence status where material.</w:t>
            </w:r>
          </w:p>
        </w:tc>
        <w:tc>
          <w:tcPr>
            <w:vAlign w:val="top"/>
          </w:tcPr>
          <w:p>
            <w:pPr>
              <w:pStyle w:val="Compact"/>
              <w:jc w:val="left"/>
            </w:pPr>
            <w:r>
              <w:t xml:space="preserve">RealityGroundingStatus; claim boundary; refusal/escalation/narrowing disposition.</w:t>
            </w:r>
          </w:p>
        </w:tc>
        <w:tc>
          <w:tcPr>
            <w:vAlign w:val="top"/>
          </w:tcPr>
          <w:p>
            <w:pPr>
              <w:pStyle w:val="Compact"/>
              <w:jc w:val="left"/>
            </w:pPr>
            <w:r>
              <w:t xml:space="preserve">Blocks, narrows, escalates, marks exploratory, or refuses claims that exceed the grounded surface; does not compare options as an admissibility gate.</w:t>
            </w:r>
          </w:p>
        </w:tc>
      </w:tr>
      <w:tr>
        <w:tc>
          <w:tcPr>
            <w:shd w:val="clear" w:color="auto" w:fill="F7FBFE"/>
            <w:vAlign w:val="top"/>
          </w:tcPr>
          <w:p>
            <w:pPr>
              <w:pStyle w:val="Compact"/>
              <w:jc w:val="left"/>
            </w:pPr>
            <w:r>
              <w:t xml:space="preserve">NCRC rights floor</w:t>
            </w:r>
          </w:p>
        </w:tc>
        <w:tc>
          <w:tcPr>
            <w:shd w:val="clear" w:color="auto" w:fill="F7FBFE"/>
            <w:vAlign w:val="top"/>
          </w:tcPr>
          <w:p>
            <w:pPr>
              <w:pStyle w:val="Compact"/>
              <w:jc w:val="left"/>
            </w:pPr>
            <w:r>
              <w:t xml:space="preserve">Rights-specific floor-channel impacts I_RF(u,d,a|g,r) and I_rights(u,d,a,r) for C_r; subgroup operator gamma where governed fallback is required; rights thresholds; categorical and severe-hazard records.</w:t>
            </w:r>
          </w:p>
        </w:tc>
        <w:tc>
          <w:tcPr>
            <w:shd w:val="clear" w:color="auto" w:fill="F7FBFE"/>
            <w:vAlign w:val="top"/>
          </w:tcPr>
          <w:p>
            <w:pPr>
              <w:pStyle w:val="Compact"/>
              <w:jc w:val="left"/>
            </w:pPr>
            <w:r>
              <w:t xml:space="preserve">rights_admissible(a) in {0,1}; violation depths v_r(a); redesign targets.</w:t>
            </w:r>
          </w:p>
        </w:tc>
        <w:tc>
          <w:tcPr>
            <w:shd w:val="clear" w:color="auto" w:fill="F7FBFE"/>
            <w:vAlign w:val="top"/>
          </w:tcPr>
          <w:p>
            <w:pPr>
              <w:pStyle w:val="Compact"/>
              <w:jc w:val="left"/>
            </w:pPr>
            <w:r>
              <w:t xml:space="preserve">Eliminates any option with v_r(a)&gt;0; flags RIGHTS_CELL_OMITTED_INVALID where required rights cells are omitted, excluded, or undisclosed.</w:t>
            </w:r>
          </w:p>
        </w:tc>
      </w:tr>
      <w:tr>
        <w:tc>
          <w:tcPr>
            <w:vAlign w:val="top"/>
          </w:tcPr>
          <w:p>
            <w:pPr>
              <w:pStyle w:val="Compact"/>
              <w:jc w:val="left"/>
            </w:pPr>
            <w:r>
              <w:t xml:space="preserve">TRC tail-risk / CVaR</w:t>
            </w:r>
          </w:p>
        </w:tc>
        <w:tc>
          <w:tcPr>
            <w:vAlign w:val="top"/>
          </w:tcPr>
          <w:p>
            <w:pPr>
              <w:pStyle w:val="Compact"/>
              <w:jc w:val="left"/>
            </w:pPr>
            <w:r>
              <w:t xml:space="preserve">Scenario set S with categories and floors; catastrophe loss proxy L(a,s) over C_cat; alpha; tau_TRC.</w:t>
            </w:r>
          </w:p>
        </w:tc>
        <w:tc>
          <w:tcPr>
            <w:vAlign w:val="top"/>
          </w:tcPr>
          <w:p>
            <w:pPr>
              <w:pStyle w:val="Compact"/>
              <w:jc w:val="left"/>
            </w:pPr>
            <w:r>
              <w:t xml:space="preserve">TRC_pass(a) in {0,1}; CVaR_alpha[L(a)].</w:t>
            </w:r>
          </w:p>
        </w:tc>
        <w:tc>
          <w:tcPr>
            <w:vAlign w:val="top"/>
          </w:tcPr>
          <w:p>
            <w:pPr>
              <w:pStyle w:val="Compact"/>
              <w:jc w:val="left"/>
            </w:pPr>
            <w:r>
              <w:t xml:space="preserve">Eliminates any option with CVaR_alpha &gt; tau_TRC; flags missing mandatory tail categories, probability floor violations, or omitted catastrophe cells.</w:t>
            </w:r>
          </w:p>
        </w:tc>
      </w:tr>
      <w:tr>
        <w:tc>
          <w:tcPr>
            <w:shd w:val="clear" w:color="auto" w:fill="F7FBFE"/>
            <w:vAlign w:val="top"/>
          </w:tcPr>
          <w:p>
            <w:pPr>
              <w:pStyle w:val="Compact"/>
              <w:jc w:val="left"/>
            </w:pPr>
            <w:r>
              <w:t xml:space="preserve">Containment system safety</w:t>
            </w:r>
          </w:p>
        </w:tc>
        <w:tc>
          <w:tcPr>
            <w:shd w:val="clear" w:color="auto" w:fill="F7FBFE"/>
            <w:vAlign w:val="top"/>
          </w:tcPr>
          <w:p>
            <w:pPr>
              <w:pStyle w:val="Compact"/>
              <w:jc w:val="left"/>
            </w:pPr>
            <w:r>
              <w:t xml:space="preserve">Containment triggers; structural posture thresholds; Delta UCI / HOI / Adaptive Reserve or equivalent diagnostics where material; reversibility and repair evidence.</w:t>
            </w:r>
          </w:p>
        </w:tc>
        <w:tc>
          <w:tcPr>
            <w:shd w:val="clear" w:color="auto" w:fill="F7FBFE"/>
            <w:vAlign w:val="top"/>
          </w:tcPr>
          <w:p>
            <w:pPr>
              <w:pStyle w:val="Compact"/>
              <w:jc w:val="left"/>
            </w:pPr>
            <w:r>
              <w:t xml:space="preserve">containment_pass(a) in {0,1}; containment posture notes; remediation plan if unavailable.</w:t>
            </w:r>
          </w:p>
        </w:tc>
        <w:tc>
          <w:tcPr>
            <w:shd w:val="clear" w:color="auto" w:fill="F7FBFE"/>
            <w:vAlign w:val="top"/>
          </w:tcPr>
          <w:p>
            <w:pPr>
              <w:pStyle w:val="Compact"/>
              <w:jc w:val="left"/>
            </w:pPr>
            <w:r>
              <w:t xml:space="preserve">Eliminates or escalates options failing containment; flags CONTAINMENT_STRUCTURAL_DIAGNOSTIC_UNAVAILABLE or CONTAINMENT_UCI_HOI_UNAVAILABLE when required evidence is missing.</w:t>
            </w:r>
          </w:p>
        </w:tc>
      </w:tr>
      <w:tr>
        <w:tc>
          <w:tcPr>
            <w:vAlign w:val="top"/>
          </w:tcPr>
          <w:p>
            <w:pPr>
              <w:pStyle w:val="Compact"/>
              <w:jc w:val="left"/>
            </w:pPr>
            <w:r>
              <w:t xml:space="preserve">RLS welfare selection</w:t>
            </w:r>
          </w:p>
        </w:tc>
        <w:tc>
          <w:tcPr>
            <w:vAlign w:val="top"/>
          </w:tcPr>
          <w:p>
            <w:pPr>
              <w:pStyle w:val="Compact"/>
              <w:jc w:val="left"/>
            </w:pPr>
            <w:r>
              <w:t xml:space="preserve">Active welfare cells, including rights-covered and catastrophe cells subject to non-maskable rules; weights w_u and v_d; applicability mask m(u,d); uncertainty proxies.</w:t>
            </w:r>
          </w:p>
        </w:tc>
        <w:tc>
          <w:tcPr>
            <w:vAlign w:val="top"/>
          </w:tcPr>
          <w:p>
            <w:pPr>
              <w:pStyle w:val="Compact"/>
              <w:jc w:val="left"/>
            </w:pPr>
            <w:r>
              <w:t xml:space="preserve">RLS(a); Gap(a,b); welfare ranking over remaining options.</w:t>
            </w:r>
          </w:p>
        </w:tc>
        <w:tc>
          <w:tcPr>
            <w:vAlign w:val="top"/>
          </w:tcPr>
          <w:p>
            <w:pPr>
              <w:pStyle w:val="Compact"/>
              <w:jc w:val="left"/>
            </w:pPr>
            <w:r>
              <w:t xml:space="preserve">Does not override NCRC/TRC/CSV; flags invalid masking of rights or catastrophe cells from RLS aggregation.</w:t>
            </w:r>
          </w:p>
        </w:tc>
      </w:tr>
      <w:tr>
        <w:tc>
          <w:tcPr>
            <w:shd w:val="clear" w:color="auto" w:fill="F7FBFE"/>
            <w:vAlign w:val="top"/>
          </w:tcPr>
          <w:p>
            <w:pPr>
              <w:pStyle w:val="Compact"/>
              <w:jc w:val="left"/>
            </w:pPr>
            <w:r>
              <w:t xml:space="preserve">Tie-break / monitoring diagnostics</w:t>
            </w:r>
          </w:p>
        </w:tc>
        <w:tc>
          <w:tcPr>
            <w:shd w:val="clear" w:color="auto" w:fill="F7FBFE"/>
            <w:vAlign w:val="top"/>
          </w:tcPr>
          <w:p>
            <w:pPr>
              <w:pStyle w:val="Compact"/>
              <w:jc w:val="left"/>
            </w:pPr>
            <w:r>
              <w:t xml:space="preserve">Residual UCI/HOI or equivalent structural indicators not already decisive for Containment; monitoring and hollowing documentation.</w:t>
            </w:r>
          </w:p>
        </w:tc>
        <w:tc>
          <w:tcPr>
            <w:shd w:val="clear" w:color="auto" w:fill="F7FBFE"/>
            <w:vAlign w:val="top"/>
          </w:tcPr>
          <w:p>
            <w:pPr>
              <w:pStyle w:val="Compact"/>
              <w:jc w:val="left"/>
            </w:pPr>
            <w:r>
              <w:t xml:space="preserve">Tie-break signal, monitoring warning, or future-run steering.</w:t>
            </w:r>
          </w:p>
        </w:tc>
        <w:tc>
          <w:tcPr>
            <w:shd w:val="clear" w:color="auto" w:fill="F7FBFE"/>
            <w:vAlign w:val="top"/>
          </w:tcPr>
          <w:p>
            <w:pPr>
              <w:pStyle w:val="Compact"/>
              <w:jc w:val="left"/>
            </w:pPr>
            <w:r>
              <w:t xml:space="preserve">Not a gate; may be used only when RLS is tied, close, uncertainty-overlapped, or non-decisive, or for monitoring. Cannot rescue earlier failure.</w:t>
            </w:r>
          </w:p>
        </w:tc>
      </w:tr>
    </w:tbl>
    <w:bookmarkEnd w:id="66"/>
    <w:bookmarkStart w:id="67" w:name="Xcae3556fca4228764eec849df0a48a50b69c0bb"/>
    <w:p>
      <w:pPr>
        <w:pStyle w:val="Heading2"/>
      </w:pPr>
      <w:r>
        <w:rPr>
          <w:bCs/>
          <w:b/>
        </w:rPr>
        <w:t xml:space="preserve">4.6 End-to-End Algorithm (Tier 1-3 Executable) (Normative)</w:t>
      </w:r>
    </w:p>
    <w:p>
      <w:pPr>
        <w:pStyle w:val="FirstParagraph"/>
      </w:pPr>
      <w:r>
        <w:t xml:space="preserve">Algorithm: RippleLogic_Run</w:t>
      </w:r>
    </w:p>
    <w:p>
      <w:pPr>
        <w:pStyle w:val="BodyText"/>
      </w:pPr>
      <w:r>
        <w:t xml:space="preserve">Inputs, minimum: decision scope; baseline; option set O; union and dimension sets; weights; rights canon; TRC canon when required; containment parameters; propagation mode; kernel if used; scenario set where Tier-3 TRC is required.</w:t>
      </w:r>
    </w:p>
    <w:p>
      <w:pPr>
        <w:pStyle w:val="BodyText"/>
      </w:pPr>
      <w:r>
        <w:t xml:space="preserve">Inaction-asymmetry rule (Normative). When no action, delay, or continuation of the current course is a live feasible choice, it MUST appear as an explicit candidate option and receive its own Reality Grounding, rights, tail-risk, CSV, and effect-matrix treatment. It MUST NOT be represented only as a null baseline exempt from evaluation. The PCC SHALL disclose material continuation harms and the reason any apparently available no-action or delay path was excluded.</w:t>
      </w:r>
    </w:p>
    <w:p>
      <w:pPr>
        <w:pStyle w:val="BodyText"/>
      </w:pPr>
      <w:r>
        <w:t xml:space="preserve">Outputs: selected option a* or escalation, plus PCC.</w:t>
      </w:r>
    </w:p>
    <w:p>
      <w:pPr>
        <w:pStyle w:val="BodyText"/>
      </w:pPr>
      <w:r>
        <w:t xml:space="preserve">Step 1: Reality Grounding and Notice. Record the decision question, scope boundary, time horizon, affected unions, and option set. Declare tier, configuration, reality surface, evidence trace, material unknowns, transition boundary, consequence pathways, claim boundary, and reference-structure requirements. If grounding is insufficient for a material claim, narrow, collect evidence, escalate, mark exploratory, or refuse the stronger claim before proceeding.</w:t>
      </w:r>
    </w:p>
    <w:p>
      <w:pPr>
        <w:pStyle w:val="BodyText"/>
      </w:pPr>
      <w:r>
        <w:t xml:space="preserve">Step 2: Impact construction. For each option a, estimate direct impacts from impact instances; saturate into I_dir; propagate in NONE or QUICK to obtain I_prop; apply post-propagation saturation. Record uncertainty notes and missing-data penalties as required.</w:t>
      </w:r>
    </w:p>
    <w:p>
      <w:pPr>
        <w:pStyle w:val="BodyText"/>
      </w:pPr>
      <w:r>
        <w:t xml:space="preserve">Step 3: NCRC gate. For rights-covered cells, compute worst-off subgroup impacts I_rights. Compute violation depths v_r(a). Options with any v_r(a) &gt; 0 fail NCRC. If the passing set is empty, invoke Emergency Mode.</w:t>
      </w:r>
    </w:p>
    <w:p>
      <w:pPr>
        <w:pStyle w:val="BodyText"/>
      </w:pPr>
      <w:r>
        <w:t xml:space="preserve">Step 4: TRC gate. For each rights-admissible option, compute scenario losses L(a,s) over catastrophe cells and compute CVaR_alpha. Exclude options exceeding tau_TRC. If no option remains, invoke Tail Emergency Mode.</w:t>
      </w:r>
    </w:p>
    <w:p>
      <w:pPr>
        <w:pStyle w:val="BodyText"/>
      </w:pPr>
      <w:r>
        <w:t xml:space="preserve">Step 5: CSV gate. For each NCRC/TRC-admissible option, apply the containment predicate using required containing-scope, structural posture, reversibility, repair, and evidence-availability inputs. Where UCI, HOI, Adaptive Reserve, lock-in, hollowing, trust erosion, ecological degradation, governance-capacity loss, or related structural diagnostics are material to cross-scale structural integrity, evaluate those diagnostics inside CSV before RLS. If required structural diagnostic evidence is unavailable, downgrade, collect evidence, rerun, escalate, refuse the stronger claim, or record a permitted waiver where the applicable tier permits waiver.</w:t>
      </w:r>
    </w:p>
    <w:p>
      <w:pPr>
        <w:pStyle w:val="BodyText"/>
      </w:pPr>
      <w:r>
        <w:t xml:space="preserve">Step 6: RLS ranking. Compute RLS(a) only for selectable options. Compute uncertainty and apply the discrimination rule where required. If decisive, select the top option.</w:t>
      </w:r>
    </w:p>
    <w:p>
      <w:pPr>
        <w:pStyle w:val="BodyText"/>
      </w:pPr>
      <w:r>
        <w:t xml:space="preserve">Step 7: Special-case tie-break / non-decisive handling. If RLS is tied, close, uncertainty-overlapped, or otherwise non-decisive, compare only options already in the selectable set. Apply residual UCI/HOI only as tie-break, monitoring, or hollowing-risk documentation. Do not reopen NCRC, TRC, or CSV. Do not use residual UCI/HOI to rescue failed Containment or compensate for missing containment evidence. If still non-decisive, return REFUSE_DETERMINISTIC_SELECTION, escalate, or record authorized judgment through the proper AuthoritySelectionRecord.</w:t>
      </w:r>
    </w:p>
    <w:p>
      <w:pPr>
        <w:pStyle w:val="BodyText"/>
      </w:pPr>
      <w:r>
        <w:t xml:space="preserve">Step 8: Emit PCC. Record inputs, intermediate computations, gate results, sensitivity outputs where required, ReferenceStructureRecord where required, refusal record if applicable, and public rationale.</w:t>
      </w:r>
    </w:p>
    <w:bookmarkEnd w:id="67"/>
    <w:bookmarkStart w:id="68" w:name="Xc35172540d91b1558e578c8e19341acf8d8312b"/>
    <w:p>
      <w:pPr>
        <w:pStyle w:val="Heading2"/>
      </w:pPr>
      <w:r>
        <w:rPr>
          <w:bCs/>
          <w:b/>
        </w:rPr>
        <w:t xml:space="preserve">4.7 Canonical 49-Cell Reference Table (v10.6+; Informative)</w:t>
      </w:r>
    </w:p>
    <w:p>
      <w:pPr>
        <w:pStyle w:val="FirstParagraph"/>
      </w:pPr>
      <w:r>
        <w:t xml:space="preserve">Each cell in the 7×7 welfare matrix represents a distinct accountability domain. The table below provides a compact one-line meaning for each cell to support comprehension and consistent interpretation across implementations. The table is informative; the governing equations and rules remain in the relevant normative sections and appendices.</w:t>
      </w:r>
    </w:p>
    <w:p>
      <w:pPr>
        <w:pStyle w:val="BodyText"/>
      </w:pPr>
      <w:r>
        <w:t xml:space="preserve">Interpretive note. This table gives the compact canonical grid. Appendix AD provides the expanded 49-cell Welfare Dictionary, including plain meanings, positive and negative movement, indicator examples, possible gate relevance, examples, and reviewer checks. Appendix AD does not change the cascade, equations, rights thresholds, TRC mechanics, Containment semantics, RLS formula, HDW, SGP, PCC, RSP/RefStructRecord, or claim boundaries. It governs scoring interpretation and reviewer literacy.</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990"/>
        <w:gridCol w:w="990"/>
        <w:gridCol w:w="990"/>
        <w:gridCol w:w="990"/>
        <w:gridCol w:w="990"/>
        <w:gridCol w:w="990"/>
        <w:gridCol w:w="990"/>
        <w:gridCol w:w="990"/>
      </w:tblGrid>
      <w:tr>
        <w:trPr>
          <w:tblHeader w:val="true"/>
        </w:trPr>
        <w:tc>
          <w:tcPr>
            <w:shd w:val="clear" w:color="auto" w:fill="D9EAF7"/>
            <w:vAlign w:val="center"/>
          </w:tcPr>
          <w:p>
            <w:pPr>
              <w:pStyle w:val="Compact"/>
              <w:jc w:val="left"/>
            </w:pPr>
            <w:r>
              <w:rPr>
                <w:bCs/>
                <w:b/>
                <w:color w:val="17365D"/>
              </w:rPr>
              <w:t xml:space="preserve">Union / Dimension</w:t>
            </w:r>
          </w:p>
        </w:tc>
        <w:tc>
          <w:tcPr>
            <w:shd w:val="clear" w:color="auto" w:fill="D9EAF7"/>
            <w:vAlign w:val="center"/>
          </w:tcPr>
          <w:p>
            <w:pPr>
              <w:pStyle w:val="Compact"/>
              <w:jc w:val="left"/>
            </w:pPr>
            <w:r>
              <w:rPr>
                <w:bCs/>
                <w:b/>
                <w:color w:val="17365D"/>
              </w:rPr>
              <w:t xml:space="preserve">D1 Material</w:t>
            </w:r>
          </w:p>
        </w:tc>
        <w:tc>
          <w:tcPr>
            <w:shd w:val="clear" w:color="auto" w:fill="D9EAF7"/>
            <w:vAlign w:val="center"/>
          </w:tcPr>
          <w:p>
            <w:pPr>
              <w:pStyle w:val="Compact"/>
              <w:jc w:val="left"/>
            </w:pPr>
            <w:r>
              <w:rPr>
                <w:bCs/>
                <w:b/>
                <w:color w:val="17365D"/>
              </w:rPr>
              <w:t xml:space="preserve">D2 Health</w:t>
            </w:r>
          </w:p>
        </w:tc>
        <w:tc>
          <w:tcPr>
            <w:shd w:val="clear" w:color="auto" w:fill="D9EAF7"/>
            <w:vAlign w:val="center"/>
          </w:tcPr>
          <w:p>
            <w:pPr>
              <w:pStyle w:val="Compact"/>
              <w:jc w:val="left"/>
            </w:pPr>
            <w:r>
              <w:rPr>
                <w:bCs/>
                <w:b/>
                <w:color w:val="17365D"/>
              </w:rPr>
              <w:t xml:space="preserve">D3 Social</w:t>
            </w:r>
          </w:p>
        </w:tc>
        <w:tc>
          <w:tcPr>
            <w:shd w:val="clear" w:color="auto" w:fill="D9EAF7"/>
            <w:vAlign w:val="center"/>
          </w:tcPr>
          <w:p>
            <w:pPr>
              <w:pStyle w:val="Compact"/>
              <w:jc w:val="left"/>
            </w:pPr>
            <w:r>
              <w:rPr>
                <w:bCs/>
                <w:b/>
                <w:color w:val="17365D"/>
              </w:rPr>
              <w:t xml:space="preserve">D4 Knowledge</w:t>
            </w:r>
          </w:p>
        </w:tc>
        <w:tc>
          <w:tcPr>
            <w:shd w:val="clear" w:color="auto" w:fill="D9EAF7"/>
            <w:vAlign w:val="center"/>
          </w:tcPr>
          <w:p>
            <w:pPr>
              <w:pStyle w:val="Compact"/>
              <w:jc w:val="left"/>
            </w:pPr>
            <w:r>
              <w:rPr>
                <w:bCs/>
                <w:b/>
                <w:color w:val="17365D"/>
              </w:rPr>
              <w:t xml:space="preserve">D5 Agency</w:t>
            </w:r>
          </w:p>
        </w:tc>
        <w:tc>
          <w:tcPr>
            <w:shd w:val="clear" w:color="auto" w:fill="D9EAF7"/>
            <w:vAlign w:val="center"/>
          </w:tcPr>
          <w:p>
            <w:pPr>
              <w:pStyle w:val="Compact"/>
              <w:jc w:val="left"/>
            </w:pPr>
            <w:r>
              <w:rPr>
                <w:bCs/>
                <w:b/>
                <w:color w:val="17365D"/>
              </w:rPr>
              <w:t xml:space="preserve">D6 Meaning</w:t>
            </w:r>
          </w:p>
        </w:tc>
        <w:tc>
          <w:tcPr>
            <w:shd w:val="clear" w:color="auto" w:fill="D9EAF7"/>
            <w:vAlign w:val="center"/>
          </w:tcPr>
          <w:p>
            <w:pPr>
              <w:pStyle w:val="Compact"/>
              <w:jc w:val="left"/>
            </w:pPr>
            <w:r>
              <w:rPr>
                <w:bCs/>
                <w:b/>
                <w:color w:val="17365D"/>
              </w:rPr>
              <w:t xml:space="preserve">D7 Environment</w:t>
            </w:r>
          </w:p>
        </w:tc>
      </w:tr>
      <w:tr>
        <w:tc>
          <w:tcPr>
            <w:vAlign w:val="top"/>
          </w:tcPr>
          <w:p>
            <w:pPr>
              <w:pStyle w:val="Compact"/>
              <w:jc w:val="left"/>
            </w:pPr>
            <w:r>
              <w:t xml:space="preserve">U1 Self</w:t>
            </w:r>
          </w:p>
        </w:tc>
        <w:tc>
          <w:tcPr>
            <w:vAlign w:val="top"/>
          </w:tcPr>
          <w:p>
            <w:pPr>
              <w:pStyle w:val="Compact"/>
              <w:jc w:val="left"/>
            </w:pPr>
            <w:r>
              <w:t xml:space="preserve">personal resources</w:t>
            </w:r>
          </w:p>
        </w:tc>
        <w:tc>
          <w:tcPr>
            <w:vAlign w:val="top"/>
          </w:tcPr>
          <w:p>
            <w:pPr>
              <w:pStyle w:val="Compact"/>
              <w:jc w:val="left"/>
            </w:pPr>
            <w:r>
              <w:t xml:space="preserve">personal health and safety</w:t>
            </w:r>
          </w:p>
        </w:tc>
        <w:tc>
          <w:tcPr>
            <w:vAlign w:val="top"/>
          </w:tcPr>
          <w:p>
            <w:pPr>
              <w:pStyle w:val="Compact"/>
              <w:jc w:val="left"/>
            </w:pPr>
            <w:r>
              <w:t xml:space="preserve">personal relationships and cohesion</w:t>
            </w:r>
          </w:p>
        </w:tc>
        <w:tc>
          <w:tcPr>
            <w:vAlign w:val="top"/>
          </w:tcPr>
          <w:p>
            <w:pPr>
              <w:pStyle w:val="Compact"/>
              <w:jc w:val="left"/>
            </w:pPr>
            <w:r>
              <w:t xml:space="preserve">personal knowledge and learning</w:t>
            </w:r>
          </w:p>
        </w:tc>
        <w:tc>
          <w:tcPr>
            <w:vAlign w:val="top"/>
          </w:tcPr>
          <w:p>
            <w:pPr>
              <w:pStyle w:val="Compact"/>
              <w:jc w:val="left"/>
            </w:pPr>
            <w:r>
              <w:t xml:space="preserve">personal agency and autonomy</w:t>
            </w:r>
          </w:p>
        </w:tc>
        <w:tc>
          <w:tcPr>
            <w:vAlign w:val="top"/>
          </w:tcPr>
          <w:p>
            <w:pPr>
              <w:pStyle w:val="Compact"/>
              <w:jc w:val="left"/>
            </w:pPr>
            <w:r>
              <w:t xml:space="preserve">personal meaning and purpose</w:t>
            </w:r>
          </w:p>
        </w:tc>
        <w:tc>
          <w:tcPr>
            <w:vAlign w:val="top"/>
          </w:tcPr>
          <w:p>
            <w:pPr>
              <w:pStyle w:val="Compact"/>
              <w:jc w:val="left"/>
            </w:pPr>
            <w:r>
              <w:t xml:space="preserve">personal environmental conditions</w:t>
            </w:r>
          </w:p>
        </w:tc>
      </w:tr>
      <w:tr>
        <w:tc>
          <w:tcPr>
            <w:shd w:val="clear" w:color="auto" w:fill="F7FBFE"/>
            <w:vAlign w:val="top"/>
          </w:tcPr>
          <w:p>
            <w:pPr>
              <w:pStyle w:val="Compact"/>
              <w:jc w:val="left"/>
            </w:pPr>
            <w:r>
              <w:t xml:space="preserve">U2 Household</w:t>
            </w:r>
          </w:p>
        </w:tc>
        <w:tc>
          <w:tcPr>
            <w:shd w:val="clear" w:color="auto" w:fill="F7FBFE"/>
            <w:vAlign w:val="top"/>
          </w:tcPr>
          <w:p>
            <w:pPr>
              <w:pStyle w:val="Compact"/>
              <w:jc w:val="left"/>
            </w:pPr>
            <w:r>
              <w:t xml:space="preserve">household resources</w:t>
            </w:r>
          </w:p>
        </w:tc>
        <w:tc>
          <w:tcPr>
            <w:shd w:val="clear" w:color="auto" w:fill="F7FBFE"/>
            <w:vAlign w:val="top"/>
          </w:tcPr>
          <w:p>
            <w:pPr>
              <w:pStyle w:val="Compact"/>
              <w:jc w:val="left"/>
            </w:pPr>
            <w:r>
              <w:t xml:space="preserve">household health and safety</w:t>
            </w:r>
          </w:p>
        </w:tc>
        <w:tc>
          <w:tcPr>
            <w:shd w:val="clear" w:color="auto" w:fill="F7FBFE"/>
            <w:vAlign w:val="top"/>
          </w:tcPr>
          <w:p>
            <w:pPr>
              <w:pStyle w:val="Compact"/>
              <w:jc w:val="left"/>
            </w:pPr>
            <w:r>
              <w:t xml:space="preserve">household relationships and cohesion</w:t>
            </w:r>
          </w:p>
        </w:tc>
        <w:tc>
          <w:tcPr>
            <w:shd w:val="clear" w:color="auto" w:fill="F7FBFE"/>
            <w:vAlign w:val="top"/>
          </w:tcPr>
          <w:p>
            <w:pPr>
              <w:pStyle w:val="Compact"/>
              <w:jc w:val="left"/>
            </w:pPr>
            <w:r>
              <w:t xml:space="preserve">household knowledge and learning</w:t>
            </w:r>
          </w:p>
        </w:tc>
        <w:tc>
          <w:tcPr>
            <w:shd w:val="clear" w:color="auto" w:fill="F7FBFE"/>
            <w:vAlign w:val="top"/>
          </w:tcPr>
          <w:p>
            <w:pPr>
              <w:pStyle w:val="Compact"/>
              <w:jc w:val="left"/>
            </w:pPr>
            <w:r>
              <w:t xml:space="preserve">household agency and autonomy</w:t>
            </w:r>
          </w:p>
        </w:tc>
        <w:tc>
          <w:tcPr>
            <w:shd w:val="clear" w:color="auto" w:fill="F7FBFE"/>
            <w:vAlign w:val="top"/>
          </w:tcPr>
          <w:p>
            <w:pPr>
              <w:pStyle w:val="Compact"/>
              <w:jc w:val="left"/>
            </w:pPr>
            <w:r>
              <w:t xml:space="preserve">household meaning and purpose</w:t>
            </w:r>
          </w:p>
        </w:tc>
        <w:tc>
          <w:tcPr>
            <w:shd w:val="clear" w:color="auto" w:fill="F7FBFE"/>
            <w:vAlign w:val="top"/>
          </w:tcPr>
          <w:p>
            <w:pPr>
              <w:pStyle w:val="Compact"/>
              <w:jc w:val="left"/>
            </w:pPr>
            <w:r>
              <w:t xml:space="preserve">household environmental conditions</w:t>
            </w:r>
          </w:p>
        </w:tc>
      </w:tr>
      <w:tr>
        <w:tc>
          <w:tcPr>
            <w:vAlign w:val="top"/>
          </w:tcPr>
          <w:p>
            <w:pPr>
              <w:pStyle w:val="Compact"/>
              <w:jc w:val="left"/>
            </w:pPr>
            <w:r>
              <w:t xml:space="preserve">U3 Community</w:t>
            </w:r>
          </w:p>
        </w:tc>
        <w:tc>
          <w:tcPr>
            <w:vAlign w:val="top"/>
          </w:tcPr>
          <w:p>
            <w:pPr>
              <w:pStyle w:val="Compact"/>
              <w:jc w:val="left"/>
            </w:pPr>
            <w:r>
              <w:t xml:space="preserve">community resources</w:t>
            </w:r>
          </w:p>
        </w:tc>
        <w:tc>
          <w:tcPr>
            <w:vAlign w:val="top"/>
          </w:tcPr>
          <w:p>
            <w:pPr>
              <w:pStyle w:val="Compact"/>
              <w:jc w:val="left"/>
            </w:pPr>
            <w:r>
              <w:t xml:space="preserve">community health and safety</w:t>
            </w:r>
          </w:p>
        </w:tc>
        <w:tc>
          <w:tcPr>
            <w:vAlign w:val="top"/>
          </w:tcPr>
          <w:p>
            <w:pPr>
              <w:pStyle w:val="Compact"/>
              <w:jc w:val="left"/>
            </w:pPr>
            <w:r>
              <w:t xml:space="preserve">community relationships and cohesion</w:t>
            </w:r>
          </w:p>
        </w:tc>
        <w:tc>
          <w:tcPr>
            <w:vAlign w:val="top"/>
          </w:tcPr>
          <w:p>
            <w:pPr>
              <w:pStyle w:val="Compact"/>
              <w:jc w:val="left"/>
            </w:pPr>
            <w:r>
              <w:t xml:space="preserve">community knowledge and learning</w:t>
            </w:r>
          </w:p>
        </w:tc>
        <w:tc>
          <w:tcPr>
            <w:vAlign w:val="top"/>
          </w:tcPr>
          <w:p>
            <w:pPr>
              <w:pStyle w:val="Compact"/>
              <w:jc w:val="left"/>
            </w:pPr>
            <w:r>
              <w:t xml:space="preserve">community agency and autonomy</w:t>
            </w:r>
          </w:p>
        </w:tc>
        <w:tc>
          <w:tcPr>
            <w:vAlign w:val="top"/>
          </w:tcPr>
          <w:p>
            <w:pPr>
              <w:pStyle w:val="Compact"/>
              <w:jc w:val="left"/>
            </w:pPr>
            <w:r>
              <w:t xml:space="preserve">community meaning and purpose</w:t>
            </w:r>
          </w:p>
        </w:tc>
        <w:tc>
          <w:tcPr>
            <w:vAlign w:val="top"/>
          </w:tcPr>
          <w:p>
            <w:pPr>
              <w:pStyle w:val="Compact"/>
              <w:jc w:val="left"/>
            </w:pPr>
            <w:r>
              <w:t xml:space="preserve">community environmental conditions</w:t>
            </w:r>
          </w:p>
        </w:tc>
      </w:tr>
      <w:tr>
        <w:tc>
          <w:tcPr>
            <w:shd w:val="clear" w:color="auto" w:fill="F7FBFE"/>
            <w:vAlign w:val="top"/>
          </w:tcPr>
          <w:p>
            <w:pPr>
              <w:pStyle w:val="Compact"/>
              <w:jc w:val="left"/>
            </w:pPr>
            <w:r>
              <w:t xml:space="preserve">U4 Organization</w:t>
            </w:r>
          </w:p>
        </w:tc>
        <w:tc>
          <w:tcPr>
            <w:shd w:val="clear" w:color="auto" w:fill="F7FBFE"/>
            <w:vAlign w:val="top"/>
          </w:tcPr>
          <w:p>
            <w:pPr>
              <w:pStyle w:val="Compact"/>
              <w:jc w:val="left"/>
            </w:pPr>
            <w:r>
              <w:t xml:space="preserve">organizational resources</w:t>
            </w:r>
          </w:p>
        </w:tc>
        <w:tc>
          <w:tcPr>
            <w:shd w:val="clear" w:color="auto" w:fill="F7FBFE"/>
            <w:vAlign w:val="top"/>
          </w:tcPr>
          <w:p>
            <w:pPr>
              <w:pStyle w:val="Compact"/>
              <w:jc w:val="left"/>
            </w:pPr>
            <w:r>
              <w:t xml:space="preserve">organizational health and safety</w:t>
            </w:r>
          </w:p>
        </w:tc>
        <w:tc>
          <w:tcPr>
            <w:shd w:val="clear" w:color="auto" w:fill="F7FBFE"/>
            <w:vAlign w:val="top"/>
          </w:tcPr>
          <w:p>
            <w:pPr>
              <w:pStyle w:val="Compact"/>
              <w:jc w:val="left"/>
            </w:pPr>
            <w:r>
              <w:t xml:space="preserve">organizational relationships and cohesion</w:t>
            </w:r>
          </w:p>
        </w:tc>
        <w:tc>
          <w:tcPr>
            <w:shd w:val="clear" w:color="auto" w:fill="F7FBFE"/>
            <w:vAlign w:val="top"/>
          </w:tcPr>
          <w:p>
            <w:pPr>
              <w:pStyle w:val="Compact"/>
              <w:jc w:val="left"/>
            </w:pPr>
            <w:r>
              <w:t xml:space="preserve">organizational knowledge and learning</w:t>
            </w:r>
          </w:p>
        </w:tc>
        <w:tc>
          <w:tcPr>
            <w:shd w:val="clear" w:color="auto" w:fill="F7FBFE"/>
            <w:vAlign w:val="top"/>
          </w:tcPr>
          <w:p>
            <w:pPr>
              <w:pStyle w:val="Compact"/>
              <w:jc w:val="left"/>
            </w:pPr>
            <w:r>
              <w:t xml:space="preserve">organizational agency and autonomy</w:t>
            </w:r>
          </w:p>
        </w:tc>
        <w:tc>
          <w:tcPr>
            <w:shd w:val="clear" w:color="auto" w:fill="F7FBFE"/>
            <w:vAlign w:val="top"/>
          </w:tcPr>
          <w:p>
            <w:pPr>
              <w:pStyle w:val="Compact"/>
              <w:jc w:val="left"/>
            </w:pPr>
            <w:r>
              <w:t xml:space="preserve">organizational meaning and purpose</w:t>
            </w:r>
          </w:p>
        </w:tc>
        <w:tc>
          <w:tcPr>
            <w:shd w:val="clear" w:color="auto" w:fill="F7FBFE"/>
            <w:vAlign w:val="top"/>
          </w:tcPr>
          <w:p>
            <w:pPr>
              <w:pStyle w:val="Compact"/>
              <w:jc w:val="left"/>
            </w:pPr>
            <w:r>
              <w:t xml:space="preserve">organizational environmental conditions</w:t>
            </w:r>
          </w:p>
        </w:tc>
      </w:tr>
      <w:tr>
        <w:tc>
          <w:tcPr>
            <w:vAlign w:val="top"/>
          </w:tcPr>
          <w:p>
            <w:pPr>
              <w:pStyle w:val="Compact"/>
              <w:jc w:val="left"/>
            </w:pPr>
            <w:r>
              <w:t xml:space="preserve">U5 Polity</w:t>
            </w:r>
          </w:p>
        </w:tc>
        <w:tc>
          <w:tcPr>
            <w:vAlign w:val="top"/>
          </w:tcPr>
          <w:p>
            <w:pPr>
              <w:pStyle w:val="Compact"/>
              <w:jc w:val="left"/>
            </w:pPr>
            <w:r>
              <w:t xml:space="preserve">polity/public resources</w:t>
            </w:r>
          </w:p>
        </w:tc>
        <w:tc>
          <w:tcPr>
            <w:vAlign w:val="top"/>
          </w:tcPr>
          <w:p>
            <w:pPr>
              <w:pStyle w:val="Compact"/>
              <w:jc w:val="left"/>
            </w:pPr>
            <w:r>
              <w:t xml:space="preserve">polity/public health and safety</w:t>
            </w:r>
          </w:p>
        </w:tc>
        <w:tc>
          <w:tcPr>
            <w:vAlign w:val="top"/>
          </w:tcPr>
          <w:p>
            <w:pPr>
              <w:pStyle w:val="Compact"/>
              <w:jc w:val="left"/>
            </w:pPr>
            <w:r>
              <w:t xml:space="preserve">polity/public relationships and cohesion</w:t>
            </w:r>
          </w:p>
        </w:tc>
        <w:tc>
          <w:tcPr>
            <w:vAlign w:val="top"/>
          </w:tcPr>
          <w:p>
            <w:pPr>
              <w:pStyle w:val="Compact"/>
              <w:jc w:val="left"/>
            </w:pPr>
            <w:r>
              <w:t xml:space="preserve">polity/public knowledge and learning</w:t>
            </w:r>
          </w:p>
        </w:tc>
        <w:tc>
          <w:tcPr>
            <w:vAlign w:val="top"/>
          </w:tcPr>
          <w:p>
            <w:pPr>
              <w:pStyle w:val="Compact"/>
              <w:jc w:val="left"/>
            </w:pPr>
            <w:r>
              <w:t xml:space="preserve">polity/public agency and autonomy</w:t>
            </w:r>
          </w:p>
        </w:tc>
        <w:tc>
          <w:tcPr>
            <w:vAlign w:val="top"/>
          </w:tcPr>
          <w:p>
            <w:pPr>
              <w:pStyle w:val="Compact"/>
              <w:jc w:val="left"/>
            </w:pPr>
            <w:r>
              <w:t xml:space="preserve">polity/public meaning and purpose</w:t>
            </w:r>
          </w:p>
        </w:tc>
        <w:tc>
          <w:tcPr>
            <w:vAlign w:val="top"/>
          </w:tcPr>
          <w:p>
            <w:pPr>
              <w:pStyle w:val="Compact"/>
              <w:jc w:val="left"/>
            </w:pPr>
            <w:r>
              <w:t xml:space="preserve">polity/public environmental conditions</w:t>
            </w:r>
          </w:p>
        </w:tc>
      </w:tr>
      <w:tr>
        <w:tc>
          <w:tcPr>
            <w:shd w:val="clear" w:color="auto" w:fill="F7FBFE"/>
            <w:vAlign w:val="top"/>
          </w:tcPr>
          <w:p>
            <w:pPr>
              <w:pStyle w:val="Compact"/>
              <w:jc w:val="left"/>
            </w:pPr>
            <w:r>
              <w:t xml:space="preserve">U6 Humanity / Global Coordination</w:t>
            </w:r>
          </w:p>
        </w:tc>
        <w:tc>
          <w:tcPr>
            <w:shd w:val="clear" w:color="auto" w:fill="F7FBFE"/>
            <w:vAlign w:val="top"/>
          </w:tcPr>
          <w:p>
            <w:pPr>
              <w:pStyle w:val="Compact"/>
              <w:jc w:val="left"/>
            </w:pPr>
            <w:r>
              <w:t xml:space="preserve">humanity-wide resources</w:t>
            </w:r>
          </w:p>
        </w:tc>
        <w:tc>
          <w:tcPr>
            <w:shd w:val="clear" w:color="auto" w:fill="F7FBFE"/>
            <w:vAlign w:val="top"/>
          </w:tcPr>
          <w:p>
            <w:pPr>
              <w:pStyle w:val="Compact"/>
              <w:jc w:val="left"/>
            </w:pPr>
            <w:r>
              <w:t xml:space="preserve">humanity-wide health and safety</w:t>
            </w:r>
          </w:p>
        </w:tc>
        <w:tc>
          <w:tcPr>
            <w:shd w:val="clear" w:color="auto" w:fill="F7FBFE"/>
            <w:vAlign w:val="top"/>
          </w:tcPr>
          <w:p>
            <w:pPr>
              <w:pStyle w:val="Compact"/>
              <w:jc w:val="left"/>
            </w:pPr>
            <w:r>
              <w:t xml:space="preserve">humanity-wide relationships and cohesion</w:t>
            </w:r>
          </w:p>
        </w:tc>
        <w:tc>
          <w:tcPr>
            <w:shd w:val="clear" w:color="auto" w:fill="F7FBFE"/>
            <w:vAlign w:val="top"/>
          </w:tcPr>
          <w:p>
            <w:pPr>
              <w:pStyle w:val="Compact"/>
              <w:jc w:val="left"/>
            </w:pPr>
            <w:r>
              <w:t xml:space="preserve">humanity-wide knowledge and learning</w:t>
            </w:r>
          </w:p>
        </w:tc>
        <w:tc>
          <w:tcPr>
            <w:shd w:val="clear" w:color="auto" w:fill="F7FBFE"/>
            <w:vAlign w:val="top"/>
          </w:tcPr>
          <w:p>
            <w:pPr>
              <w:pStyle w:val="Compact"/>
              <w:jc w:val="left"/>
            </w:pPr>
            <w:r>
              <w:t xml:space="preserve">humanity-wide agency and autonomy</w:t>
            </w:r>
          </w:p>
        </w:tc>
        <w:tc>
          <w:tcPr>
            <w:shd w:val="clear" w:color="auto" w:fill="F7FBFE"/>
            <w:vAlign w:val="top"/>
          </w:tcPr>
          <w:p>
            <w:pPr>
              <w:pStyle w:val="Compact"/>
              <w:jc w:val="left"/>
            </w:pPr>
            <w:r>
              <w:t xml:space="preserve">humanity-wide meaning and purpose</w:t>
            </w:r>
          </w:p>
        </w:tc>
        <w:tc>
          <w:tcPr>
            <w:shd w:val="clear" w:color="auto" w:fill="F7FBFE"/>
            <w:vAlign w:val="top"/>
          </w:tcPr>
          <w:p>
            <w:pPr>
              <w:pStyle w:val="Compact"/>
              <w:jc w:val="left"/>
            </w:pPr>
            <w:r>
              <w:t xml:space="preserve">humanity-wide environmental conditions</w:t>
            </w:r>
          </w:p>
        </w:tc>
      </w:tr>
      <w:tr>
        <w:tc>
          <w:tcPr>
            <w:vAlign w:val="top"/>
          </w:tcPr>
          <w:p>
            <w:pPr>
              <w:pStyle w:val="Compact"/>
              <w:jc w:val="left"/>
            </w:pPr>
            <w:r>
              <w:t xml:space="preserve">U7 Biosphere</w:t>
            </w:r>
          </w:p>
        </w:tc>
        <w:tc>
          <w:tcPr>
            <w:vAlign w:val="top"/>
          </w:tcPr>
          <w:p>
            <w:pPr>
              <w:pStyle w:val="Compact"/>
              <w:jc w:val="left"/>
            </w:pPr>
            <w:r>
              <w:t xml:space="preserve">biospheric resources</w:t>
            </w:r>
          </w:p>
        </w:tc>
        <w:tc>
          <w:tcPr>
            <w:vAlign w:val="top"/>
          </w:tcPr>
          <w:p>
            <w:pPr>
              <w:pStyle w:val="Compact"/>
              <w:jc w:val="left"/>
            </w:pPr>
            <w:r>
              <w:t xml:space="preserve">biospheric health and safety</w:t>
            </w:r>
          </w:p>
        </w:tc>
        <w:tc>
          <w:tcPr>
            <w:vAlign w:val="top"/>
          </w:tcPr>
          <w:p>
            <w:pPr>
              <w:pStyle w:val="Compact"/>
              <w:jc w:val="left"/>
            </w:pPr>
            <w:r>
              <w:t xml:space="preserve">biospheric relationships and cohesion</w:t>
            </w:r>
          </w:p>
        </w:tc>
        <w:tc>
          <w:tcPr>
            <w:vAlign w:val="top"/>
          </w:tcPr>
          <w:p>
            <w:pPr>
              <w:pStyle w:val="Compact"/>
              <w:jc w:val="left"/>
            </w:pPr>
            <w:r>
              <w:t xml:space="preserve">biospheric knowledge and learning</w:t>
            </w:r>
          </w:p>
        </w:tc>
        <w:tc>
          <w:tcPr>
            <w:vAlign w:val="top"/>
          </w:tcPr>
          <w:p>
            <w:pPr>
              <w:pStyle w:val="Compact"/>
              <w:jc w:val="left"/>
            </w:pPr>
            <w:r>
              <w:t xml:space="preserve">Resilience Capacity</w:t>
            </w:r>
          </w:p>
        </w:tc>
        <w:tc>
          <w:tcPr>
            <w:vAlign w:val="top"/>
          </w:tcPr>
          <w:p>
            <w:pPr>
              <w:pStyle w:val="Compact"/>
              <w:jc w:val="left"/>
            </w:pPr>
            <w:r>
              <w:t xml:space="preserve">Life Continuity</w:t>
            </w:r>
          </w:p>
        </w:tc>
        <w:tc>
          <w:tcPr>
            <w:vAlign w:val="top"/>
          </w:tcPr>
          <w:p>
            <w:pPr>
              <w:pStyle w:val="Compact"/>
              <w:jc w:val="left"/>
            </w:pPr>
            <w:r>
              <w:t xml:space="preserve">biospheric environmental conditions</w:t>
            </w:r>
          </w:p>
        </w:tc>
      </w:tr>
    </w:tbl>
    <w:p>
      <w:pPr>
        <w:pStyle w:val="BodyText"/>
      </w:pPr>
      <w:r>
        <w:rPr>
          <w:bCs/>
          <w:b/>
        </w:rPr>
        <w:t xml:space="preserve">U7 scope-specific operationalization rule (Normative clarification).</w:t>
      </w:r>
      <w:r>
        <w:t xml:space="preserve"> </w:t>
      </w:r>
      <w:r>
        <w:t xml:space="preserve">The U7/D5 and U7/D6 cells are governed scope-specific functional analogues occupying the D5 and D6 matrix positions; they do not claim that the biosphere possesses personal agency or experienced meaning.</w:t>
      </w:r>
      <w:r>
        <w:t xml:space="preserve"> </w:t>
      </w:r>
      <w:r>
        <w:rPr>
          <w:rStyle w:val="VerbatimChar"/>
        </w:rPr>
        <w:t xml:space="preserve">U7/D5 Resilience Capacity</w:t>
      </w:r>
      <w:r>
        <w:t xml:space="preserve"> </w:t>
      </w:r>
      <w:r>
        <w:t xml:space="preserve">records ecological capacity to absorb, adapt, and recover;</w:t>
      </w:r>
      <w:r>
        <w:t xml:space="preserve"> </w:t>
      </w:r>
      <w:r>
        <w:rPr>
          <w:rStyle w:val="VerbatimChar"/>
        </w:rPr>
        <w:t xml:space="preserve">U7/D6 Life Continuity</w:t>
      </w:r>
      <w:r>
        <w:t xml:space="preserve"> </w:t>
      </w:r>
      <w:r>
        <w:t xml:space="preserve">records persistence of life and biodiversity across time. Their use preserves the stable 7 x 7 interface while declaring a construct exception. Implementations MUST retain the U7 labels, MUST NOT use personal Agency or Meaning instruments for those cells, and MUST report a cell-weight or label-sensitivity check when these two cells materially affect ranking. WDBIP governs token assignment and prevents them from being treated as empirical indicators of D5/D6 in persons.</w:t>
      </w:r>
    </w:p>
    <w:p>
      <w:pPr>
        <w:pStyle w:val="BodyText"/>
      </w:pPr>
      <w:r>
        <w:t xml:space="preserve">Release packaging rule (v10.6+). Every public release PDF MUST include this 49-cell table and the stakeholder-to-scope examples table below, either in Section 4 or in a dedicated reference-table appendix that is directly linked from Section 4.</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Scenario</w:t>
            </w:r>
          </w:p>
        </w:tc>
        <w:tc>
          <w:tcPr>
            <w:shd w:val="clear" w:color="auto" w:fill="D9EAF7"/>
            <w:vAlign w:val="center"/>
          </w:tcPr>
          <w:p>
            <w:pPr>
              <w:pStyle w:val="Compact"/>
              <w:jc w:val="left"/>
            </w:pPr>
            <w:r>
              <w:rPr>
                <w:bCs/>
                <w:b/>
                <w:color w:val="17365D"/>
              </w:rPr>
              <w:t xml:space="preserve">Primary scope logging</w:t>
            </w:r>
          </w:p>
        </w:tc>
        <w:tc>
          <w:tcPr>
            <w:shd w:val="clear" w:color="auto" w:fill="D9EAF7"/>
            <w:vAlign w:val="center"/>
          </w:tcPr>
          <w:p>
            <w:pPr>
              <w:pStyle w:val="Compact"/>
              <w:jc w:val="left"/>
            </w:pPr>
            <w:r>
              <w:rPr>
                <w:bCs/>
                <w:b/>
                <w:color w:val="17365D"/>
              </w:rPr>
              <w:t xml:space="preserve">Secondary / cross-scope impacts</w:t>
            </w:r>
          </w:p>
        </w:tc>
        <w:tc>
          <w:tcPr>
            <w:shd w:val="clear" w:color="auto" w:fill="D9EAF7"/>
            <w:vAlign w:val="center"/>
          </w:tcPr>
          <w:p>
            <w:pPr>
              <w:pStyle w:val="Compact"/>
              <w:jc w:val="left"/>
            </w:pPr>
            <w:r>
              <w:rPr>
                <w:bCs/>
                <w:b/>
                <w:color w:val="17365D"/>
              </w:rPr>
              <w:t xml:space="preserve">Redundancy handling note</w:t>
            </w:r>
          </w:p>
        </w:tc>
      </w:tr>
      <w:tr>
        <w:tc>
          <w:tcPr>
            <w:vAlign w:val="top"/>
          </w:tcPr>
          <w:p>
            <w:pPr>
              <w:pStyle w:val="Compact"/>
              <w:jc w:val="left"/>
            </w:pPr>
            <w:r>
              <w:t xml:space="preserve">Parent transfers $100 to adult child.</w:t>
            </w:r>
          </w:p>
        </w:tc>
        <w:tc>
          <w:tcPr>
            <w:vAlign w:val="top"/>
          </w:tcPr>
          <w:p>
            <w:pPr>
              <w:pStyle w:val="Compact"/>
              <w:jc w:val="left"/>
            </w:pPr>
            <w:r>
              <w:t xml:space="preserve">Recipient: U2 Household (child household) x D1 Material.</w:t>
            </w:r>
          </w:p>
        </w:tc>
        <w:tc>
          <w:tcPr>
            <w:vAlign w:val="top"/>
          </w:tcPr>
          <w:p>
            <w:pPr>
              <w:pStyle w:val="Compact"/>
              <w:jc w:val="left"/>
            </w:pPr>
            <w:r>
              <w:t xml:space="preserve">Sender household reduced resources, U2 x D1; governance/admin impacts logged separately if applicable.</w:t>
            </w:r>
          </w:p>
        </w:tc>
        <w:tc>
          <w:tcPr>
            <w:vAlign w:val="top"/>
          </w:tcPr>
          <w:p>
            <w:pPr>
              <w:pStyle w:val="Compact"/>
              <w:jc w:val="left"/>
            </w:pPr>
            <w:r>
              <w:t xml:space="preserve">DEDUPLICATION: log the transfer effect-token once; do not create a second impact instance for the same token.</w:t>
            </w:r>
          </w:p>
        </w:tc>
      </w:tr>
      <w:tr>
        <w:tc>
          <w:tcPr>
            <w:shd w:val="clear" w:color="auto" w:fill="F7FBFE"/>
            <w:vAlign w:val="top"/>
          </w:tcPr>
          <w:p>
            <w:pPr>
              <w:pStyle w:val="Compact"/>
              <w:jc w:val="left"/>
            </w:pPr>
            <w:r>
              <w:t xml:space="preserve">City spends $1M on public hospital upgrades.</w:t>
            </w:r>
          </w:p>
        </w:tc>
        <w:tc>
          <w:tcPr>
            <w:shd w:val="clear" w:color="auto" w:fill="F7FBFE"/>
            <w:vAlign w:val="top"/>
          </w:tcPr>
          <w:p>
            <w:pPr>
              <w:pStyle w:val="Compact"/>
              <w:jc w:val="left"/>
            </w:pPr>
            <w:r>
              <w:t xml:space="preserve">Community: U3 Community x D2 Health.</w:t>
            </w:r>
          </w:p>
        </w:tc>
        <w:tc>
          <w:tcPr>
            <w:shd w:val="clear" w:color="auto" w:fill="F7FBFE"/>
            <w:vAlign w:val="top"/>
          </w:tcPr>
          <w:p>
            <w:pPr>
              <w:pStyle w:val="Compact"/>
              <w:jc w:val="left"/>
            </w:pPr>
            <w:r>
              <w:t xml:space="preserve">Households benefit; polity accountability impacts may exist.</w:t>
            </w:r>
          </w:p>
        </w:tc>
        <w:tc>
          <w:tcPr>
            <w:shd w:val="clear" w:color="auto" w:fill="F7FBFE"/>
            <w:vAlign w:val="top"/>
          </w:tcPr>
          <w:p>
            <w:pPr>
              <w:pStyle w:val="Compact"/>
              <w:jc w:val="left"/>
            </w:pPr>
            <w:r>
              <w:t xml:space="preserve">ALLOCATION if the same investment benefits multiple scopes; record effect-tokens and coefficients.</w:t>
            </w:r>
          </w:p>
        </w:tc>
      </w:tr>
      <w:tr>
        <w:tc>
          <w:tcPr>
            <w:vAlign w:val="top"/>
          </w:tcPr>
          <w:p>
            <w:pPr>
              <w:pStyle w:val="Compact"/>
              <w:jc w:val="left"/>
            </w:pPr>
            <w:r>
              <w:t xml:space="preserve">National carbon tax: estimated 60% benefit to biosphere, 40% to Humanity / Global Coordination.</w:t>
            </w:r>
          </w:p>
        </w:tc>
        <w:tc>
          <w:tcPr>
            <w:vAlign w:val="top"/>
          </w:tcPr>
          <w:p>
            <w:pPr>
              <w:pStyle w:val="Compact"/>
              <w:jc w:val="left"/>
            </w:pPr>
            <w:r>
              <w:t xml:space="preserve">Allocate the policy benefit token across U7 and U6 with coefficients 0.6 and 0.4.</w:t>
            </w:r>
          </w:p>
        </w:tc>
        <w:tc>
          <w:tcPr>
            <w:vAlign w:val="top"/>
          </w:tcPr>
          <w:p>
            <w:pPr>
              <w:pStyle w:val="Compact"/>
              <w:jc w:val="left"/>
            </w:pPr>
            <w:r>
              <w:t xml:space="preserve">Polity administrative burden and compliance costs logged as distinct impacts.</w:t>
            </w:r>
          </w:p>
        </w:tc>
        <w:tc>
          <w:tcPr>
            <w:vAlign w:val="top"/>
          </w:tcPr>
          <w:p>
            <w:pPr>
              <w:pStyle w:val="Compact"/>
              <w:jc w:val="left"/>
            </w:pPr>
            <w:r>
              <w:t xml:space="preserve">ALLOCATION: explicit coefficients; no allocation laundering.</w:t>
            </w:r>
          </w:p>
        </w:tc>
      </w:tr>
      <w:tr>
        <w:tc>
          <w:tcPr>
            <w:shd w:val="clear" w:color="auto" w:fill="F7FBFE"/>
            <w:vAlign w:val="top"/>
          </w:tcPr>
          <w:p>
            <w:pPr>
              <w:pStyle w:val="Compact"/>
              <w:jc w:val="left"/>
            </w:pPr>
            <w:r>
              <w:t xml:space="preserve">Factory emissions affect local residents and ecosystem.</w:t>
            </w:r>
          </w:p>
        </w:tc>
        <w:tc>
          <w:tcPr>
            <w:shd w:val="clear" w:color="auto" w:fill="F7FBFE"/>
            <w:vAlign w:val="top"/>
          </w:tcPr>
          <w:p>
            <w:pPr>
              <w:pStyle w:val="Compact"/>
              <w:jc w:val="left"/>
            </w:pPr>
            <w:r>
              <w:t xml:space="preserve">Local health harm to residents: U3 Community x D2 Health.</w:t>
            </w:r>
          </w:p>
        </w:tc>
        <w:tc>
          <w:tcPr>
            <w:shd w:val="clear" w:color="auto" w:fill="F7FBFE"/>
            <w:vAlign w:val="top"/>
          </w:tcPr>
          <w:p>
            <w:pPr>
              <w:pStyle w:val="Compact"/>
              <w:jc w:val="left"/>
            </w:pPr>
            <w:r>
              <w:t xml:space="preserve">Ecosystem degradation: U7 Biosphere x D7 Environment.</w:t>
            </w:r>
          </w:p>
        </w:tc>
        <w:tc>
          <w:tcPr>
            <w:shd w:val="clear" w:color="auto" w:fill="F7FBFE"/>
            <w:vAlign w:val="top"/>
          </w:tcPr>
          <w:p>
            <w:pPr>
              <w:pStyle w:val="Compact"/>
              <w:jc w:val="left"/>
            </w:pPr>
            <w:r>
              <w:t xml:space="preserve">EMERGENT_SCALE_JUSTIFICATION: different mechanisms at different scales, not duplicate counting.</w:t>
            </w:r>
          </w:p>
        </w:tc>
      </w:tr>
      <w:tr>
        <w:tc>
          <w:tcPr>
            <w:vAlign w:val="top"/>
          </w:tcPr>
          <w:p>
            <w:pPr>
              <w:pStyle w:val="Compact"/>
              <w:jc w:val="left"/>
            </w:pPr>
            <w:r>
              <w:t xml:space="preserve">River communities 50km downstream affected by discharge.</w:t>
            </w:r>
          </w:p>
        </w:tc>
        <w:tc>
          <w:tcPr>
            <w:vAlign w:val="top"/>
          </w:tcPr>
          <w:p>
            <w:pPr>
              <w:pStyle w:val="Compact"/>
              <w:jc w:val="left"/>
            </w:pPr>
            <w:r>
              <w:t xml:space="preserve">Downstream residents: U3 Community, separate instance from factory-neighbor community.</w:t>
            </w:r>
          </w:p>
        </w:tc>
        <w:tc>
          <w:tcPr>
            <w:vAlign w:val="top"/>
          </w:tcPr>
          <w:p>
            <w:pPr>
              <w:pStyle w:val="Compact"/>
              <w:jc w:val="left"/>
            </w:pPr>
            <w:r>
              <w:t xml:space="preserve">Potential rights exposure flagged through stakeholder discovery.</w:t>
            </w:r>
          </w:p>
        </w:tc>
        <w:tc>
          <w:tcPr>
            <w:vAlign w:val="top"/>
          </w:tcPr>
          <w:p>
            <w:pPr>
              <w:pStyle w:val="Compact"/>
              <w:jc w:val="left"/>
            </w:pPr>
            <w:r>
              <w:t xml:space="preserve">SDP externality detection: omission-likely stakeholder class logged separately.</w:t>
            </w:r>
          </w:p>
        </w:tc>
      </w:tr>
    </w:tbl>
    <w:bookmarkEnd w:id="68"/>
    <w:bookmarkStart w:id="69" w:name="Xd5bfba8efa5c3d21daef2dd19aa9fec3c12185b"/>
    <w:p>
      <w:pPr>
        <w:pStyle w:val="Heading2"/>
      </w:pPr>
      <w:r>
        <w:rPr>
          <w:bCs/>
          <w:b/>
        </w:rPr>
        <w:t xml:space="preserve">4.8 Implementation Tiers (Normative Summary)</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Requirement</w:t>
            </w:r>
          </w:p>
        </w:tc>
        <w:tc>
          <w:tcPr>
            <w:shd w:val="clear" w:color="auto" w:fill="D9EAF7"/>
            <w:vAlign w:val="center"/>
          </w:tcPr>
          <w:p>
            <w:pPr>
              <w:pStyle w:val="Compact"/>
              <w:jc w:val="left"/>
            </w:pPr>
            <w:r>
              <w:rPr>
                <w:bCs/>
                <w:b/>
                <w:color w:val="17365D"/>
              </w:rPr>
              <w:t xml:space="preserve">Tier 1 Heuristic</w:t>
            </w:r>
          </w:p>
        </w:tc>
        <w:tc>
          <w:tcPr>
            <w:shd w:val="clear" w:color="auto" w:fill="D9EAF7"/>
            <w:vAlign w:val="center"/>
          </w:tcPr>
          <w:p>
            <w:pPr>
              <w:pStyle w:val="Compact"/>
              <w:jc w:val="left"/>
            </w:pPr>
            <w:r>
              <w:rPr>
                <w:bCs/>
                <w:b/>
                <w:color w:val="17365D"/>
              </w:rPr>
              <w:t xml:space="preserve">Tier 2 Core</w:t>
            </w:r>
          </w:p>
        </w:tc>
        <w:tc>
          <w:tcPr>
            <w:shd w:val="clear" w:color="auto" w:fill="D9EAF7"/>
            <w:vAlign w:val="center"/>
          </w:tcPr>
          <w:p>
            <w:pPr>
              <w:pStyle w:val="Compact"/>
              <w:jc w:val="left"/>
            </w:pPr>
            <w:r>
              <w:rPr>
                <w:bCs/>
                <w:b/>
                <w:color w:val="17365D"/>
              </w:rPr>
              <w:t xml:space="preserve">Tier 3 Auditable</w:t>
            </w:r>
          </w:p>
        </w:tc>
      </w:tr>
      <w:tr>
        <w:tc>
          <w:tcPr>
            <w:vAlign w:val="top"/>
          </w:tcPr>
          <w:p>
            <w:pPr>
              <w:pStyle w:val="Compact"/>
              <w:jc w:val="left"/>
            </w:pPr>
            <w:r>
              <w:t xml:space="preserve">NCRC</w:t>
            </w:r>
          </w:p>
        </w:tc>
        <w:tc>
          <w:tcPr>
            <w:vAlign w:val="top"/>
          </w:tcPr>
          <w:p>
            <w:pPr>
              <w:pStyle w:val="Compact"/>
              <w:jc w:val="left"/>
            </w:pPr>
            <w:r>
              <w:t xml:space="preserve">Heuristic</w:t>
            </w:r>
          </w:p>
        </w:tc>
        <w:tc>
          <w:tcPr>
            <w:vAlign w:val="top"/>
          </w:tcPr>
          <w:p>
            <w:pPr>
              <w:pStyle w:val="Compact"/>
              <w:jc w:val="left"/>
            </w:pPr>
            <w:r>
              <w:t xml:space="preserve">REQUIRED</w:t>
            </w:r>
          </w:p>
        </w:tc>
        <w:tc>
          <w:tcPr>
            <w:vAlign w:val="top"/>
          </w:tcPr>
          <w:p>
            <w:pPr>
              <w:pStyle w:val="Compact"/>
              <w:jc w:val="left"/>
            </w:pPr>
            <w:r>
              <w:t xml:space="preserve">REQUIRED with subgroup semantics</w:t>
            </w:r>
          </w:p>
        </w:tc>
      </w:tr>
      <w:tr>
        <w:tc>
          <w:tcPr>
            <w:shd w:val="clear" w:color="auto" w:fill="F7FBFE"/>
            <w:vAlign w:val="top"/>
          </w:tcPr>
          <w:p>
            <w:pPr>
              <w:pStyle w:val="Compact"/>
              <w:jc w:val="left"/>
            </w:pPr>
            <w:r>
              <w:t xml:space="preserve">TRC</w:t>
            </w:r>
          </w:p>
        </w:tc>
        <w:tc>
          <w:tcPr>
            <w:shd w:val="clear" w:color="auto" w:fill="F7FBFE"/>
            <w:vAlign w:val="top"/>
          </w:tcPr>
          <w:p>
            <w:pPr>
              <w:pStyle w:val="Compact"/>
              <w:jc w:val="left"/>
            </w:pPr>
            <w:r>
              <w:t xml:space="preserve">Optional qualitative screen</w:t>
            </w:r>
          </w:p>
        </w:tc>
        <w:tc>
          <w:tcPr>
            <w:shd w:val="clear" w:color="auto" w:fill="F7FBFE"/>
            <w:vAlign w:val="top"/>
          </w:tcPr>
          <w:p>
            <w:pPr>
              <w:pStyle w:val="Compact"/>
              <w:jc w:val="left"/>
            </w:pPr>
            <w:r>
              <w:t xml:space="preserve">REQUIRED when catastrophe relevance is plausible</w:t>
            </w:r>
          </w:p>
        </w:tc>
        <w:tc>
          <w:tcPr>
            <w:shd w:val="clear" w:color="auto" w:fill="F7FBFE"/>
            <w:vAlign w:val="top"/>
          </w:tcPr>
          <w:p>
            <w:pPr>
              <w:pStyle w:val="Compact"/>
              <w:jc w:val="left"/>
            </w:pPr>
            <w:r>
              <w:t xml:space="preserve">REQUIRED</w:t>
            </w:r>
          </w:p>
        </w:tc>
      </w:tr>
      <w:tr>
        <w:tc>
          <w:tcPr>
            <w:vAlign w:val="top"/>
          </w:tcPr>
          <w:p>
            <w:pPr>
              <w:pStyle w:val="Compact"/>
              <w:jc w:val="left"/>
            </w:pPr>
            <w:r>
              <w:t xml:space="preserve">Scenario set size</w:t>
            </w:r>
          </w:p>
        </w:tc>
        <w:tc>
          <w:tcPr>
            <w:vAlign w:val="top"/>
          </w:tcPr>
          <w:p>
            <w:pPr>
              <w:pStyle w:val="Compact"/>
              <w:jc w:val="left"/>
            </w:pPr>
            <w:r>
              <w:t xml:space="preserve">N/A</w:t>
            </w:r>
          </w:p>
        </w:tc>
        <w:tc>
          <w:tcPr>
            <w:vAlign w:val="top"/>
          </w:tcPr>
          <w:p>
            <w:pPr>
              <w:pStyle w:val="Compact"/>
              <w:jc w:val="left"/>
            </w:pPr>
            <w:r>
              <w:t xml:space="preserve">5 minimum</w:t>
            </w:r>
          </w:p>
        </w:tc>
        <w:tc>
          <w:tcPr>
            <w:vAlign w:val="top"/>
          </w:tcPr>
          <w:p>
            <w:pPr>
              <w:pStyle w:val="Compact"/>
              <w:jc w:val="left"/>
            </w:pPr>
            <w:r>
              <w:t xml:space="preserve">20 minimum</w:t>
            </w:r>
          </w:p>
        </w:tc>
      </w:tr>
      <w:tr>
        <w:tc>
          <w:tcPr>
            <w:shd w:val="clear" w:color="auto" w:fill="F7FBFE"/>
            <w:vAlign w:val="top"/>
          </w:tcPr>
          <w:p>
            <w:pPr>
              <w:pStyle w:val="Compact"/>
              <w:jc w:val="left"/>
            </w:pPr>
            <w:r>
              <w:t xml:space="preserve">Kernel propagation</w:t>
            </w:r>
          </w:p>
        </w:tc>
        <w:tc>
          <w:tcPr>
            <w:shd w:val="clear" w:color="auto" w:fill="F7FBFE"/>
            <w:vAlign w:val="top"/>
          </w:tcPr>
          <w:p>
            <w:pPr>
              <w:pStyle w:val="Compact"/>
              <w:jc w:val="left"/>
            </w:pPr>
            <w:r>
              <w:t xml:space="preserve">NONE</w:t>
            </w:r>
          </w:p>
        </w:tc>
        <w:tc>
          <w:tcPr>
            <w:shd w:val="clear" w:color="auto" w:fill="F7FBFE"/>
            <w:vAlign w:val="top"/>
          </w:tcPr>
          <w:p>
            <w:pPr>
              <w:pStyle w:val="Compact"/>
              <w:jc w:val="left"/>
            </w:pPr>
            <w:r>
              <w:t xml:space="preserve">NONE default; QUICK if KQS policy satisfied</w:t>
            </w:r>
          </w:p>
        </w:tc>
        <w:tc>
          <w:tcPr>
            <w:shd w:val="clear" w:color="auto" w:fill="F7FBFE"/>
            <w:vAlign w:val="top"/>
          </w:tcPr>
          <w:p>
            <w:pPr>
              <w:pStyle w:val="Compact"/>
              <w:jc w:val="left"/>
            </w:pPr>
            <w:r>
              <w:t xml:space="preserve">QUICK only if KQS policy satisfied plus sensitivity</w:t>
            </w:r>
          </w:p>
        </w:tc>
      </w:tr>
      <w:tr>
        <w:tc>
          <w:tcPr>
            <w:vAlign w:val="top"/>
          </w:tcPr>
          <w:p>
            <w:pPr>
              <w:pStyle w:val="Compact"/>
              <w:jc w:val="left"/>
            </w:pPr>
            <w:r>
              <w:t xml:space="preserve">CSV qualification</w:t>
            </w:r>
          </w:p>
        </w:tc>
        <w:tc>
          <w:tcPr>
            <w:vAlign w:val="top"/>
          </w:tcPr>
          <w:p>
            <w:pPr>
              <w:pStyle w:val="Compact"/>
              <w:jc w:val="left"/>
            </w:pPr>
            <w:r>
              <w:t xml:space="preserve">REQUIRED before any ordinary ranking/selection claim; qualitative screen or</w:t>
            </w:r>
            <w:r>
              <w:t xml:space="preserve"> </w:t>
            </w:r>
            <w:r>
              <w:rPr>
                <w:rStyle w:val="VerbatimChar"/>
              </w:rPr>
              <w:t xml:space="preserve">CSV_NOT_MATERIAL</w:t>
            </w:r>
            <w:r>
              <w:t xml:space="preserve"> </w:t>
            </w:r>
            <w:r>
              <w:t xml:space="preserve">rationale allowed</w:t>
            </w:r>
          </w:p>
        </w:tc>
        <w:tc>
          <w:tcPr>
            <w:vAlign w:val="top"/>
          </w:tcPr>
          <w:p>
            <w:pPr>
              <w:pStyle w:val="Compact"/>
              <w:jc w:val="left"/>
            </w:pPr>
            <w:r>
              <w:t xml:space="preserve">REQUIRED proportional/assumption-bounded CSV result before RLS</w:t>
            </w:r>
          </w:p>
        </w:tc>
        <w:tc>
          <w:tcPr>
            <w:vAlign w:val="top"/>
          </w:tcPr>
          <w:p>
            <w:pPr>
              <w:pStyle w:val="Compact"/>
              <w:jc w:val="left"/>
            </w:pPr>
            <w:r>
              <w:t xml:space="preserve">REQUIRED full and binding</w:t>
            </w:r>
          </w:p>
        </w:tc>
      </w:tr>
      <w:tr>
        <w:tc>
          <w:tcPr>
            <w:shd w:val="clear" w:color="auto" w:fill="F7FBFE"/>
            <w:vAlign w:val="top"/>
          </w:tcPr>
          <w:p>
            <w:pPr>
              <w:pStyle w:val="Compact"/>
              <w:jc w:val="left"/>
            </w:pPr>
            <w:r>
              <w:t xml:space="preserve">PCC</w:t>
            </w:r>
          </w:p>
        </w:tc>
        <w:tc>
          <w:tcPr>
            <w:shd w:val="clear" w:color="auto" w:fill="F7FBFE"/>
            <w:vAlign w:val="top"/>
          </w:tcPr>
          <w:p>
            <w:pPr>
              <w:pStyle w:val="Compact"/>
              <w:jc w:val="left"/>
            </w:pPr>
            <w:r>
              <w:t xml:space="preserve">Optional</w:t>
            </w:r>
          </w:p>
        </w:tc>
        <w:tc>
          <w:tcPr>
            <w:shd w:val="clear" w:color="auto" w:fill="F7FBFE"/>
            <w:vAlign w:val="top"/>
          </w:tcPr>
          <w:p>
            <w:pPr>
              <w:pStyle w:val="Compact"/>
              <w:jc w:val="left"/>
            </w:pPr>
            <w:r>
              <w:t xml:space="preserve">REQUIRED basic</w:t>
            </w:r>
          </w:p>
        </w:tc>
        <w:tc>
          <w:tcPr>
            <w:shd w:val="clear" w:color="auto" w:fill="F7FBFE"/>
            <w:vAlign w:val="top"/>
          </w:tcPr>
          <w:p>
            <w:pPr>
              <w:pStyle w:val="Compact"/>
              <w:jc w:val="left"/>
            </w:pPr>
            <w:r>
              <w:t xml:space="preserve">REQUIRED full</w:t>
            </w:r>
          </w:p>
        </w:tc>
      </w:tr>
      <w:tr>
        <w:tc>
          <w:tcPr>
            <w:vAlign w:val="top"/>
          </w:tcPr>
          <w:p>
            <w:pPr>
              <w:pStyle w:val="Compact"/>
              <w:jc w:val="left"/>
            </w:pPr>
            <w:r>
              <w:t xml:space="preserve">Sensitivity analysis</w:t>
            </w:r>
          </w:p>
        </w:tc>
        <w:tc>
          <w:tcPr>
            <w:vAlign w:val="top"/>
          </w:tcPr>
          <w:p>
            <w:pPr>
              <w:pStyle w:val="Compact"/>
              <w:jc w:val="left"/>
            </w:pPr>
            <w:r>
              <w:t xml:space="preserve">Optional</w:t>
            </w:r>
          </w:p>
        </w:tc>
        <w:tc>
          <w:tcPr>
            <w:vAlign w:val="top"/>
          </w:tcPr>
          <w:p>
            <w:pPr>
              <w:pStyle w:val="Compact"/>
              <w:jc w:val="left"/>
            </w:pPr>
            <w:r>
              <w:t xml:space="preserve">Recommended</w:t>
            </w:r>
          </w:p>
        </w:tc>
        <w:tc>
          <w:tcPr>
            <w:vAlign w:val="top"/>
          </w:tcPr>
          <w:p>
            <w:pPr>
              <w:pStyle w:val="Compact"/>
              <w:jc w:val="left"/>
            </w:pPr>
            <w:r>
              <w:t xml:space="preserve">REQUIRED</w:t>
            </w:r>
          </w:p>
        </w:tc>
      </w:tr>
    </w:tbl>
    <w:p>
      <w:pPr>
        <w:pStyle w:val="BodyText"/>
      </w:pPr>
      <w:r>
        <w:t xml:space="preserve">Tier 4 boundary. Tier 4 is a design target only in the current v12.6 release and MUST NOT be claimed until ProofPack is public and independently replayable.</w:t>
      </w:r>
    </w:p>
    <w:bookmarkEnd w:id="69"/>
    <w:bookmarkStart w:id="76" w:name="Xdc0760dd8856d604f937ae84b60cc69f35305fe"/>
    <w:p>
      <w:pPr>
        <w:pStyle w:val="Heading2"/>
      </w:pPr>
      <w:r>
        <w:rPr>
          <w:bCs/>
          <w:b/>
        </w:rPr>
        <w:t xml:space="preserve">4.9 Refusal Under Underdetermination (Normative)</w:t>
      </w:r>
    </w:p>
    <w:p>
      <w:pPr>
        <w:pStyle w:val="FirstParagraph"/>
      </w:pPr>
      <w:r>
        <w:t xml:space="preserve">Purpose. RippleLogic distinguishes gate failure from underdetermination. Gate failure occurs when a declared option uniquely violates NCRC, TRC, or CSV requirements. Refusal occurs when the framework cannot uniquely determine whether an option passes, fails, or can be selected from the declared inputs and projection rules.</w:t>
      </w:r>
    </w:p>
    <w:p>
      <w:pPr>
        <w:pStyle w:val="BodyText"/>
      </w:pPr>
      <w:r>
        <w:t xml:space="preserve">Refusal is not weakness, discretion, or rhetorical caution. It is a formal anti-overclaiming state. A run that enters Refusal MUST NOT claim that the relevant option is admissible, selectable, selected, aligned, safe, or RippleLogic-conformant for the unresolved claim.</w:t>
      </w:r>
    </w:p>
    <w:bookmarkStart w:id="70" w:name="Xbd453fae9e9b0f7def0786f8b80940156795a3b"/>
    <w:p>
      <w:pPr>
        <w:pStyle w:val="Heading3"/>
      </w:pPr>
      <w:r>
        <w:rPr>
          <w:bCs/>
          <w:b/>
        </w:rPr>
        <w:t xml:space="preserve">4.9.1 Refusal triggers (Normative)</w:t>
      </w:r>
    </w:p>
    <w:p>
      <w:pPr>
        <w:pStyle w:val="FirstParagraph"/>
      </w:pPr>
      <w:r>
        <w:t xml:space="preserve">R-1 Gate-critical unknown. A rights-covered cell, catastrophe cell, Containment indicator, or other gate-critical input remains UNKNOWN_IMPACT after the applicable evidence, phantom-instance, or conservative-default rule has been applied.</w:t>
      </w:r>
    </w:p>
    <w:p>
      <w:pPr>
        <w:pStyle w:val="BodyText"/>
      </w:pPr>
      <w:r>
        <w:t xml:space="preserve">R-2 Non-unique projection. The projection from stakeholder instances, subgroup evidence, scenario data, or scope mapping to a gate verdict admits two or more materially different admissibility interpretations under the same declared evidence.</w:t>
      </w:r>
    </w:p>
    <w:p>
      <w:pPr>
        <w:pStyle w:val="BodyText"/>
      </w:pPr>
      <w:r>
        <w:t xml:space="preserve">R-3 Material indistinguishability. Two or more options are observationally indistinguishable on available welfare evidence but materially different in possible rights exposure, tail-risk exposure, domination risk, or containment risk.</w:t>
      </w:r>
    </w:p>
    <w:p>
      <w:pPr>
        <w:pStyle w:val="BodyText"/>
      </w:pPr>
      <w:r>
        <w:t xml:space="preserve">R-4 Layer ambiguity. The run relies on a category collapse, including treating compliance as correctness, traceability as admissibility, psychological plausibility as evidence, mathematical elegance as validation, moral status as governance authority, or SGP welfare scalars as admissibility modifiers.</w:t>
      </w:r>
    </w:p>
    <w:p>
      <w:pPr>
        <w:pStyle w:val="BodyText"/>
      </w:pPr>
      <w:r>
        <w:t xml:space="preserve">R-5 Projection modification after observation. A ProjectionPreRegistration object, threshold, rights coverage set, catastrophe cell set, scenario set, weight rule, SGP MPS/FPP binding, or Containment trigger is materially modified after relevant decision evidence has been consulted, unless the run is voided and restarted.</w:t>
      </w:r>
    </w:p>
    <w:p>
      <w:pPr>
        <w:pStyle w:val="BodyText"/>
      </w:pPr>
      <w:r>
        <w:t xml:space="preserve">R-6 Claim-boundary mismatch. The evidence available may support a lower-tier, local, provisional, or exploratory claim but is insufficient for the stronger claim being attempted.</w:t>
      </w:r>
    </w:p>
    <w:bookmarkEnd w:id="70"/>
    <w:bookmarkStart w:id="71" w:name="X45f95298b3b07bfdda4a2fe70c4d7916b1d7998"/>
    <w:p>
      <w:pPr>
        <w:pStyle w:val="Heading3"/>
      </w:pPr>
      <w:r>
        <w:rPr>
          <w:bCs/>
          <w:b/>
        </w:rPr>
        <w:t xml:space="preserve">4.9.2 Refusal effects (Normative)</w:t>
      </w:r>
    </w:p>
    <w:p>
      <w:pPr>
        <w:pStyle w:val="FirstParagraph"/>
      </w:pPr>
      <w:r>
        <w:t xml:space="preserve">1. stop any claim of admissibility, selectability, selection, conformance, or alignment for the unresolved option or run;</w:t>
      </w:r>
    </w:p>
    <w:p>
      <w:pPr>
        <w:pStyle w:val="BodyText"/>
      </w:pPr>
      <w:r>
        <w:t xml:space="preserve">2. emit a PCC.RefusalRecord;</w:t>
      </w:r>
    </w:p>
    <w:p>
      <w:pPr>
        <w:pStyle w:val="BodyText"/>
      </w:pPr>
      <w:r>
        <w:t xml:space="preserve">3. identify the unresolved gate, scope, dimension, scenario, stakeholder class, or projection rule;</w:t>
      </w:r>
    </w:p>
    <w:p>
      <w:pPr>
        <w:pStyle w:val="BodyText"/>
      </w:pPr>
      <w:r>
        <w:t xml:space="preserve">4. state the minimum evidence or procedural condition required for re-run;</w:t>
      </w:r>
    </w:p>
    <w:p>
      <w:pPr>
        <w:pStyle w:val="BodyText"/>
      </w:pPr>
      <w:r>
        <w:t xml:space="preserve">5. route the decision to escalation, redesign, bounded provisional action, or no-action baseline review according to tier and stakes.</w:t>
      </w:r>
    </w:p>
    <w:bookmarkEnd w:id="71"/>
    <w:bookmarkStart w:id="72" w:name="X888030424d460e874b4439a1182c04a892908a8"/>
    <w:p>
      <w:pPr>
        <w:pStyle w:val="Heading3"/>
      </w:pPr>
      <w:r>
        <w:rPr>
          <w:bCs/>
          <w:b/>
        </w:rPr>
        <w:t xml:space="preserve">4.9.3 Emergency and provisional action (Normative)</w:t>
      </w:r>
    </w:p>
    <w:p>
      <w:pPr>
        <w:pStyle w:val="FirstParagraph"/>
      </w:pPr>
      <w:r>
        <w:t xml:space="preserve">Refusal blocks strong conformance claims. It does not automatically imply inaction in emergency contexts. Where delay itself creates material harm, a provisional action MAY proceed only if all of the following hold:</w:t>
      </w:r>
    </w:p>
    <w:p>
      <w:pPr>
        <w:pStyle w:val="BodyText"/>
      </w:pPr>
      <w:r>
        <w:t xml:space="preserve">1. the action is rights-preserving under the best available conservative screen;</w:t>
      </w:r>
    </w:p>
    <w:p>
      <w:pPr>
        <w:pStyle w:val="BodyText"/>
      </w:pPr>
      <w:r>
        <w:t xml:space="preserve">2. catastrophic tail-risk is not plausibly increased beyond the declared emergency corridor;</w:t>
      </w:r>
    </w:p>
    <w:p>
      <w:pPr>
        <w:pStyle w:val="BodyText"/>
      </w:pPr>
      <w:r>
        <w:t xml:space="preserve">3. the action is reversible, staged, or bounded where feasible;</w:t>
      </w:r>
    </w:p>
    <w:p>
      <w:pPr>
        <w:pStyle w:val="BodyText"/>
      </w:pPr>
      <w:r>
        <w:t xml:space="preserve">4. escalation and independent review are triggered;</w:t>
      </w:r>
    </w:p>
    <w:p>
      <w:pPr>
        <w:pStyle w:val="BodyText"/>
      </w:pPr>
      <w:r>
        <w:t xml:space="preserve">5. the PCC clearly marks the action as PROVISIONAL_UNDER_REFUSAL rather than admissible, selectable, or selected under normal conformance.</w:t>
      </w:r>
    </w:p>
    <w:bookmarkEnd w:id="72"/>
    <w:bookmarkStart w:id="73" w:name="X9d89d5f5696156f24790b2bf828f7843cdb6916"/>
    <w:p>
      <w:pPr>
        <w:pStyle w:val="Heading3"/>
      </w:pPr>
      <w:r>
        <w:rPr>
          <w:bCs/>
          <w:b/>
        </w:rPr>
        <w:t xml:space="preserve">4.9.4 Distinction from gate failure (Normative)</w:t>
      </w:r>
    </w:p>
    <w:p>
      <w:pPr>
        <w:pStyle w:val="FirstParagraph"/>
      </w:pPr>
      <w:r>
        <w:t xml:space="preserve">Gate failure is committed: NCRC violation, TRC corridor breach, or CSV failure produces inadmissibility or non-selectability under unique projection. Refusal is uncommitted: the framework cannot uniquely determine admissibility from the declared inputs. Implementations MUST NOT silently convert Refusal into gate failure, gate success, or RLS tie-break, and MUST NOT use Refusal to bypass any earlier gate.</w:t>
      </w:r>
    </w:p>
    <w:bookmarkEnd w:id="73"/>
    <w:bookmarkStart w:id="74" w:name="X020febb94585153370a096c6cdb4f3dc1f3118f"/>
    <w:p>
      <w:pPr>
        <w:pStyle w:val="Heading3"/>
      </w:pPr>
      <w:r>
        <w:rPr>
          <w:bCs/>
          <w:b/>
        </w:rPr>
        <w:t xml:space="preserve">4.9.5 PCC fields for Refusal (Normative)</w:t>
      </w:r>
    </w:p>
    <w:p>
      <w:pPr>
        <w:pStyle w:val="FirstParagraph"/>
      </w:pPr>
      <w:r>
        <w:t xml:space="preserve">The PCC.RefusalRecord SHALL include at minimum: trigger code R-1 through R-6; evidence basis with provenance; options affected; scopes and dimensions affected; rights, catastrophe, or containment cells affected; no-action baseline status where relevant; escalation route invoked; provisional-action status, if any; and conditions under which a re-run could resolve the Refusal.</w:t>
      </w:r>
    </w:p>
    <w:bookmarkEnd w:id="74"/>
    <w:bookmarkStart w:id="75" w:name="Xa61636e05eb23177f76bcf8c7bf5c7ec5ed9877"/>
    <w:p>
      <w:pPr>
        <w:pStyle w:val="Heading3"/>
      </w:pPr>
      <w:r>
        <w:rPr>
          <w:bCs/>
          <w:b/>
        </w:rPr>
        <w:t xml:space="preserve">4.9.6 Relation to ripple.md IND and NA (Informative)</w:t>
      </w:r>
    </w:p>
    <w:p>
      <w:pPr>
        <w:pStyle w:val="FirstParagraph"/>
      </w:pPr>
      <w:r>
        <w:t xml:space="preserve">In ripple.md wrapped deployments, IND maps to Refusal where the test applies but evidence, scope lock, target specification, constraint set, verification regime, or projection conditions are insufficient. NA means the test is genuinely not applicable under the declared scope. Implementations MUST NOT use NA where IND is the correct state.</w:t>
      </w:r>
    </w:p>
    <w:bookmarkEnd w:id="75"/>
    <w:bookmarkEnd w:id="76"/>
    <w:bookmarkStart w:id="79" w:name="Xacffe19f317ec1f64e364e404248d6402a2e4d8"/>
    <w:p>
      <w:pPr>
        <w:pStyle w:val="Heading2"/>
      </w:pPr>
      <w:r>
        <w:rPr>
          <w:bCs/>
          <w:b/>
        </w:rPr>
        <w:t xml:space="preserve">4.10 Consequence-tempo and responsibility-continuity interface (Normative routing)</w:t>
      </w:r>
    </w:p>
    <w:p>
      <w:pPr>
        <w:pStyle w:val="FirstParagraph"/>
      </w:pPr>
      <w:r>
        <w:t xml:space="preserve">Execution assurance must distinguish decision admissibility from the speed and ownership of implementation. For actions involving rapid propagation, material irreversibility, consequential automation, or material lock-in, the worst credible control critical path must be shorter than the time to an unacceptable adverse escalation threshold or irreversible stop-loss boundary. Where no runtime interruption window is technically possible, stronger ex ante assurance, bounded scope and rate, fail-safe design, and explicit residual-risk authorization are required. Delay must also be tested as a possible source of rights, ruin, or structural harm.</w:t>
      </w:r>
    </w:p>
    <w:p>
      <w:pPr>
        <w:pStyle w:val="BodyText"/>
      </w:pPr>
      <w:r>
        <w:t xml:space="preserve">Complexity may distribute work but must not dissolve answerability. Claim-bearing high-consequence runs SHALL preserve typed responsibility for evidence, analysis, decision authority, operation, execution, intervention, appeal, communication, remedy, and residual responsibility. Legal liability is not inferred unless separately established by law.</w:t>
      </w:r>
    </w:p>
    <w:bookmarkStart w:id="77" w:name="X3c9b1cda09b1ae33d7af57660aa84ed769fa35d"/>
    <w:p>
      <w:pPr>
        <w:pStyle w:val="Heading3"/>
      </w:pPr>
      <w:r>
        <w:rPr>
          <w:bCs/>
          <w:b/>
        </w:rPr>
        <w:t xml:space="preserve">4.10A Material obligation integrity (Normative)</w:t>
      </w:r>
    </w:p>
    <w:p>
      <w:pPr>
        <w:pStyle w:val="FirstParagraph"/>
      </w:pPr>
      <w:r>
        <w:t xml:space="preserve">Where selectability, execution, review, appeal, intervention, monitoring, rollback, communication, repair, or requalification depends on a material obligation, the PCC SHALL include or reference a MaterialObligationRecord. The record SHALL identify: the obligation; accountable authority; operational carrier or authenticated execution path; authority and capacity basis; activation trigger; scope; required action; response deadline or window; evidence of discharge; review or expiry; challenge route; delegation acceptance; backup or successor; nonperformance trigger; missed-duty escalation; amendment, waiver, suspension, and retirement authority; change-control rule; residual responsibility; and control-effectiveness status.</w:t>
      </w:r>
    </w:p>
    <w:p>
      <w:pPr>
        <w:pStyle w:val="BodyText"/>
      </w:pPr>
      <w:r>
        <w:t xml:space="preserve">A declaration, committee, register, policy, review date, or named owner is not by itself a binding control. The carrier must have the authority, competence, information access, time, resources, and protection necessary to act. A handoff is incomplete until the receiving role accepts it. Failure, absence, conflict, incapacity, or silence by the carrier SHALL activate the declared escalation, substitution, pause, or requalification path. A material change to the control's trigger, threshold, scope, carrier, authority, evidence surface, expiry, escalation path, waiver rule, or retirement rule is a configuration change and SHALL reopen affected qualification.</w:t>
      </w:r>
    </w:p>
    <w:p>
      <w:pPr>
        <w:pStyle w:val="BodyText"/>
      </w:pPr>
      <w:r>
        <w:t xml:space="preserve">Control performance and control effectiveness are distinct. Evidence that a procedure was followed does not establish that the intended right, risk, containment, or repair objective was achieved. Where effectiveness is decision-material, the run SHALL record the outcome evidence or remain assumption-bound, controlled, escalated, or redesigned.</w:t>
      </w:r>
    </w:p>
    <w:bookmarkEnd w:id="77"/>
    <w:bookmarkStart w:id="78" w:name="Xfe843eba75a100784cce84ace82adee3db7a134"/>
    <w:p>
      <w:pPr>
        <w:pStyle w:val="Heading3"/>
      </w:pPr>
      <w:r>
        <w:rPr>
          <w:bCs/>
          <w:b/>
        </w:rPr>
        <w:t xml:space="preserve">4.10B Hidden human compensation load (Normative inside CSV when material)</w:t>
      </w:r>
    </w:p>
    <w:p>
      <w:pPr>
        <w:pStyle w:val="FirstParagraph"/>
      </w:pPr>
      <w:r>
        <w:t xml:space="preserve">Before automation, scaling, role removal, or claims of structural resilience, CSV SHALL test whether functioning materially depends on undocumented human compensation, including repeated manual override, exception reconciliation, shadow records, individual memory, relationship-based coordination, after-hours recovery, weak-signal interpretation, informal escalation, or recurrent prevention of visible failure. Such compensation is evidence of a structural dependency; it is not by itself evidence that the system is resilient.</w:t>
      </w:r>
    </w:p>
    <w:p>
      <w:pPr>
        <w:pStyle w:val="BodyText"/>
      </w:pPr>
      <w:r>
        <w:t xml:space="preserve">When material, the PCC SHALL include or reference a HumanCompensationLoadRecord identifying the carrier role classes, hidden work performed, formal-workflow gap, frequency or burden indicators, single-person dependency, recovery and capacity effects, consequence if the compensation stops, evidence sources, privacy and non-retaliation protections, preservation or redesign action, and review trigger. Evidence SHOULD be triangulated from workflow traces, overrides, exceptions, rework, handoffs, near misses, workload and recovery indicators, and protected testimony rather than depending solely on self-report or waiting for carrier collapse.</w:t>
      </w:r>
    </w:p>
    <w:p>
      <w:pPr>
        <w:pStyle w:val="BodyText"/>
      </w:pPr>
      <w:r>
        <w:t xml:space="preserve">These are cross-cutting assurance requirements routed through TRC and CSV and recorded through ripple.md v5.5 and Agent System v12.5. They are not a sixth gate and do not make a completed record proof of safety.</w:t>
      </w:r>
    </w:p>
    <w:bookmarkEnd w:id="78"/>
    <w:bookmarkEnd w:id="79"/>
    <w:bookmarkEnd w:id="80"/>
    <w:bookmarkStart w:id="99" w:name="X47a6519c1d137a160de0f30c797ffe6d6d7016a"/>
    <w:p>
      <w:pPr>
        <w:pStyle w:val="Heading1"/>
      </w:pPr>
      <w:bookmarkStart w:id="770" w:name="mg_toc_006"/>
      <w:r>
        <w:rPr>
          <w:bCs/>
          <w:b/>
        </w:rPr>
        <w:t xml:space="preserve">SECTION 5: WELFARE IMPACT CONSTRUCTION (CALCULABLE)</w:t>
      </w:r>
      <w:bookmarkEnd w:id="770"/>
    </w:p>
    <w:bookmarkStart w:id="82" w:name="Xd3bbb4f52f6babd99956db1c3246968c3d083be"/>
    <w:p>
      <w:pPr>
        <w:pStyle w:val="Heading2"/>
      </w:pPr>
      <w:r>
        <w:rPr>
          <w:bCs/>
          <w:b/>
        </w:rPr>
        <w:t xml:space="preserve">5.0 Purpose and Design Requirements (Normative)</w:t>
      </w:r>
    </w:p>
    <w:p>
      <w:pPr>
        <w:pStyle w:val="FirstParagraph"/>
      </w:pPr>
      <w:r>
        <w:t xml:space="preserve">This section specifies how RippleLogic converts real-world predictions and evidence into a computable welfare impact matrix for each option. A competent analyst MUST be able to compute all required impacts from (i) a declared baseline, (ii) a declared option, and (iii) a finite list of impact instances per cell, using only the equations and rules in this paper and appendices.</w:t>
      </w:r>
    </w:p>
    <w:p>
      <w:pPr>
        <w:pStyle w:val="BodyText"/>
      </w:pPr>
      <w:r>
        <w:t xml:space="preserve">Cell-meaning rule (Normative clarification). A cell score is a reviewable baseline-relative claim, not a preference expression. It SHALL be interpretable as an assertion about one Union Scope and one welfare dimension, with evidence and uncertainty disclosed according to tier requirements. Appendix AD provides the canonical interpretive dictionary for cell meanings, positive/negative movement, possible indicators, gate-relevance cues, examples, and reviewer checks.</w:t>
      </w:r>
    </w:p>
    <w:bookmarkStart w:id="81" w:name="Xd7724264e904b25ea507cb11552b31d4ca4c9d6"/>
    <w:p>
      <w:pPr>
        <w:pStyle w:val="Heading3"/>
      </w:pPr>
      <w:r>
        <w:rPr>
          <w:bCs/>
          <w:b/>
        </w:rPr>
        <w:t xml:space="preserve">5.0.1 Stakeholder Coverage Index (SCI) (Normative)</w:t>
      </w:r>
    </w:p>
    <w:p>
      <w:pPr>
        <w:pStyle w:val="FirstParagraph"/>
      </w:pPr>
      <w:r>
        <w:t xml:space="preserve">SCI is a tier-governed disclosure ladder describing the stakeholder coverage posture of a run. SCI does not change scoring formulas. It is an auditability and integrity signal that supports comparability and anti-theater enforcement.</w:t>
      </w:r>
    </w:p>
    <w:p>
      <w:pPr>
        <w:pStyle w:val="BodyText"/>
      </w:pPr>
      <w:r>
        <w:t xml:space="preserve">SCI levels (minimum definitions): SCI-0: no explicit stakeholder instance logging. SCI-1: instances logged at least for direct stakeholders and primary externality pathways. SCI-2: instances logged with explicit mapping to Union Scopes, including at least one challenger pass for omissions. SCI-3: evidence-backed instance mapping with explicit blind-spot declaration, escalation triggers, and redundancy handling disclosures where multi-scope mapping is used. SCI-4: high-coverage posture with structured discovery, third-party review or validated stakeholder registry linkage, and replay-ready traceability.</w:t>
      </w:r>
    </w:p>
    <w:p>
      <w:pPr>
        <w:pStyle w:val="BodyText"/>
      </w:pPr>
      <w:r>
        <w:t xml:space="preserve">Tier minima. Tier 2 runs MUST achieve at least SCI-1. Tier 3 runs MUST achieve at least SCI-2.</w:t>
      </w:r>
    </w:p>
    <w:p>
      <w:pPr>
        <w:pStyle w:val="BodyText"/>
      </w:pPr>
      <w:r>
        <w:t xml:space="preserve">Anti-theater ratchet. If SCI equals the tier minimum, the PCC MUST include a concrete Next-Run Upgrade action that would raise SCI by at least one level for the next comparable run. If SCI is below the tier minimum, the run MUST either (a) downgrade the declared tier to one whose SCI minimum is satisfied, or (b) rerun with enhanced stakeholder discovery to meet the SCI minimum for the claimed tier. In either case, the PCC MUST include a remediation plan specifying how SCI will be raised to the target level before the next comparable run. A remediation plan alone does not make the current run compliant at the originally claimed tier.</w:t>
      </w:r>
    </w:p>
    <w:bookmarkEnd w:id="81"/>
    <w:bookmarkEnd w:id="82"/>
    <w:bookmarkStart w:id="83" w:name="Xbf14a9403c76550b79d8d18e9770ba3632c40c6"/>
    <w:p>
      <w:pPr>
        <w:pStyle w:val="Heading2"/>
      </w:pPr>
      <w:r>
        <w:rPr>
          <w:bCs/>
          <w:b/>
        </w:rPr>
        <w:t xml:space="preserve">5.0A End-to-End Cell Computation Recipe (Informative)</w:t>
      </w:r>
    </w:p>
    <w:p>
      <w:pPr>
        <w:pStyle w:val="FirstParagraph"/>
      </w:pPr>
      <w:r>
        <w:t xml:space="preserve">This recipe is the minimal end-to-end spine for computing any welfare-cell impact in a Tier 1-3 run. It is informative, but the equations and constraints it references are normative in their home sections. For traceability, this recipe is listed in reverse order (8→1), reflecting the final artifact emission back to upstream inputs.</w:t>
      </w:r>
    </w:p>
    <w:p>
      <w:pPr>
        <w:pStyle w:val="BodyText"/>
      </w:pPr>
      <w:r>
        <w:t xml:space="preserve">8) Emit PCC: record parameters, ReachBasis, gate results, RLS summary, and the public 5SPR. If reduced-scope mode is used, include the required attestations and blind-spot statement.</w:t>
      </w:r>
    </w:p>
    <w:p>
      <w:pPr>
        <w:numPr>
          <w:ilvl w:val="0"/>
          <w:numId w:val="1002"/>
        </w:numPr>
        <w:pStyle w:val="Compact"/>
      </w:pPr>
      <w:r>
        <w:t xml:space="preserve">Run the formal method: RSG / Reality Grounding → RF / Rights Floor (formal NCRC) → TRC / Tail-Risk Bound → CSV / Containment and Structural Viability → RLS / RippleLogic Score. Treat UCI/HOI or equivalent structural diagnostics as CSV evidence when material, and as residual tie-break/monitoring evidence only when RLS is tied, close, uncertainty-overlapped, or non-decisive.</w:t>
      </w:r>
    </w:p>
    <w:p>
      <w:pPr>
        <w:pStyle w:val="FirstParagraph"/>
      </w:pPr>
      <w:r>
        <w:t xml:space="preserve">6) Apply kernel propagation only if declared: if KernelPropagation = QUICK, compute I_prop_welfare(u,d,a) per Section 6; else set I_prop_welfare = I_dir. (Redundancy handling such as EMERGENT/DEDUP/ALLOCATION is a separate instance/aggregation mechanism and MUST NOT be treated as a propagation mode.)</w:t>
      </w:r>
    </w:p>
    <w:p>
      <w:pPr>
        <w:pStyle w:val="BodyText"/>
      </w:pPr>
      <w:r>
        <w:t xml:space="preserve">5) Compute the direct contribution and accumulate to the cell: Ĩ_dir(u,d,a;h) = Σ_k ( μ_k · r_k · τ(t_k) · ℓ_k · c_k · e_k · h_k ) over k in that cell. Apply the canonical saturation (for example tanh) to obtain I_dir(u,d,a;h) ∈ [-1,+1]. Here h_k is a declared welfare-inclusion hypothesis coefficient, not an MPS score or moral-worth scalar.</w:t>
      </w:r>
    </w:p>
    <w:p>
      <w:pPr>
        <w:pStyle w:val="BodyText"/>
      </w:pPr>
      <w:r>
        <w:t xml:space="preserve">Stream note (Normative). For admissibility layers (NCRC, TRC, CSV), compute the Base stream with h_k:=1 for all impact instances. In the Welfare stream used for RLS, MPS evidence determines the required protection posture and hypothesis set, but the MPS band or interval MUST NOT be inserted directly as a cardinal multiplier. Human persons and FPP entities use h_k=1. For a non-FPP stakeholder whose welfare-bearing status is decision-material, the run MUST evaluate the governed inclusion hypotheses required by Section 12 and Appendix G, including h_k=1 and, where exclusion remains evidentially admissible, h_k=0. If the decision changes across the hypothesis set, the run returns MPS_HYPOTHESIS_SENSITIVE and may not conceal the sensitivity with a convenient intermediate value.</w:t>
      </w:r>
    </w:p>
    <w:p>
      <w:pPr>
        <w:pStyle w:val="BodyText"/>
      </w:pPr>
      <w:r>
        <w:t xml:space="preserve">4) For each impact instance k, declare its parameters inside canonical bounds: magnitude μ_k ∈ [-1,+1], reach r_k ∈ [0,1] with ReachBasis, time horizon t_k ∈ (0, ∞) years (used via τ(t_k)), likelihood ℓ_k ∈ [0,1], confidence c_k ∈ [0.1, 1], bounded adjustment multiplier e_k ≥ 0 (default 1.00; non-default use governed by Section 5.2 notes and PCC disclosure), and welfare-inclusion hypothesis h_k ∈ {0,1} unless a separately governed and validated welfare-attention profile authorizes additional bounded values. h_k is never inferred mechanically from an MPS interval. Every human person and FPP entity uses h_k=1 (Appendix G).</w:t>
      </w:r>
    </w:p>
    <w:p>
      <w:pPr>
        <w:pStyle w:val="BodyText"/>
      </w:pPr>
      <w:r>
        <w:t xml:space="preserve">Dual-baseline implementation note (Normative clarification). In Appendix P, every gate-relevant cell retained in RLS uses the FLOOR_REFERENCE value in both the gate and welfare streams. A different STATUS_QUO welfare baseline for any such cell is permitted only through a governed BaselineDualExceptionBlock that states the rationale, both values, non-compensation effect, sensitivity result, authority, and review trigger. In the absence of that block, floor-reference remains controlling. For ordinary non-gate welfare cells, STATUS_QUO may remain the declared welfare baseline.</w:t>
      </w:r>
    </w:p>
    <w:p>
      <w:pPr>
        <w:pStyle w:val="BodyText"/>
      </w:pPr>
      <w:r>
        <w:t xml:space="preserve">Note on evidence (Normative clarification): Evidence quality is recorded in PCC provenance fields and informs the choice of c_k. Evidence quality is not a separate multiplicative scalar in Ĩ_dir unless explicitly introduced by a future canonical revision.</w:t>
      </w:r>
    </w:p>
    <w:p>
      <w:pPr>
        <w:pStyle w:val="BodyText"/>
      </w:pPr>
      <w:r>
        <w:t xml:space="preserve">3) Construct Impact Instances k for each active welfare cell (u,d): each k must reference (a) a stakeholder instance, (b) a cell (u,d), and (c) a direct or indirect pathway description.</w:t>
      </w:r>
    </w:p>
    <w:p>
      <w:pPr>
        <w:pStyle w:val="BodyText"/>
      </w:pPr>
      <w:r>
        <w:t xml:space="preserve">2) Build the representation layer: SDP → Stakeholders → Stakeholder Instances (InstanceMap with union-scope coverage).</w:t>
      </w:r>
    </w:p>
    <w:p>
      <w:pPr>
        <w:pStyle w:val="BodyText"/>
      </w:pPr>
      <w:r>
        <w:t xml:space="preserve">1) Declare the run: option set A, unions U_run, welfare dimensions D, horizon window, and kernel propagation policy (NONE / QUICK). If effect-token redundancy handling is used, declare the redundancy mode (EMERGENT / DEDUP / ALLOCATION) and α budgets separately.</w:t>
      </w:r>
    </w:p>
    <w:bookmarkEnd w:id="83"/>
    <w:bookmarkStart w:id="84" w:name="Xf30e03af126d8d8bd60eb1000ae106163f17f8e"/>
    <w:p>
      <w:pPr>
        <w:pStyle w:val="Heading2"/>
      </w:pPr>
      <w:r>
        <w:rPr>
          <w:bCs/>
          <w:b/>
        </w:rPr>
        <w:t xml:space="preserve">5.0B WDBIP welfare-evidence interface (Normative when WDBIP conformance is claimed)</w:t>
      </w:r>
    </w:p>
    <w:p>
      <w:pPr>
        <w:pStyle w:val="FirstParagraph"/>
      </w:pPr>
      <w:r>
        <w:t xml:space="preserve">The Welfare Dimension Boundary and Interaction Protocol v1.6 is the Canon-subordinate companion for primary dimension assignment, token-level welfare pathways, dependence and cross-scope duplication disclosure, time-window and subgroup integrity, measurement uncertainty, and welfare-dimension validation planning.</w:t>
      </w:r>
    </w:p>
    <w:p>
      <w:pPr>
        <w:pStyle w:val="BodyText"/>
      </w:pPr>
      <w:r>
        <w:t xml:space="preserve">WDBIP does not alter the seven dimensions, Union Scopes, gate sequence, RLS equation, constitutional weights, or lawful authority. It cannot rescue failed RF/NCRC, TRC, or CSV. When WDBIP conformance is claimed, the exact WDBIP record, schema version, and content hash SHALL be attached to or immutably referenced from the PCC.</w:t>
      </w:r>
    </w:p>
    <w:p>
      <w:pPr>
        <w:pStyle w:val="BodyText"/>
      </w:pPr>
      <w:r>
        <w:t xml:space="preserve">The Canon owns effect-token definitions, Union Scope mapping, redundancy methods, allocation constraints, RLS weights, and gate routing. WDBIP consumes those objects by version and pointer and MUST NOT redefine them.</w:t>
      </w:r>
    </w:p>
    <w:bookmarkEnd w:id="84"/>
    <w:bookmarkStart w:id="85" w:name="X8761e760ad26b0e98ce60e0aa8152fa23551d4b"/>
    <w:p>
      <w:pPr>
        <w:pStyle w:val="Heading2"/>
      </w:pPr>
      <w:r>
        <w:rPr>
          <w:bCs/>
          <w:b/>
        </w:rPr>
        <w:t xml:space="preserve">5.1 Baseline-Zero Rule (Normative)</w:t>
      </w:r>
    </w:p>
    <w:p>
      <w:pPr>
        <w:pStyle w:val="FirstParagraph"/>
      </w:pPr>
      <w:r>
        <w:t xml:space="preserve">Semantic anchor (MUST): For all unions u, dimensions d, and options a:</w:t>
      </w:r>
    </w:p>
    <w:p>
      <w:pPr>
        <w:pStyle w:val="BodyText"/>
      </w:pPr>
      <w:r>
        <w:t>For all unions u, dimensions d, and options a, I(u,d,a) = 0 denotes zero net represented change from the declared baseline at the cell level.</w:t>
      </w:r>
    </w:p>
    <w:p>
      <w:pPr>
        <w:pStyle w:val="BodyText"/>
      </w:pPr>
      <w:r>
        <w:t>Interpretation: “0 means no net represented change from baseline in the cell” is globally enforced. Any method that produces absolute levels MUST immediately convert them into baseline-relative deltas before entering RippleLogic impact scoring.</w:t>
      </w:r>
    </w:p>
    <w:p>
      <w:pPr>
        <w:pStyle w:val="BodyText"/>
      </w:pPr>
      <w:r>
        <w:t>Interpretive boundary (MUST): A zero cell value does not establish that every underlying indicator, stakeholder subgroup, time window, or causal pathway is unchanged. Material opposing contributions MUST remain separately disclosed in the impact-instance, subgroup, distributional, and interaction records and MUST NOT be netted away for RF/NCRC, TRC, CSV, subgroup, or peak-harm analysis.</w:t>
      </w:r>
    </w:p>
    <w:p>
      <w:pPr>
        <w:pStyle w:val="BodyText"/>
      </w:pPr>
      <w:r>
        <w:t xml:space="preserve">Stream binding (Normative): Compute a Base stream and a Welfare stream. The Base stream fixes h_k := 1.0 and is used by TRC and CSV. RF/NCRC begins from the Base stream but MUST apply the rights-specific non-attenuation, categorical-prohibition, and severe-hazard rules in Section 7.4; adverse rights severity MUST NOT be reduced merely because duration is short or analyst confidence is low. The Welfare stream uses the governed welfare-inclusion hypothesis set defined by the SGP binding interface and is used only for RLS. MPS bands and intervals are evidence objects and protection triggers, not cardinal welfare weights. If ranking or selection changes across the hypothesis set, the PCC MUST report MPS_HYPOTHESIS_SENSITIVE and the run must seek evidence, apply a precautionary policy, narrow the claim, preserve multiple options, or refuse a definitive ranking.</w:t>
      </w:r>
    </w:p>
    <w:bookmarkEnd w:id="85"/>
    <w:bookmarkStart w:id="86" w:name="Xc0c805040a7ffde04907e3aa042a5632a537682"/>
    <w:p>
      <w:pPr>
        <w:pStyle w:val="Heading2"/>
      </w:pPr>
      <w:r>
        <w:rPr>
          <w:bCs/>
          <w:b/>
        </w:rPr>
        <w:t xml:space="preserve">5.1A Baseline Contract for Admissibility Layers (Normative)</w:t>
      </w:r>
    </w:p>
    <w:p>
      <w:pPr>
        <w:pStyle w:val="FirstParagraph"/>
      </w:pPr>
      <w:r>
        <w:t xml:space="preserve">Baseline scope (Normative). RippleLogic welfare impacts are baseline-relative by design (Baseline-Zero Rule). For admissibility layers (NCRC and TRC) and any containment checks that depend on gate-relevant cells, the baseline for any cell that is in a rights coverage set C_r or in the catastrophe set C_cat MUST represent a rights-safe / safe-corridor reference condition (the rights-reference baseline; legacy machine alias</w:t>
      </w:r>
      <w:r>
        <w:t xml:space="preserve"> </w:t>
      </w:r>
      <w:r>
        <w:rPr>
          <w:rStyle w:val="VerbatimChar"/>
        </w:rPr>
        <w:t xml:space="preserve">FLOOR_REFERENCE</w:t>
      </w:r>
      <w:r>
        <w:t xml:space="preserve">), not merely the status quo.</w:t>
      </w:r>
    </w:p>
    <w:p>
      <w:pPr>
        <w:pStyle w:val="BodyText"/>
      </w:pPr>
      <w:r>
        <w:t xml:space="preserve">Floor-baseline requirement (Normative). For each active rights or catastrophe cell, the PCC MUST declare the floor baseline reference (indicator definition, target level, jurisdictional or governed source when available, and any conversion assumptions). An option that maintains a rights-violating status quo MUST therefore score below 0 on the gate-relevant baseline-delta scale, because the baseline for gating is the floor reference.</w:t>
      </w:r>
    </w:p>
    <w:p>
      <w:pPr>
        <w:pStyle w:val="BodyText"/>
      </w:pPr>
      <w:r>
        <w:t xml:space="preserve">PCC disclosure (Normative). The PCC MUST record BaselineType_Gates = FLOOR_REFERENCE for all cells in C_r ∪ C_cat, and MUST record BaselineType_Welfare for other cells. Allowed values: STATUS_QUO, FLOOR_REFERENCE, OTHER_DECLARED. If OTHER_DECLARED is used, the basis and rationale MUST be specified and MUST NOT weaken NCRC/TRC protection.</w:t>
      </w:r>
    </w:p>
    <w:bookmarkEnd w:id="86"/>
    <w:bookmarkStart w:id="88" w:name="Xc6537caf8b01aaf7457cf8b03e26a42a54ee425"/>
    <w:p>
      <w:pPr>
        <w:pStyle w:val="Heading2"/>
      </w:pPr>
      <w:r>
        <w:rPr>
          <w:bCs/>
          <w:b/>
        </w:rPr>
        <w:t xml:space="preserve">5.2 Impact Instances (Normative)</w:t>
      </w:r>
    </w:p>
    <w:p>
      <w:pPr>
        <w:pStyle w:val="FirstParagraph"/>
      </w:pPr>
      <w:r>
        <w:t xml:space="preserve">RippleLogic represents impacts in each active welfare cell (u,d) for option a as a finite set of impact instances K(u,d,a). Each instance captures one distinct causal pathway or measurable effect.</w:t>
      </w:r>
    </w:p>
    <w:p>
      <w:pPr>
        <w:pStyle w:val="BodyText"/>
      </w:pPr>
      <w:r>
        <w:t xml:space="preserve">InstanceMap vs Impact Instances Bridge (v9.0; Normative): InstanceMap (Section 2.2A) specifies who is represented (stakeholders-in-context). Impact instances k ∈ K(u,d,a) specify how impacts occur (pathways) within a Scope×Dimension cell. These are distinct objects and MUST NOT be conflated. Impact instances inherit scope mapping from the stakeholder instances they affect. Both are required for full auditability at Tier 3.</w:t>
      </w:r>
    </w:p>
    <w:p>
      <w:pPr>
        <w:pStyle w:val="BodyText"/>
      </w:pPr>
      <w:r>
        <w:t xml:space="preserve">Informative: Scopes × Dimensions form the welfare matrix. Instances feed the cells.</w:t>
      </w:r>
    </w:p>
    <w:bookmarkStart w:id="87" w:name="Xd4439fcee1fd93b89d3c283544029a0a1284337"/>
    <w:p>
      <w:pPr>
        <w:pStyle w:val="Heading3"/>
      </w:pPr>
      <w:r>
        <w:rPr>
          <w:bCs/>
          <w:b/>
        </w:rPr>
        <w:t xml:space="preserve">5.2.1 ReachBasis canon (Tier 2+ required) (Normative)</w:t>
      </w:r>
    </w:p>
    <w:p>
      <w:pPr>
        <w:pStyle w:val="FirstParagraph"/>
      </w:pPr>
      <w:r>
        <w:t xml:space="preserve">Definition (Normative). Reach r_k ∈ [0,1] is a scale term representing the fraction of the relevant reference class affected by impact instance k for the specified union scope u and welfare dimension d. r_k is not a moral weight and MUST NOT substitute for rights floors, TRC, or other gates.</w:t>
      </w:r>
    </w:p>
    <w:p>
      <w:pPr>
        <w:pStyle w:val="BodyText"/>
      </w:pPr>
      <w:r>
        <w:t xml:space="preserve">ReachBasisType (Normative). For each r_k, the PCC MUST record one ReachBasisType ∈ {POPULATION_FRACTION, ASSET_OR_FLOW_FRACTION, AREA_OR_VOLUME_FRACTION, OTHER_DECLARED}. If OTHER_DECLARED is used, the PCC MUST define the basis and the denominator unambiguously.</w:t>
      </w:r>
    </w:p>
    <w:p>
      <w:pPr>
        <w:pStyle w:val="BodyText"/>
      </w:pPr>
      <w:r>
        <w:t xml:space="preserve">Denominator rule (Normative). The denominator MUST match the union scope u and the decision boundary (Section 2.2A), and MUST be disclosed with units (for example: adult residents in district X; monthly platform active users; hectares of watershed; annual procurement spend).</w:t>
      </w:r>
    </w:p>
    <w:p>
      <w:pPr>
        <w:pStyle w:val="BodyText"/>
      </w:pPr>
      <w:r>
        <w:t xml:space="preserve">Estimator and bounds (Normative). The PCC MUST record the estimator method and source/provenance for the denominator and numerator, plus conservative bounds when uncertainty is material. If bounds are used, the PCC MUST record r_k_low and r_k_high and use the conservative bound in any gate-relevant analysis when reach uncertainty could affect admissibility or containment.</w:t>
      </w:r>
    </w:p>
    <w:p>
      <w:pPr>
        <w:pStyle w:val="BodyText"/>
      </w:pPr>
      <w:r>
        <w:t xml:space="preserve">Sign-aware reach-bound rule (Normative). When reach uncertainty is material, the PCC MUST use the conservative endpoint relative to the claim being supported: a beneficial effect used to justify selection, safety, control adequacy, or mitigation uses the lowest supported reach; an adverse effect uses the highest supported reach; and a gate-critical adverse effect uses GateAdverseBound. If sign is mixed or unresolved, evaluate both supported endpoints. If admissibility, containment, ranking, or selection changes across the interval, record sensitivity and narrow, escalate, redesign, delay, or refuse the stronger claim. A denominator choice MUST NOT systematically reduce adverse reach or inflate beneficial reach.</w:t>
      </w:r>
    </w:p>
    <w:p>
      <w:pPr>
        <w:pStyle w:val="BodyText"/>
      </w:pPr>
      <w:r>
        <w:t xml:space="preserve">Rights-specific reach semantics (Normative). For rights-covered impact instances used in NCRC evaluation, reach SHALL be defined relative to the materially exposed protected subgroup or another subgroup-exposed reference class that prevents attenuation by unaffected population fraction. Reach in rights-covered cells MUST NOT dilute severity by reference to the full union population when only a protected subgroup is exposed. The PCC MUST record the rights-specific denominator when it differs from the general welfare denominator.</w:t>
      </w:r>
    </w:p>
    <w:p>
      <w:pPr>
        <w:pStyle w:val="BodyText"/>
      </w:pPr>
      <w:r>
        <w:t xml:space="preserve">Table 5.1: Impact Instance Parameters (Canonical)</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Parameter</w:t>
            </w:r>
          </w:p>
        </w:tc>
        <w:tc>
          <w:tcPr>
            <w:shd w:val="clear" w:color="auto" w:fill="D9EAF7"/>
            <w:vAlign w:val="center"/>
          </w:tcPr>
          <w:p>
            <w:pPr>
              <w:pStyle w:val="Compact"/>
              <w:jc w:val="left"/>
            </w:pPr>
            <w:r>
              <w:rPr>
                <w:bCs/>
                <w:b/>
                <w:color w:val="17365D"/>
              </w:rPr>
              <w:t xml:space="preserve">Symbol</w:t>
            </w:r>
          </w:p>
        </w:tc>
        <w:tc>
          <w:tcPr>
            <w:shd w:val="clear" w:color="auto" w:fill="D9EAF7"/>
            <w:vAlign w:val="center"/>
          </w:tcPr>
          <w:p>
            <w:pPr>
              <w:pStyle w:val="Compact"/>
              <w:jc w:val="left"/>
            </w:pPr>
            <w:r>
              <w:rPr>
                <w:bCs/>
                <w:b/>
                <w:color w:val="17365D"/>
              </w:rPr>
              <w:t xml:space="preserve">Range</w:t>
            </w:r>
          </w:p>
        </w:tc>
        <w:tc>
          <w:tcPr>
            <w:shd w:val="clear" w:color="auto" w:fill="D9EAF7"/>
            <w:vAlign w:val="center"/>
          </w:tcPr>
          <w:p>
            <w:pPr>
              <w:pStyle w:val="Compact"/>
              <w:jc w:val="left"/>
            </w:pPr>
            <w:r>
              <w:rPr>
                <w:bCs/>
                <w:b/>
                <w:color w:val="17365D"/>
              </w:rPr>
              <w:t xml:space="preserve">Meaning</w:t>
            </w:r>
          </w:p>
        </w:tc>
      </w:tr>
      <w:tr>
        <w:tc>
          <w:tcPr>
            <w:vAlign w:val="top"/>
          </w:tcPr>
          <w:p>
            <w:pPr>
              <w:pStyle w:val="Compact"/>
              <w:jc w:val="left"/>
            </w:pPr>
            <w:r>
              <w:t xml:space="preserve">Magnitude</w:t>
            </w:r>
          </w:p>
        </w:tc>
        <w:tc>
          <w:tcPr>
            <w:vAlign w:val="top"/>
          </w:tcPr>
          <w:p>
            <w:pPr>
              <w:pStyle w:val="Compact"/>
              <w:jc w:val="left"/>
            </w:pPr>
            <w:r>
              <w:t xml:space="preserve">μ_k</w:t>
            </w:r>
          </w:p>
        </w:tc>
        <w:tc>
          <w:tcPr>
            <w:vAlign w:val="top"/>
          </w:tcPr>
          <w:p>
            <w:pPr>
              <w:pStyle w:val="Compact"/>
              <w:jc w:val="left"/>
            </w:pPr>
            <w:r>
              <w:t xml:space="preserve">[-1,+1]</w:t>
            </w:r>
          </w:p>
        </w:tc>
        <w:tc>
          <w:tcPr>
            <w:vAlign w:val="top"/>
          </w:tcPr>
          <w:p>
            <w:pPr>
              <w:pStyle w:val="Compact"/>
              <w:jc w:val="left"/>
            </w:pPr>
            <w:r>
              <w:t xml:space="preserve">Signed severity of welfare change (baseline-relative). Positive = improvement; negative = harm.</w:t>
            </w:r>
          </w:p>
        </w:tc>
      </w:tr>
      <w:tr>
        <w:tc>
          <w:tcPr>
            <w:shd w:val="clear" w:color="auto" w:fill="F7FBFE"/>
            <w:vAlign w:val="top"/>
          </w:tcPr>
          <w:p>
            <w:pPr>
              <w:pStyle w:val="Compact"/>
              <w:jc w:val="left"/>
            </w:pPr>
            <w:r>
              <w:t xml:space="preserve">Reach</w:t>
            </w:r>
          </w:p>
        </w:tc>
        <w:tc>
          <w:tcPr>
            <w:shd w:val="clear" w:color="auto" w:fill="F7FBFE"/>
            <w:vAlign w:val="top"/>
          </w:tcPr>
          <w:p>
            <w:pPr>
              <w:pStyle w:val="Compact"/>
              <w:jc w:val="left"/>
            </w:pPr>
            <w:r>
              <w:t xml:space="preserve">r_k</w:t>
            </w:r>
          </w:p>
        </w:tc>
        <w:tc>
          <w:tcPr>
            <w:shd w:val="clear" w:color="auto" w:fill="F7FBFE"/>
            <w:vAlign w:val="top"/>
          </w:tcPr>
          <w:p>
            <w:pPr>
              <w:pStyle w:val="Compact"/>
              <w:jc w:val="left"/>
            </w:pPr>
            <w:r>
              <w:t xml:space="preserve">[0,1]</w:t>
            </w:r>
          </w:p>
        </w:tc>
        <w:tc>
          <w:tcPr>
            <w:shd w:val="clear" w:color="auto" w:fill="F7FBFE"/>
            <w:vAlign w:val="top"/>
          </w:tcPr>
          <w:p>
            <w:pPr>
              <w:pStyle w:val="Compact"/>
              <w:jc w:val="left"/>
            </w:pPr>
            <w:r>
              <w:t xml:space="preserve">Fraction of the relevant stakeholder population materially affected.</w:t>
            </w:r>
          </w:p>
        </w:tc>
      </w:tr>
      <w:tr>
        <w:tc>
          <w:tcPr>
            <w:vAlign w:val="top"/>
          </w:tcPr>
          <w:p>
            <w:pPr>
              <w:pStyle w:val="Compact"/>
              <w:jc w:val="left"/>
            </w:pPr>
            <w:r>
              <w:t xml:space="preserve">Time horizon</w:t>
            </w:r>
          </w:p>
        </w:tc>
        <w:tc>
          <w:tcPr>
            <w:vAlign w:val="top"/>
          </w:tcPr>
          <w:p>
            <w:pPr>
              <w:pStyle w:val="Compact"/>
              <w:jc w:val="left"/>
            </w:pPr>
            <w:r>
              <w:t xml:space="preserve">t_k</w:t>
            </w:r>
          </w:p>
        </w:tc>
        <w:tc>
          <w:tcPr>
            <w:vAlign w:val="top"/>
          </w:tcPr>
          <w:p>
            <w:pPr>
              <w:pStyle w:val="Compact"/>
              <w:jc w:val="left"/>
            </w:pPr>
            <w:r>
              <w:t xml:space="preserve">(0, ∞) years</w:t>
            </w:r>
          </w:p>
        </w:tc>
        <w:tc>
          <w:tcPr>
            <w:vAlign w:val="top"/>
          </w:tcPr>
          <w:p>
            <w:pPr>
              <w:pStyle w:val="Compact"/>
              <w:jc w:val="left"/>
            </w:pPr>
            <w:r>
              <w:t xml:space="preserve">Duration over which the effect remains materially relevant.</w:t>
            </w:r>
          </w:p>
        </w:tc>
      </w:tr>
      <w:tr>
        <w:tc>
          <w:tcPr>
            <w:shd w:val="clear" w:color="auto" w:fill="F7FBFE"/>
            <w:vAlign w:val="top"/>
          </w:tcPr>
          <w:p>
            <w:pPr>
              <w:pStyle w:val="Compact"/>
              <w:jc w:val="left"/>
            </w:pPr>
            <w:r>
              <w:t xml:space="preserve">Likelihood</w:t>
            </w:r>
          </w:p>
        </w:tc>
        <w:tc>
          <w:tcPr>
            <w:shd w:val="clear" w:color="auto" w:fill="F7FBFE"/>
            <w:vAlign w:val="top"/>
          </w:tcPr>
          <w:p>
            <w:pPr>
              <w:pStyle w:val="Compact"/>
              <w:jc w:val="left"/>
            </w:pPr>
            <w:r>
              <w:t xml:space="preserve">ℓ_k</w:t>
            </w:r>
          </w:p>
        </w:tc>
        <w:tc>
          <w:tcPr>
            <w:shd w:val="clear" w:color="auto" w:fill="F7FBFE"/>
            <w:vAlign w:val="top"/>
          </w:tcPr>
          <w:p>
            <w:pPr>
              <w:pStyle w:val="Compact"/>
              <w:jc w:val="left"/>
            </w:pPr>
            <w:r>
              <w:t xml:space="preserve">[0,1]</w:t>
            </w:r>
          </w:p>
        </w:tc>
        <w:tc>
          <w:tcPr>
            <w:shd w:val="clear" w:color="auto" w:fill="F7FBFE"/>
            <w:vAlign w:val="top"/>
          </w:tcPr>
          <w:p>
            <w:pPr>
              <w:pStyle w:val="Compact"/>
              <w:jc w:val="left"/>
            </w:pPr>
            <w:r>
              <w:t xml:space="preserve">Conditional probability the instance occurs (conditional on scenario model, if used).</w:t>
            </w:r>
          </w:p>
        </w:tc>
      </w:tr>
      <w:tr>
        <w:tc>
          <w:tcPr>
            <w:vAlign w:val="top"/>
          </w:tcPr>
          <w:p>
            <w:pPr>
              <w:pStyle w:val="Compact"/>
              <w:jc w:val="left"/>
            </w:pPr>
            <w:r>
              <w:t xml:space="preserve">Confidence</w:t>
            </w:r>
          </w:p>
        </w:tc>
        <w:tc>
          <w:tcPr>
            <w:vAlign w:val="top"/>
          </w:tcPr>
          <w:p>
            <w:pPr>
              <w:pStyle w:val="Compact"/>
              <w:jc w:val="left"/>
            </w:pPr>
            <w:r>
              <w:t xml:space="preserve">c_k</w:t>
            </w:r>
          </w:p>
        </w:tc>
        <w:tc>
          <w:tcPr>
            <w:vAlign w:val="top"/>
          </w:tcPr>
          <w:p>
            <w:pPr>
              <w:pStyle w:val="Compact"/>
              <w:jc w:val="left"/>
            </w:pPr>
            <w:r>
              <w:t xml:space="preserve">[0.1,1]</w:t>
            </w:r>
          </w:p>
        </w:tc>
        <w:tc>
          <w:tcPr>
            <w:vAlign w:val="top"/>
          </w:tcPr>
          <w:p>
            <w:pPr>
              <w:pStyle w:val="Compact"/>
              <w:jc w:val="left"/>
            </w:pPr>
            <w:r>
              <w:t xml:space="preserve">Analyst confidence in the instance specification and mapping (floor prevents “zeroing out”).</w:t>
            </w:r>
          </w:p>
        </w:tc>
      </w:tr>
      <w:tr>
        <w:tc>
          <w:tcPr>
            <w:shd w:val="clear" w:color="auto" w:fill="F7FBFE"/>
            <w:vAlign w:val="top"/>
          </w:tcPr>
          <w:p>
            <w:pPr>
              <w:pStyle w:val="Compact"/>
              <w:jc w:val="left"/>
            </w:pPr>
            <w:r>
              <w:t xml:space="preserve">Equity/resilience multiplier</w:t>
            </w:r>
          </w:p>
        </w:tc>
        <w:tc>
          <w:tcPr>
            <w:shd w:val="clear" w:color="auto" w:fill="F7FBFE"/>
            <w:vAlign w:val="top"/>
          </w:tcPr>
          <w:p>
            <w:pPr>
              <w:pStyle w:val="Compact"/>
              <w:jc w:val="left"/>
            </w:pPr>
            <w:r>
              <w:t xml:space="preserve">e_k</w:t>
            </w:r>
          </w:p>
        </w:tc>
        <w:tc>
          <w:tcPr>
            <w:shd w:val="clear" w:color="auto" w:fill="F7FBFE"/>
            <w:vAlign w:val="top"/>
          </w:tcPr>
          <w:p>
            <w:pPr>
              <w:pStyle w:val="Compact"/>
              <w:jc w:val="left"/>
            </w:pPr>
            <w:r>
              <w:t xml:space="preserve">Tier 2: 1.00 only unless named governed instrument; Tier 3: [0.75, 1.25] default 1.00</w:t>
            </w:r>
          </w:p>
        </w:tc>
        <w:tc>
          <w:tcPr>
            <w:shd w:val="clear" w:color="auto" w:fill="F7FBFE"/>
            <w:vAlign w:val="top"/>
          </w:tcPr>
          <w:p>
            <w:pPr>
              <w:pStyle w:val="Compact"/>
              <w:jc w:val="left"/>
            </w:pPr>
            <w:r>
              <w:t xml:space="preserve">Governed multiplier for declared equity/resilience/context corrections only; MUST NOT function as a hidden weight or sign-changing control.</w:t>
            </w:r>
          </w:p>
        </w:tc>
      </w:tr>
      <w:tr>
        <w:tc>
          <w:tcPr>
            <w:vAlign w:val="top"/>
          </w:tcPr>
          <w:p>
            <w:pPr>
              <w:pStyle w:val="Compact"/>
              <w:jc w:val="left"/>
            </w:pPr>
            <w:r>
              <w:t xml:space="preserve">Welfare-inclusion hypothesis</w:t>
            </w:r>
          </w:p>
        </w:tc>
        <w:tc>
          <w:tcPr>
            <w:vAlign w:val="top"/>
          </w:tcPr>
          <w:p>
            <w:pPr>
              <w:pStyle w:val="Compact"/>
              <w:jc w:val="left"/>
            </w:pPr>
            <w:r>
              <w:t xml:space="preserve">h_k</w:t>
            </w:r>
          </w:p>
        </w:tc>
        <w:tc>
          <w:tcPr>
            <w:vAlign w:val="top"/>
          </w:tcPr>
          <w:p>
            <w:pPr>
              <w:pStyle w:val="Compact"/>
              <w:jc w:val="left"/>
            </w:pPr>
            <w:r>
              <w:t xml:space="preserve">Ordinarily 0 or 1; h_k=1 for every human person and FPP entity</w:t>
            </w:r>
          </w:p>
        </w:tc>
        <w:tc>
          <w:tcPr>
            <w:vAlign w:val="top"/>
          </w:tcPr>
          <w:p>
            <w:pPr>
              <w:pStyle w:val="Compact"/>
              <w:jc w:val="left"/>
            </w:pPr>
            <w:r>
              <w:t xml:space="preserve">Declared welfare-accounting hypothesis used for robust RLS sensitivity. It is not an MPS score, probability of consciousness, quantity of experience, or measure of intrinsic worth. Additional bounded values require a separately governed and validated welfare-attention profile.</w:t>
            </w:r>
          </w:p>
        </w:tc>
      </w:tr>
    </w:tbl>
    <w:p>
      <w:pPr>
        <w:pStyle w:val="BodyText"/>
      </w:pPr>
      <w:r>
        <w:t xml:space="preserve">Normative notes:</w:t>
      </w:r>
    </w:p>
    <w:p>
      <w:pPr>
        <w:numPr>
          <w:ilvl w:val="0"/>
          <w:numId w:val="1003"/>
        </w:numPr>
        <w:pStyle w:val="Compact"/>
      </w:pPr>
      <w:r>
        <w:t xml:space="preserve">c_k has a floor of 0.1 to prevent omission-by-zeroing. In the residual Welfare stream, c_k is a governed evidence-support shrinkage coefficient toward the declared no-material-change prior; it is not the complete uncertainty model and it is not a claim that the unshrunk effect is absent. The PCC MUST separately report uncertainty under Section 10.3 and MUST test whether ranking changes under a governed unshrunk or adverse-bound sensitivity when low-confidence adverse impacts are material. In RF/NCRC, TRC, and material CSV use, the Gate-critical confidence guard below controls: low confidence cannot operate as a protective discount.</w:t>
      </w:r>
    </w:p>
    <w:p>
      <w:pPr>
        <w:pStyle w:val="FirstParagraph"/>
      </w:pPr>
      <w:r>
        <w:t xml:space="preserve">Gate-critical confidence guard (Normative). For an adverse gate-critical instance k in a rights coverage set C_r, catastrophe cell set C_cat, or material CSV indicator, define GateAdverseBound(k) deterministically before the run. If an admissible interval or scenario bound is available, GateAdverseBound(k) is the most adverse supported endpoint for harm claims and the least favourable supported endpoint for beneficial control, capacity, or mitigation claims. If only a point estimate and c_k are available, the adverse gate calculation removes confidence shrinkage by setting c_gate,k:=1, while a beneficial claim used to establish gate safety retains c_gate,k:=c_k. Likelihood and scenario probability remain separately represented and MUST NOT be double-counted. If no reproducible conservative bound can be justified and the gate outcome could change, the result is UNKNOWN, ESCALATE, NARROW, or REFUSE rather than PASS. The PCC MUST record the bound method, evidence source, endpoint, and disposition. Confidence MUST NOT launder severe but uncertain gate-critical harm into pass status.</w:t>
      </w:r>
    </w:p>
    <w:p>
      <w:pPr>
        <w:numPr>
          <w:ilvl w:val="0"/>
          <w:numId w:val="1004"/>
        </w:numPr>
        <w:pStyle w:val="Compact"/>
      </w:pPr>
      <w:r>
        <w:t xml:space="preserve">e_k is tightly governed. Tier 2 MUST set e_k = 1.00 for all impact instances unless a named governed instrument from PCC.EKRegistry is invoked explicitly. Tier 3 MAY use non-default e_k only from a pre-declared registry of allowed instruments, with each instrument carrying a declared purpose, source, allowed range, and replayable reason code. Unless a stricter charter rule exists, allowed non-default values are bounded to 0.75 ≤ e_k ≤ 1.25. e_k MUST NOT reverse sign, erase or dilute a rights-floor breach, function as a hidden weight, or be used asymmetrically across compared options without explicit justification and sensitivity disclosure. Any non-default e_k requires PCC justification, declared reason code, source or instrument note, stated bounds, default-counterfactual disclosure (what happens at e_k = 1.00), and tier-appropriate sensitivity if the non-default value could materially affect admissibility or selection.</w:t>
      </w:r>
    </w:p>
    <w:p>
      <w:pPr>
        <w:pStyle w:val="FirstParagraph"/>
      </w:pPr>
      <w:r>
        <w:t xml:space="preserve">Audit trigger (Normative). If a non-default e_k is used without declared rationale, source or instrument note, stated bounds, or the required sensitivity record for the claimed tier, implementations MUST set audit flag EK_PARAMETER_UNJUSTIFIED. EK_PARAMETER_UNJUSTIFIED is INVALID for Tier 2-3 claimability until corrected or downgraded.</w:t>
      </w:r>
    </w:p>
    <w:p>
      <w:pPr>
        <w:pStyle w:val="BodyText"/>
      </w:pPr>
      <w:r>
        <w:t xml:space="preserve">Registry omission rule (Normative clarification). PCC.EKRegistry MAY be omitted when all impact instances in the run use e_k = 1.00 and no Tier-2 named-instrument exception is invoked.</w:t>
      </w:r>
    </w:p>
    <w:p>
      <w:pPr>
        <w:pStyle w:val="BodyText"/>
      </w:pPr>
      <w:r>
        <w:t xml:space="preserve">Registry note (Normative clarification). Implementations SHOULD restrict non-default e_k uses to a small declared registry (for example EQ_CORR, RESILIENCE_CORR, CONTEXT_CORR, or OTHER_DECLARED) and MUST apply the declared rule symmetrically across compared options unless the asymmetry itself is the subject of evaluation.</w:t>
      </w:r>
    </w:p>
    <w:p>
      <w:pPr>
        <w:pStyle w:val="BodyText"/>
      </w:pPr>
      <w:r>
        <w:rPr>
          <w:bCs/>
          <w:b/>
        </w:rPr>
        <w:t xml:space="preserve">Confidence-versus-uncertainty distinction (Normative clarification).</w:t>
      </w:r>
      <w:r>
        <w:t xml:space="preserve"> </w:t>
      </w:r>
      <w:r>
        <w:t xml:space="preserve">The instance factor</w:t>
      </w:r>
      <w:r>
        <w:t xml:space="preserve"> </w:t>
      </w:r>
      <w:r>
        <w:rPr>
          <w:rStyle w:val="VerbatimChar"/>
        </w:rPr>
        <w:t xml:space="preserve">c_k</w:t>
      </w:r>
      <w:r>
        <w:t xml:space="preserve"> </w:t>
      </w:r>
      <w:r>
        <w:t xml:space="preserve">is a declared governance shrinkage operator used to construct a conservative point estimate; it is not itself the uncertainty interval or probability that the effect is true. Cell-level</w:t>
      </w:r>
      <w:r>
        <w:t xml:space="preserve"> </w:t>
      </w:r>
      <w:r>
        <w:rPr>
          <w:rStyle w:val="VerbatimChar"/>
        </w:rPr>
        <w:t xml:space="preserve">σ(u,d,a)</w:t>
      </w:r>
      <w:r>
        <w:t xml:space="preserve"> </w:t>
      </w:r>
      <w:r>
        <w:t xml:space="preserve">represents a separate uncertainty surface. When the combined use of shrinkage and uncertainty could change admissibility, ranking, or decisiveness, the PCC MUST report an unshrunk effect sensitivity or an equivalent interval/distributional treatment and explain why the two operators are not double-counting the same evidence weakness.</w:t>
      </w:r>
    </w:p>
    <w:p>
      <w:pPr>
        <w:numPr>
          <w:ilvl w:val="0"/>
          <w:numId w:val="1005"/>
        </w:numPr>
        <w:pStyle w:val="Compact"/>
      </w:pPr>
      <w:r>
        <w:t xml:space="preserve">SGP v8.5 MPS records may affect protection posture, evidence requirements, and the welfare-inclusion hypothesis set used for robust RLS sensitivity. They MUST NOT be inserted directly as cardinal welfare multipliers. Every human person and FPP entity uses h_k=1. For other SGP-aware cases, include h_k=1 whenever direct welfare is a realistic or credible possibility; include h_k=0 as an exclusion hypothesis only where supported by admissible evidence. MPS-NE requires both inclusion and exclusion hypotheses when decision-material. SGP outputs MUST NOT weaken protection or alter NCRC, TRC, or CSV (Section 12; Appendix G).</w:t>
      </w:r>
    </w:p>
    <w:bookmarkEnd w:id="87"/>
    <w:bookmarkEnd w:id="88"/>
    <w:bookmarkStart w:id="90" w:name="Xd361fa995de573e42e96567fdfc4112d74b3758"/>
    <w:p>
      <w:pPr>
        <w:pStyle w:val="Heading2"/>
      </w:pPr>
      <w:r>
        <w:rPr>
          <w:bCs/>
          <w:b/>
        </w:rPr>
        <w:t xml:space="preserve">5.3 Temporal Weighting (Normative)</w:t>
      </w:r>
    </w:p>
    <w:p>
      <w:pPr>
        <w:pStyle w:val="FirstParagraph"/>
      </w:pPr>
      <w:r>
        <w:t xml:space="preserve">τ(t) = min(1, ln(1 + max(t, t_min)) / ln(1 + T_ref))</w:t>
      </w:r>
    </w:p>
    <w:p>
      <w:pPr>
        <w:pStyle w:val="BodyText"/>
      </w:pPr>
      <w:r>
        <w:t xml:space="preserve">Intuition anchor (informative): τ(t) is the fraction of full governance-horizon weight an effect receives.</w:t>
      </w:r>
    </w:p>
    <w:p>
      <w:pPr>
        <w:pStyle w:val="BodyText"/>
      </w:pPr>
      <w:r>
        <w:t xml:space="preserve">Defaults:</w:t>
      </w:r>
    </w:p>
    <w:p>
      <w:pPr>
        <w:pStyle w:val="BodyText"/>
      </w:pPr>
      <w:r>
        <w:t xml:space="preserve">t_min = 0.083 years (approximately 1 month; prevents τ(0) = 0)</w:t>
      </w:r>
    </w:p>
    <w:p>
      <w:pPr>
        <w:pStyle w:val="BodyText"/>
      </w:pPr>
      <w:r>
        <w:t xml:space="preserve">T_ref = 25 years (governance reference horizon)</w:t>
      </w:r>
    </w:p>
    <w:p>
      <w:pPr>
        <w:pStyle w:val="BodyText"/>
      </w:pPr>
      <w:r>
        <w:t xml:space="preserve">Illustrative values (with defaults):</w:t>
      </w:r>
    </w:p>
    <w:p>
      <w:pPr>
        <w:pStyle w:val="BodyText"/>
      </w:pPr>
      <w:r>
        <w:t xml:space="preserve">Design rationale: Logarithmic weighting preserves intergenerational salience relative to exponential discounting, which aggressively devalues future generations. The cap at T_ref prevents the anomaly where distant-future effects receive more weight than the governance horizon itself. T_ref is a governed parameter: governance bodies may adjust it (with PCC documentation and sensitivity analysis) but MUST NOT set T_ref &lt; 10 years without charter-level justification, as this would effectively suppress long-horizon considerations.</w:t>
      </w:r>
    </w:p>
    <w:p>
      <w:pPr>
        <w:pStyle w:val="BodyText"/>
      </w:pPr>
      <w:r>
        <w:t xml:space="preserve">Sensitivity note (Tier 3): T_ref SHOULD be perturbed (for example, T_ref = 15 and T_ref = 50) as part of the sensitivity bundle. If selection changes under T_ref perturbation, the PCC MUST document this sensitivity.</w:t>
      </w:r>
    </w:p>
    <w:p>
      <w:pPr>
        <w:pStyle w:val="BodyText"/>
      </w:pPr>
      <w:r>
        <w:t xml:space="preserve">Historical change note (v7.5.0; carried forward unchanged in v9.0): This replaces the uncapped τ(t) = ln(1+t)/ln(1+T_ref) used in v7.4.5, which produced τ(50) ≈ 1.22. The capped version is normatively preferred because temporal weight beyond the governance horizon should not exceed the horizon weight. All prior PCCs computed under v7.4.5 remain valid as lineage material; recomputation is recommended for active decisions with t &gt; T_ref impacts.</w:t>
      </w:r>
    </w:p>
    <w:p>
      <w:pPr>
        <w:pStyle w:val="BodyText"/>
      </w:pPr>
      <w:r>
        <w:t xml:space="preserve">τ(100) = 1.00 (capped)</w:t>
      </w:r>
    </w:p>
    <w:p>
      <w:pPr>
        <w:pStyle w:val="BodyText"/>
      </w:pPr>
      <w:r>
        <w:t xml:space="preserve">τ(50) = 1.00 (capped: no bonus beyond T_ref)</w:t>
      </w:r>
    </w:p>
    <w:p>
      <w:pPr>
        <w:pStyle w:val="BodyText"/>
      </w:pPr>
      <w:r>
        <w:t xml:space="preserve">τ(25) = 1.00 (reference horizon: full weight)</w:t>
      </w:r>
    </w:p>
    <w:p>
      <w:pPr>
        <w:pStyle w:val="BodyText"/>
      </w:pPr>
      <w:r>
        <w:t xml:space="preserve">τ(10) ≈ 0.74 (10 years)</w:t>
      </w:r>
    </w:p>
    <w:p>
      <w:pPr>
        <w:pStyle w:val="BodyText"/>
      </w:pPr>
      <w:r>
        <w:t xml:space="preserve">τ(5) ≈ 0.55 (5 years)</w:t>
      </w:r>
    </w:p>
    <w:p>
      <w:pPr>
        <w:pStyle w:val="BodyText"/>
      </w:pPr>
      <w:r>
        <w:t xml:space="preserve">τ(1) ≈ 0.21 (1 year)</w:t>
      </w:r>
    </w:p>
    <w:p>
      <w:pPr>
        <w:pStyle w:val="BodyText"/>
      </w:pPr>
      <w:r>
        <w:t xml:space="preserve">τ(0.083) ≈ 0.025 (1 month: minimal but nonzero)</w:t>
      </w:r>
    </w:p>
    <w:p>
      <w:pPr>
        <w:pStyle w:val="BodyText"/>
      </w:pPr>
      <w:r>
        <w:t xml:space="preserve">The min(1, ·) cap ensures that no effect receives more temporal weight than the reference horizon. Effects at or beyond T_ref receive full weight (τ = 1.0); effects below T_ref receive proportionally less weight on a logarithmic curve. The t_min floor ensures that very short-term effects are not zeroed out.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Time Horizon (years)</w:t>
            </w:r>
          </w:p>
        </w:tc>
        <w:tc>
          <w:tcPr>
            <w:shd w:val="clear" w:color="auto" w:fill="D9EAF7"/>
            <w:vAlign w:val="center"/>
          </w:tcPr>
          <w:p>
            <w:pPr>
              <w:pStyle w:val="Compact"/>
              <w:jc w:val="left"/>
            </w:pPr>
            <w:r>
              <w:rPr>
                <w:bCs/>
                <w:b/>
                <w:color w:val="17365D"/>
              </w:rPr>
              <w:t xml:space="preserve">τ(t) Value</w:t>
            </w:r>
          </w:p>
        </w:tc>
      </w:tr>
      <w:tr>
        <w:tc>
          <w:tcPr>
            <w:vAlign w:val="top"/>
          </w:tcPr>
          <w:p>
            <w:pPr>
              <w:pStyle w:val="Compact"/>
              <w:jc w:val="left"/>
            </w:pPr>
            <w:r>
              <w:t xml:space="preserve">1</w:t>
            </w:r>
          </w:p>
        </w:tc>
        <w:tc>
          <w:tcPr>
            <w:vAlign w:val="top"/>
          </w:tcPr>
          <w:p>
            <w:pPr>
              <w:pStyle w:val="Compact"/>
              <w:jc w:val="left"/>
            </w:pPr>
            <w:r>
              <w:t xml:space="preserve">≈ 0.21</w:t>
            </w:r>
          </w:p>
        </w:tc>
      </w:tr>
      <w:tr>
        <w:tc>
          <w:tcPr>
            <w:shd w:val="clear" w:color="auto" w:fill="F7FBFE"/>
            <w:vAlign w:val="top"/>
          </w:tcPr>
          <w:p>
            <w:pPr>
              <w:pStyle w:val="Compact"/>
              <w:jc w:val="left"/>
            </w:pPr>
            <w:r>
              <w:t xml:space="preserve">5</w:t>
            </w:r>
          </w:p>
        </w:tc>
        <w:tc>
          <w:tcPr>
            <w:shd w:val="clear" w:color="auto" w:fill="F7FBFE"/>
            <w:vAlign w:val="top"/>
          </w:tcPr>
          <w:p>
            <w:pPr>
              <w:pStyle w:val="Compact"/>
              <w:jc w:val="left"/>
            </w:pPr>
            <w:r>
              <w:t xml:space="preserve">≈ 0.55</w:t>
            </w:r>
          </w:p>
        </w:tc>
      </w:tr>
      <w:tr>
        <w:tc>
          <w:tcPr>
            <w:vAlign w:val="top"/>
          </w:tcPr>
          <w:p>
            <w:pPr>
              <w:pStyle w:val="Compact"/>
              <w:jc w:val="left"/>
            </w:pPr>
            <w:r>
              <w:t xml:space="preserve">10</w:t>
            </w:r>
          </w:p>
        </w:tc>
        <w:tc>
          <w:tcPr>
            <w:vAlign w:val="top"/>
          </w:tcPr>
          <w:p>
            <w:pPr>
              <w:pStyle w:val="Compact"/>
              <w:jc w:val="left"/>
            </w:pPr>
            <w:r>
              <w:t xml:space="preserve">≈ 0.74</w:t>
            </w:r>
          </w:p>
        </w:tc>
      </w:tr>
      <w:tr>
        <w:tc>
          <w:tcPr>
            <w:shd w:val="clear" w:color="auto" w:fill="F7FBFE"/>
            <w:vAlign w:val="top"/>
          </w:tcPr>
          <w:p>
            <w:pPr>
              <w:pStyle w:val="Compact"/>
              <w:jc w:val="left"/>
            </w:pPr>
            <w:r>
              <w:t xml:space="preserve">25</w:t>
            </w:r>
          </w:p>
        </w:tc>
        <w:tc>
          <w:tcPr>
            <w:shd w:val="clear" w:color="auto" w:fill="F7FBFE"/>
            <w:vAlign w:val="top"/>
          </w:tcPr>
          <w:p>
            <w:pPr>
              <w:pStyle w:val="Compact"/>
              <w:jc w:val="left"/>
            </w:pPr>
            <w:r>
              <w:t xml:space="preserve">1.00</w:t>
            </w:r>
          </w:p>
        </w:tc>
      </w:tr>
    </w:tbl>
    <w:bookmarkStart w:id="89" w:name="Xc7ab501d2f1b11b4f5ec87ebbd92872aa94e203"/>
    <w:p>
      <w:pPr>
        <w:pStyle w:val="Heading3"/>
      </w:pPr>
      <w:r>
        <w:rPr>
          <w:bCs/>
          <w:b/>
        </w:rPr>
        <w:t xml:space="preserve">5.3A Short-Duration Peak-Harm Diagnostic (Normative supplement)</w:t>
      </w:r>
    </w:p>
    <w:p>
      <w:pPr>
        <w:pStyle w:val="FirstParagraph"/>
      </w:pPr>
      <w:r>
        <w:t xml:space="preserve">Temporal weighting estimates duration-integrated welfare burden. It MUST NOT be interpreted as evidence that an intense short-duration harm is trivial. For every adverse non-rights instance with</w:t>
      </w:r>
      <w:r>
        <w:t xml:space="preserve"> </w:t>
      </w:r>
      <w:r>
        <w:rPr>
          <w:rStyle w:val="VerbatimChar"/>
        </w:rPr>
        <w:t xml:space="preserve">|μ_k| &gt;= 0.50</w:t>
      </w:r>
      <w:r>
        <w:t xml:space="preserve"> </w:t>
      </w:r>
      <w:r>
        <w:t xml:space="preserve">and</w:t>
      </w:r>
      <w:r>
        <w:t xml:space="preserve"> </w:t>
      </w:r>
      <w:r>
        <w:rPr>
          <w:rStyle w:val="VerbatimChar"/>
        </w:rPr>
        <w:t xml:space="preserve">τ(t_k) &lt; 0.10</w:t>
      </w:r>
      <w:r>
        <w:t xml:space="preserve">, the PCC MUST record a</w:t>
      </w:r>
      <w:r>
        <w:t xml:space="preserve"> </w:t>
      </w:r>
      <w:r>
        <w:rPr>
          <w:rStyle w:val="VerbatimChar"/>
        </w:rPr>
        <w:t xml:space="preserve">PeakHarmReview</w:t>
      </w:r>
      <w:r>
        <w:t xml:space="preserve"> </w:t>
      </w:r>
      <w:r>
        <w:t>containing unattenuated peak severity, affected subgroup, reversibility, recurrence risk, mitigation, and whether the harm should enter RF/NCRC, TRC, or CSV instead of remaining ordinary welfare. Tier 3 and high-stakes Tier 2 runs MUST include a sensitivity result that combines the ordinary duration-weighted contribution with a separately disclosed peak-severity diagnostic. This supplement does not convert every brief harm into a rights violation; it prevents duration weighting from hiding intense episodic burdens.</w:t>
      </w:r>
    </w:p>
    <w:bookmarkEnd w:id="89"/>
    <w:bookmarkEnd w:id="90"/>
    <w:bookmarkStart w:id="91" w:name="Xab3dfd5cd8a286f3d0036538fb86cf8ae0a7c19"/>
    <w:p>
      <w:pPr>
        <w:pStyle w:val="Heading2"/>
      </w:pPr>
      <w:r>
        <w:rPr>
          <w:bCs/>
          <w:b/>
        </w:rPr>
        <w:t xml:space="preserve">5.4 Pre-Saturation Direct Impact Aggregation (Normative)</w:t>
      </w:r>
    </w:p>
    <w:p>
      <w:pPr>
        <w:pStyle w:val="FirstParagraph"/>
      </w:pPr>
      <w:r>
        <w:t xml:space="preserve">For option a, union u, dimension d, define the pre-saturation direct impact per stream x ∈ {base, welfare}:</w:t>
      </w:r>
    </w:p>
    <w:p>
      <w:pPr>
        <w:pStyle w:val="BodyText"/>
      </w:pPr>
      <w:r>
        <w:t xml:space="preserve">Ĩ_dir,x(u,d,a) = Σ_{k ∈ K(u,d,a)} [r_k × τ(t_k) × ℓ_k × c_k × e_k × h_{k,x} × μ_k]</w:t>
      </w:r>
    </w:p>
    <w:p>
      <w:pPr>
        <w:pStyle w:val="BodyText"/>
      </w:pPr>
      <w:r>
        <w:t xml:space="preserve">where h_{k,base} := 1.0 for all impact instances. For the Welfare stream, each sensitivity evaluation j uses h_{k,welfare}^{(j)} from the governed welfare-inclusion hypothesis set permitted by Section 12 and Appendix G. MPS bands and intervals inform evidence posture and which hypotheses must be tested; they do not numerically set h_k. Every decision-material hypothesis endpoint MUST be evaluated. When the stream is clear from context, the shorthand Ĩ_dir(u,d,a) may be used. Appendix B controls the stream-separated equations.</w:t>
      </w:r>
    </w:p>
    <w:bookmarkEnd w:id="91"/>
    <w:bookmarkStart w:id="92" w:name="X899dd46cf844a454b963add008f642e1a007c53"/>
    <w:p>
      <w:pPr>
        <w:pStyle w:val="Heading2"/>
      </w:pPr>
      <w:r>
        <w:rPr>
          <w:bCs/>
          <w:b/>
        </w:rPr>
        <w:t xml:space="preserve">5.5 Saturation (Normative)</w:t>
      </w:r>
    </w:p>
    <w:p>
      <w:pPr>
        <w:pStyle w:val="FirstParagraph"/>
      </w:pPr>
      <w:r>
        <w:t xml:space="preserve">To ensure all direct impacts lie in [-1,+1] and avoid runaway totals, RippleLogic uses smooth saturation:</w:t>
      </w:r>
    </w:p>
    <w:p>
      <w:pPr>
        <w:pStyle w:val="BodyText"/>
      </w:pPr>
      <w:r>
        <w:t xml:space="preserve">I_dir(u,d,a) = tanh(β × Ĩ_dir(u,d,a))</w:t>
      </w:r>
    </w:p>
    <w:p>
      <w:pPr>
        <w:pStyle w:val="BodyText"/>
      </w:pPr>
      <w:r>
        <w:t xml:space="preserve">Default: β = 2.</w:t>
      </w:r>
    </w:p>
    <w:p>
      <w:pPr>
        <w:pStyle w:val="BodyText"/>
      </w:pPr>
      <w:r>
        <w:rPr>
          <w:bCs/>
          <w:b/>
        </w:rPr>
        <w:t xml:space="preserve">Saturation-parameter governance (Normative).</w:t>
      </w:r>
      <w:r>
        <w:t xml:space="preserve"> </w:t>
      </w:r>
      <w:r>
        <w:rPr>
          <w:rStyle w:val="VerbatimChar"/>
        </w:rPr>
        <w:t xml:space="preserve">β</w:t>
      </w:r>
      <w:r>
        <w:t xml:space="preserve"> </w:t>
      </w:r>
      <w:r>
        <w:t xml:space="preserve">is a governed shaping parameter, not a natural constant. Every Tier 2-3 PCC MUST record</w:t>
      </w:r>
      <w:r>
        <w:t xml:space="preserve"> </w:t>
      </w:r>
      <w:r>
        <w:rPr>
          <w:rStyle w:val="VerbatimChar"/>
        </w:rPr>
        <w:t xml:space="preserve">beta_direct</w:t>
      </w:r>
      <w:r>
        <w:t xml:space="preserve">; every Tier 3 and high-stakes Tier 2 run MUST report sensitivity over a preregistered range that includes the identity-near case and the canonical default (normally at least</w:t>
      </w:r>
      <w:r>
        <w:t xml:space="preserve"> </w:t>
      </w:r>
      <w:r>
        <w:rPr>
          <w:rStyle w:val="VerbatimChar"/>
        </w:rPr>
        <w:t xml:space="preserve">β ∈ {1.0, 1.5, 2.0, 2.5}</w:t>
      </w:r>
      <w:r>
        <w:t xml:space="preserve"> </w:t>
      </w:r>
      <w:r>
        <w:t xml:space="preserve">unless the domain profile justifies another range). A non-default value MUST be set before outcome inspection, justified by a named domain or governance source, applied symmetrically across compared options, and accompanied by the default counterfactual. If admissibility, ranking, or decisiveness changes materially across the required range, the result is saturation-sensitive and MUST be narrowed, escalated, routed to accountable authority, or treated as non-decisive for the stronger claim.</w:t>
      </w:r>
    </w:p>
    <w:bookmarkEnd w:id="92"/>
    <w:bookmarkStart w:id="95" w:name="X7df25728a0c01132c329456cdb95b079a70490f"/>
    <w:p>
      <w:pPr>
        <w:pStyle w:val="Heading2"/>
      </w:pPr>
      <w:r>
        <w:rPr>
          <w:bCs/>
          <w:b/>
        </w:rPr>
        <w:t xml:space="preserve">5.6 Magnitude Construction μ_k: Canonical Anchoring Methods (Normative)</w:t>
      </w:r>
    </w:p>
    <w:p>
      <w:pPr>
        <w:pStyle w:val="FirstParagraph"/>
      </w:pPr>
      <w:r>
        <w:t xml:space="preserve">Magnitude μ_k MUST represent a baseline-relative change on the normalized [-1,+1] scale. RippleLogic permits two canonical anchoring families:</w:t>
      </w:r>
    </w:p>
    <w:bookmarkStart w:id="93" w:name="X797eacc5b11bd3cd425ee0d3428cbf22d0f354b"/>
    <w:p>
      <w:pPr>
        <w:pStyle w:val="Heading3"/>
      </w:pPr>
      <w:r>
        <w:rPr>
          <w:bCs/>
          <w:b/>
        </w:rPr>
        <w:t xml:space="preserve">5.6.1 Percentile Anchoring (Default for non-rights cells)</w:t>
      </w:r>
    </w:p>
    <w:p>
      <w:pPr>
        <w:pStyle w:val="FirstParagraph"/>
      </w:pPr>
      <w:r>
        <w:t xml:space="preserve">Let x be the raw indicator (higher-is-better unless specified). Let P₅, P₅₀, P₉₅ be the 5th, 50th, and 95th percentiles of x in a declared reference class.</w:t>
      </w:r>
    </w:p>
    <w:p>
      <w:pPr>
        <w:pStyle w:val="BodyText"/>
      </w:pPr>
      <w:r>
        <w:t xml:space="preserve">Define a bounded level score:</w:t>
      </w:r>
    </w:p>
    <w:p>
      <w:pPr>
        <w:pStyle w:val="BodyText"/>
      </w:pPr>
      <w:r>
        <w:t xml:space="preserve">If x ≥ P₅₀:</w:t>
      </w:r>
    </w:p>
    <w:p>
      <w:pPr>
        <w:pStyle w:val="BodyText"/>
      </w:pPr>
      <w:r>
        <w:t xml:space="preserve">S(x) = clip((x − P₅₀) / (P₉₅ − P₅₀), 0, +1)</w:t>
      </w:r>
    </w:p>
    <w:p>
      <w:pPr>
        <w:pStyle w:val="BodyText"/>
      </w:pPr>
      <w:r>
        <w:t xml:space="preserve">If x &lt; P₅₀:</w:t>
      </w:r>
    </w:p>
    <w:p>
      <w:pPr>
        <w:pStyle w:val="BodyText"/>
      </w:pPr>
      <w:r>
        <w:t xml:space="preserve">S(x) = clip((x − P₅₀) / (P₅₀ − P₅), −1, 0)</w:t>
      </w:r>
    </w:p>
    <w:p>
      <w:pPr>
        <w:pStyle w:val="BodyText"/>
      </w:pPr>
      <w:r>
        <w:t xml:space="preserve">Edge-case guard (Normative). If (P₉₅ − P₅₀) = 0 OR (P₅₀ − P₅) = 0 (or numerically indistinguishable), percentile anchoring is undefined. The analyst MUST either (a) change the declared reference class, (b) use an alternate canonical anchoring method with explicit PCC justification, or (c) mark the affected impact instances as UNKNOWN_IMPACT and treat the cell as phantom-active under the Phantom Instance Rule until repaired. A run MUST NOT silently divide by zero or substitute arbitrary epsilons without PCC disclosure.</w:t>
      </w:r>
    </w:p>
    <w:p>
      <w:pPr>
        <w:pStyle w:val="BodyText"/>
      </w:pPr>
      <w:r>
        <w:t xml:space="preserve">Then define magnitude as a baseline-relative delta:</w:t>
      </w:r>
    </w:p>
    <w:p>
      <w:pPr>
        <w:pStyle w:val="BodyText"/>
      </w:pPr>
      <w:r>
        <w:t xml:space="preserve">μ_k = clip(S(x_a) − S(x₀), -1, +1)</w:t>
      </w:r>
    </w:p>
    <w:p>
      <w:pPr>
        <w:pStyle w:val="BodyText"/>
      </w:pPr>
      <w:r>
        <w:t xml:space="preserve">Where x₀ is baseline indicator value, and x_a is the predicted value under option a.</w:t>
      </w:r>
    </w:p>
    <w:p>
      <w:pPr>
        <w:pStyle w:val="BodyText"/>
      </w:pPr>
      <w:r>
        <w:t xml:space="preserve">If higher values are worse (for example, mortality rate), use:</w:t>
      </w:r>
    </w:p>
    <w:p>
      <w:pPr>
        <w:pStyle w:val="BodyText"/>
      </w:pPr>
      <w:r>
        <w:t xml:space="preserve">S_worse(x) = −S(x)</w:t>
      </w:r>
    </w:p>
    <w:p>
      <w:pPr>
        <w:pStyle w:val="BodyText"/>
      </w:pPr>
      <w:r>
        <w:t xml:space="preserve">Normative requirement: The PCC MUST record the reference class and percentile values used.</w:t>
      </w:r>
    </w:p>
    <w:bookmarkEnd w:id="93"/>
    <w:bookmarkStart w:id="94" w:name="X1c1dc9d920ddcabe3972d7b505889fc2e5b7b9a"/>
    <w:p>
      <w:pPr>
        <w:pStyle w:val="Heading3"/>
      </w:pPr>
      <w:r>
        <w:rPr>
          <w:bCs/>
          <w:b/>
        </w:rPr>
        <w:t xml:space="preserve">5.6.2 Threshold Anchoring (Required for rights-covered cells unless invariant reference is declared)</w:t>
      </w:r>
    </w:p>
    <w:p>
      <w:pPr>
        <w:pStyle w:val="FirstParagraph"/>
      </w:pPr>
      <w:r>
        <w:t xml:space="preserve">For rights-covered cells (cells in any rights coverage set C_r), analysts MUST NOT use context-local percentile anchoring unless the reference class is declared invariant under governance.</w:t>
      </w:r>
    </w:p>
    <w:p>
      <w:pPr>
        <w:pStyle w:val="BodyText"/>
      </w:pPr>
      <w:r>
        <w:t xml:space="preserve">Default rule (Tier 1-3): Rights-covered magnitudes MUST be derived using threshold anchoring with explicit “good/bad” anchors so that rights semantics do not drift.</w:t>
      </w:r>
    </w:p>
    <w:p>
      <w:pPr>
        <w:pStyle w:val="BodyText"/>
      </w:pPr>
      <w:r>
        <w:t xml:space="preserve">Let x_good be the indicator level consistent with rights-safe conditions and x_bad be the indicator level representing a severe rights violation onset. Map to a bounded level score:</w:t>
      </w:r>
    </w:p>
    <w:p>
      <w:pPr>
        <w:pStyle w:val="BodyText"/>
      </w:pPr>
      <w:r>
        <w:t xml:space="preserve">For higher-is-better indicators: S(x) = clip((x − x_bad) / (x_good − x_bad), -1, +1)</w:t>
      </w:r>
    </w:p>
    <w:p>
      <w:pPr>
        <w:pStyle w:val="BodyText"/>
      </w:pPr>
      <w:r>
        <w:t xml:space="preserve">Edge-case guard (Normative). If (x_good − x_bad) = 0 (or anchors are otherwise degenerate), threshold anchoring is undefined. The analyst MUST either (a) repair anchors via governed reference conditions, or (b) mark the affected impacts as UNKNOWN_IMPACT and treat the cell as phantom-active under the Phantom Instance Rule until repaired. A run MUST NOT compute a finite score from degenerate anchors.</w:t>
      </w:r>
    </w:p>
    <w:p>
      <w:pPr>
        <w:pStyle w:val="BodyText"/>
      </w:pPr>
      <w:r>
        <w:t xml:space="preserve">For higher-is-worse indicators: S(x) = clip((x_bad − x) / (x_bad − x_good), -1, +1)</w:t>
      </w:r>
    </w:p>
    <w:p>
      <w:pPr>
        <w:pStyle w:val="BodyText"/>
      </w:pPr>
      <w:r>
        <w:t xml:space="preserve">Then compute baseline-delta magnitude:</w:t>
      </w:r>
    </w:p>
    <w:p>
      <w:pPr>
        <w:pStyle w:val="BodyText"/>
      </w:pPr>
      <w:r>
        <w:t xml:space="preserve">μ_k = clip(S(x_a) − S(x₀), -1, +1)</w:t>
      </w:r>
    </w:p>
    <w:p>
      <w:pPr>
        <w:pStyle w:val="BodyText"/>
      </w:pPr>
      <w:r>
        <w:t xml:space="preserve">Normative requirement: The PCC MUST record x_good, x_bad, indicator definition, and direction.</w:t>
      </w:r>
    </w:p>
    <w:p>
      <w:pPr>
        <w:pStyle w:val="BodyText"/>
      </w:pPr>
      <w:r>
        <w:t xml:space="preserve">Magnitude construction for rights-covered cells (C_r cells). For rights-covered cells, magnitudes MUST be derived using threshold anchoring with explicit reference conditions aligned to rights semantics (Section 7.1.1), preventing the context-local drift that percentile anchoring would permit. The PCC MUST record x_good, x_bad, indicator definition, direction, and the source/justification for the anchor values. This requirement applies to all tiers when rights-covered cells are quantitatively assessed.</w:t>
      </w:r>
    </w:p>
    <w:bookmarkEnd w:id="94"/>
    <w:bookmarkEnd w:id="95"/>
    <w:bookmarkStart w:id="96" w:name="X67ea088558c3acb63113efb8f8e0f8a56db0160"/>
    <w:p>
      <w:pPr>
        <w:pStyle w:val="Heading2"/>
      </w:pPr>
      <w:r>
        <w:rPr>
          <w:bCs/>
          <w:b/>
        </w:rPr>
        <w:t xml:space="preserve">5.7 Missing Data Rule (Ignorance Penalty) (Normative)</w:t>
      </w:r>
    </w:p>
    <w:p>
      <w:pPr>
        <w:pStyle w:val="FirstParagraph"/>
      </w:pPr>
      <w:r>
        <w:t xml:space="preserve">To prevent score inflation by omission:</w:t>
      </w:r>
    </w:p>
    <w:p>
      <w:pPr>
        <w:pStyle w:val="BodyText"/>
      </w:pPr>
      <w:r>
        <w:t xml:space="preserve">If a welfare cell (u,d) is active (required by tier context and not masked for RLS), but no defensible instances can be specified, the PCC MUST:</w:t>
      </w:r>
    </w:p>
    <w:p>
      <w:pPr>
        <w:numPr>
          <w:ilvl w:val="0"/>
          <w:numId w:val="1006"/>
        </w:numPr>
        <w:pStyle w:val="Compact"/>
      </w:pPr>
      <w:r>
        <w:t xml:space="preserve">Mark the cell as “UNKNOWN_IMPACT”, and</w:t>
      </w:r>
    </w:p>
    <w:p>
      <w:pPr>
        <w:numPr>
          <w:ilvl w:val="0"/>
          <w:numId w:val="1007"/>
        </w:numPr>
        <w:pStyle w:val="Compact"/>
      </w:pPr>
      <w:r>
        <w:t xml:space="preserve">Include a phantom instance with canonical parameters: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Parameter</w:t>
            </w:r>
          </w:p>
        </w:tc>
        <w:tc>
          <w:tcPr>
            <w:shd w:val="clear" w:color="auto" w:fill="D9EAF7"/>
            <w:vAlign w:val="center"/>
          </w:tcPr>
          <w:p>
            <w:pPr>
              <w:pStyle w:val="Compact"/>
              <w:jc w:val="left"/>
            </w:pPr>
            <w:r>
              <w:rPr>
                <w:bCs/>
                <w:b/>
                <w:color w:val="17365D"/>
              </w:rPr>
              <w:t xml:space="preserve">Phantom Value</w:t>
            </w:r>
          </w:p>
        </w:tc>
      </w:tr>
      <w:tr>
        <w:tc>
          <w:tcPr>
            <w:vAlign w:val="top"/>
          </w:tcPr>
          <w:p>
            <w:pPr>
              <w:pStyle w:val="Compact"/>
              <w:jc w:val="left"/>
            </w:pPr>
            <w:r>
              <w:t xml:space="preserve">μ_phantom</w:t>
            </w:r>
          </w:p>
        </w:tc>
        <w:tc>
          <w:tcPr>
            <w:vAlign w:val="top"/>
          </w:tcPr>
          <w:p>
            <w:pPr>
              <w:pStyle w:val="Compact"/>
              <w:jc w:val="left"/>
            </w:pPr>
            <w:r>
              <w:t xml:space="preserve">-0.10</w:t>
            </w:r>
          </w:p>
        </w:tc>
      </w:tr>
      <w:tr>
        <w:tc>
          <w:tcPr>
            <w:shd w:val="clear" w:color="auto" w:fill="F7FBFE"/>
            <w:vAlign w:val="top"/>
          </w:tcPr>
          <w:p>
            <w:pPr>
              <w:pStyle w:val="Compact"/>
              <w:jc w:val="left"/>
            </w:pPr>
            <w:r>
              <w:t xml:space="preserve">r</w:t>
            </w:r>
          </w:p>
        </w:tc>
        <w:tc>
          <w:tcPr>
            <w:shd w:val="clear" w:color="auto" w:fill="F7FBFE"/>
            <w:vAlign w:val="top"/>
          </w:tcPr>
          <w:p>
            <w:pPr>
              <w:pStyle w:val="Compact"/>
              <w:jc w:val="left"/>
            </w:pPr>
            <w:r>
              <w:t xml:space="preserve">1</w:t>
            </w:r>
          </w:p>
        </w:tc>
      </w:tr>
      <w:tr>
        <w:tc>
          <w:tcPr>
            <w:vAlign w:val="top"/>
          </w:tcPr>
          <w:p>
            <w:pPr>
              <w:pStyle w:val="Compact"/>
              <w:jc w:val="left"/>
            </w:pPr>
            <w:r>
              <w:t xml:space="preserve">t</w:t>
            </w:r>
          </w:p>
        </w:tc>
        <w:tc>
          <w:tcPr>
            <w:vAlign w:val="top"/>
          </w:tcPr>
          <w:p>
            <w:pPr>
              <w:pStyle w:val="Compact"/>
              <w:jc w:val="left"/>
            </w:pPr>
            <w:r>
              <w:t xml:space="preserve">T_ref (25 years)</w:t>
            </w:r>
          </w:p>
        </w:tc>
      </w:tr>
      <w:tr>
        <w:tc>
          <w:tcPr>
            <w:shd w:val="clear" w:color="auto" w:fill="F7FBFE"/>
            <w:vAlign w:val="top"/>
          </w:tcPr>
          <w:p>
            <w:pPr>
              <w:pStyle w:val="Compact"/>
              <w:jc w:val="left"/>
            </w:pPr>
            <w:r>
              <w:t xml:space="preserve">ℓ</w:t>
            </w:r>
          </w:p>
        </w:tc>
        <w:tc>
          <w:tcPr>
            <w:shd w:val="clear" w:color="auto" w:fill="F7FBFE"/>
            <w:vAlign w:val="top"/>
          </w:tcPr>
          <w:p>
            <w:pPr>
              <w:pStyle w:val="Compact"/>
              <w:jc w:val="left"/>
            </w:pPr>
            <w:r>
              <w:t xml:space="preserve">1</w:t>
            </w:r>
          </w:p>
        </w:tc>
      </w:tr>
      <w:tr>
        <w:tc>
          <w:tcPr>
            <w:vAlign w:val="top"/>
          </w:tcPr>
          <w:p>
            <w:pPr>
              <w:pStyle w:val="Compact"/>
              <w:jc w:val="left"/>
            </w:pPr>
            <w:r>
              <w:t xml:space="preserve">c</w:t>
            </w:r>
          </w:p>
        </w:tc>
        <w:tc>
          <w:tcPr>
            <w:vAlign w:val="top"/>
          </w:tcPr>
          <w:p>
            <w:pPr>
              <w:pStyle w:val="Compact"/>
              <w:jc w:val="left"/>
            </w:pPr>
            <w:r>
              <w:t xml:space="preserve">1</w:t>
            </w:r>
          </w:p>
        </w:tc>
      </w:tr>
      <w:tr>
        <w:tc>
          <w:tcPr>
            <w:shd w:val="clear" w:color="auto" w:fill="F7FBFE"/>
            <w:vAlign w:val="top"/>
          </w:tcPr>
          <w:p>
            <w:pPr>
              <w:pStyle w:val="Compact"/>
              <w:jc w:val="left"/>
            </w:pPr>
            <w:r>
              <w:t xml:space="preserve">e</w:t>
            </w:r>
          </w:p>
        </w:tc>
        <w:tc>
          <w:tcPr>
            <w:shd w:val="clear" w:color="auto" w:fill="F7FBFE"/>
            <w:vAlign w:val="top"/>
          </w:tcPr>
          <w:p>
            <w:pPr>
              <w:pStyle w:val="Compact"/>
              <w:jc w:val="left"/>
            </w:pPr>
            <w:r>
              <w:t xml:space="preserve">1</w:t>
            </w:r>
          </w:p>
        </w:tc>
      </w:tr>
      <w:tr>
        <w:tc>
          <w:tcPr>
            <w:vAlign w:val="top"/>
          </w:tcPr>
          <w:p>
            <w:pPr>
              <w:pStyle w:val="Compact"/>
              <w:jc w:val="left"/>
            </w:pPr>
            <w:r>
              <w:t xml:space="preserve">h_{k,base}</w:t>
            </w:r>
          </w:p>
        </w:tc>
        <w:tc>
          <w:tcPr>
            <w:vAlign w:val="top"/>
          </w:tcPr>
          <w:p>
            <w:pPr>
              <w:pStyle w:val="Compact"/>
              <w:jc w:val="left"/>
            </w:pPr>
            <w:r>
              <w:t xml:space="preserve">1</w:t>
            </w:r>
          </w:p>
        </w:tc>
      </w:tr>
      <w:tr>
        <w:tc>
          <w:tcPr>
            <w:shd w:val="clear" w:color="auto" w:fill="F7FBFE"/>
            <w:vAlign w:val="top"/>
          </w:tcPr>
          <w:p>
            <w:pPr>
              <w:pStyle w:val="Compact"/>
              <w:jc w:val="left"/>
            </w:pPr>
            <w:r>
              <w:t xml:space="preserve">h_{k,welfare}</w:t>
            </w:r>
          </w:p>
        </w:tc>
        <w:tc>
          <w:tcPr>
            <w:shd w:val="clear" w:color="auto" w:fill="F7FBFE"/>
            <w:vAlign w:val="top"/>
          </w:tcPr>
          <w:p>
            <w:pPr>
              <w:pStyle w:val="Compact"/>
              <w:jc w:val="left"/>
            </w:pPr>
            <w:r>
              <w:t xml:space="preserve">1</w:t>
            </w:r>
          </w:p>
        </w:tc>
      </w:tr>
    </w:tbl>
    <w:p>
      <w:pPr>
        <w:pStyle w:val="BodyText"/>
      </w:pPr>
      <w:r>
        <w:t xml:space="preserve">This yields a mild negative default rather than unjustified neutrality.</w:t>
      </w:r>
    </w:p>
    <w:p>
      <w:pPr>
        <w:pStyle w:val="BodyText"/>
      </w:pPr>
      <w:r>
        <w:t>Calibration rationale (Informative). The phantom magnitude mu_phantom = -0.10 is a governance prior set to satisfy two constraints simultaneously: it must be negative enough that omitting evidence is worse than reporting neutral impact (preventing score inflation by ignorance), and it must be small enough in absolute value that phantom instances do not dominate well-evidenced cells when multiple unknowns coexist in a run. At mu = -0.10 with default parameters (r=1, t=T_ref, l=1, c=1), the phantom produces a saturated direct impact of approximately -0.20 per cell. In a run with uniform weights across 49 cells, a single phantom cell contributes roughly 0.004 to the total RLS magnitude, which is detectable in audit but not decisive unless many cells are unknown simultaneously. If roughly five to seven cells carry phantom instances under uniform 49-cell weights, the cumulative penalty is approximately -0.02 to -0.03 in RLS; additional phantom-active cells increase the magnitude further. This creates a meaningful incentive to gather evidence without treating the convention as empirical harm evidence. The value -0.10 is a governance prior, not an empirically validated optimum. It is explicitly challengeable under standard governance rules; any revision requires justification, version increment, and sensitivity analysis over a reference decision suite.</w:t>
      </w:r>
    </w:p>
    <w:p>
      <w:pPr>
        <w:pStyle w:val="BodyText"/>
      </w:pPr>
      <w:r>
        <w:rPr>
          <w:bCs/>
          <w:b/>
        </w:rPr>
        <w:t xml:space="preserve">Phantom-dependence rule (Normative).</w:t>
      </w:r>
      <w:r>
        <w:t xml:space="preserve"> </w:t>
      </w:r>
      <w:r>
        <w:t xml:space="preserve">A phantom value is an ignorance-management convention, not evidence that harm occurred. For Tier 3 and decision-material or high-stakes Tier 2 runs, the PCC MUST report the number and locations of phantom-active cells, the RLS ranking with and without phantom instances, and a governed unknown or adverse-bound sensitivity where feasible. If the preferred option, decisiveness classification, or public conclusion changes materially because of the phantom convention, the result MUST be treated as phantom-sensitive and therefore non-decisive, narrowed, escalated, or refused for the stronger claim. Analysts MUST NOT add weak estimates merely to avoid the phantom rule or manipulate the active-cell set to advantage an option.</w:t>
      </w:r>
    </w:p>
    <w:p>
      <w:pPr>
        <w:pStyle w:val="BodyText"/>
      </w:pPr>
      <w:r>
        <w:t xml:space="preserve">Clarification: This rule does not apply to cells that are legitimately out of scope and properly masked with justification; it DOES apply to non-maskable cells and to any cell required by the tier’s minimum coverage rules.</w:t>
      </w:r>
    </w:p>
    <w:p>
      <w:pPr>
        <w:pStyle w:val="BodyText"/>
      </w:pPr>
      <w:r>
        <w:t xml:space="preserve">Gate-Critical Unknown Rule (Normative). If a cell within C_r or C_cat is declared UNKNOWN_IMPACT, admissibility for that cell SHALL NOT be resolved using only the standard phantom-instance fallback. Default handling path: for rights-covered cells, the run MUST either (i) apply a governed conservative bound sufficient to preserve the rights gate, or (ii) treat the gate as unresolved and rerun, downgrade, or escalate. For catastrophe-covered cells, the run MUST either (i) apply a governed conservative scenario/cell bound sufficient to preserve TRC, or (ii) treat TRC as unresolved and rerun, downgrade, or escalate. Implementations MUST set RIGHTS_CELL_UNKNOWN_GATE_CRITICAL or CATASTROPHE_CELL_UNKNOWN_GATE_CRITICAL, as applicable, using only canonical severities defined in Section 14.3.</w:t>
      </w:r>
    </w:p>
    <w:bookmarkEnd w:id="96"/>
    <w:bookmarkStart w:id="97" w:name="X21d6aecf4677295fa1105ddf59bf12daa550447"/>
    <w:p>
      <w:pPr>
        <w:pStyle w:val="Heading2"/>
      </w:pPr>
      <w:r>
        <w:rPr>
          <w:bCs/>
          <w:b/>
        </w:rPr>
        <w:t xml:space="preserve">5.8 Scenario-Conditioned Impacts (Normative for TRC runs)</w:t>
      </w:r>
    </w:p>
    <w:p>
      <w:pPr>
        <w:pStyle w:val="FirstParagraph"/>
      </w:pPr>
      <w:r>
        <w:t xml:space="preserve">When TRC is in use (Tier 3 required; Tier 2 required when catastrophe relevance plausible), impacts MUST be scenario-conditioned at least for catastrophe cells:</w:t>
      </w:r>
    </w:p>
    <w:p>
      <w:pPr>
        <w:pStyle w:val="BodyText"/>
      </w:pPr>
      <w:r>
        <w:t xml:space="preserve">Scenario probabilities p_s are governed (Appendix D). Scenario conditioning enters through ℓ_k and/or instance presence, and through propagation if scenario-specific kernels are declared.</w:t>
      </w:r>
    </w:p>
    <w:bookmarkEnd w:id="97"/>
    <w:bookmarkStart w:id="98" w:name="X3251e1e214fb598573d0c1b10f370ce290d2600"/>
    <w:p>
      <w:pPr>
        <w:pStyle w:val="Heading2"/>
      </w:pPr>
      <w:r>
        <w:rPr>
          <w:bCs/>
          <w:b/>
        </w:rPr>
        <w:t xml:space="preserve">5.9 Worked Examples (Non-Normative, Computation-Illustrative)</w:t>
      </w:r>
    </w:p>
    <w:p>
      <w:pPr>
        <w:pStyle w:val="FirstParagraph"/>
      </w:pPr>
      <w:r>
        <w:t xml:space="preserve">Example 5.1: Direct impact, Community-Social cell</w:t>
      </w:r>
    </w:p>
    <w:p>
      <w:pPr>
        <w:pStyle w:val="BodyText"/>
      </w:pPr>
      <w:r>
        <w:t xml:space="preserve">Decision: Remote-work policy option a. Cell: u=3 (Community), d=3 (Social).</w:t>
      </w:r>
    </w:p>
    <w:p>
      <w:pPr>
        <w:pStyle w:val="BodyText"/>
      </w:pPr>
      <w:r>
        <w:t xml:space="preserve">Assume T_ref = 25, β = 2.</w:t>
      </w:r>
    </w:p>
    <w:p>
      <w:pPr>
        <w:pStyle w:val="BodyText"/>
      </w:pPr>
      <w:r>
        <w:t xml:space="preserve">Instance 1: Reduced in-person interaction</w:t>
      </w:r>
    </w:p>
    <w:p>
      <w:pPr>
        <w:numPr>
          <w:ilvl w:val="0"/>
          <w:numId w:val="1008"/>
        </w:numPr>
        <w:pStyle w:val="Compact"/>
      </w:pPr>
      <w:r>
        <w:t xml:space="preserve">μ₁ = -0.30, r₁ = 0.80, t₁ = 3 years, ℓ₁ = 0.90, c₁ = 0.70, e₁ = 1, h_{1,base} = 1, h_{1,welfare} = 1</w:t>
      </w:r>
    </w:p>
    <w:p>
      <w:pPr>
        <w:pStyle w:val="FirstParagraph"/>
      </w:pPr>
      <w:r>
        <w:t xml:space="preserve">Instance 2: Increased online community participation</w:t>
      </w:r>
    </w:p>
    <w:p>
      <w:pPr>
        <w:numPr>
          <w:ilvl w:val="0"/>
          <w:numId w:val="1009"/>
        </w:numPr>
        <w:pStyle w:val="Compact"/>
      </w:pPr>
      <w:r>
        <w:t xml:space="preserve">μ₂ = +0.15, r₂ = 0.50, t₂ = 5 years, ℓ₂ = 0.70, c₂ = 0.50, e₂ = 1, h_{2,base} = 1, h_{2,welfare} = 1</w:t>
      </w:r>
    </w:p>
    <w:p>
      <w:pPr>
        <w:pStyle w:val="FirstParagraph"/>
      </w:pPr>
      <w:r>
        <w:t xml:space="preserve">Compute temporal weights:</w:t>
      </w:r>
    </w:p>
    <w:p>
      <w:pPr>
        <w:numPr>
          <w:ilvl w:val="0"/>
          <w:numId w:val="1010"/>
        </w:numPr>
        <w:pStyle w:val="Compact"/>
      </w:pPr>
      <w:r>
        <w:t xml:space="preserve">τ(3) = ln(4)/ln(26) ≈ 0.43</w:t>
      </w:r>
    </w:p>
    <w:p>
      <w:pPr>
        <w:numPr>
          <w:ilvl w:val="0"/>
          <w:numId w:val="1011"/>
        </w:numPr>
        <w:pStyle w:val="Compact"/>
      </w:pPr>
      <w:r>
        <w:t xml:space="preserve">τ(5) = ln(6)/ln(26) ≈ 0.55</w:t>
      </w:r>
    </w:p>
    <w:p>
      <w:pPr>
        <w:pStyle w:val="FirstParagraph"/>
      </w:pPr>
      <w:r>
        <w:t xml:space="preserve">Compute contributions:</w:t>
      </w:r>
    </w:p>
    <w:p>
      <w:pPr>
        <w:numPr>
          <w:ilvl w:val="0"/>
          <w:numId w:val="1012"/>
        </w:numPr>
        <w:pStyle w:val="Compact"/>
      </w:pPr>
      <w:r>
        <w:t xml:space="preserve">Inst1: 0.80 × 0.43 × 0.90 × 0.70 × 1 × 1 × (-0.30) ≈ -0.065</w:t>
      </w:r>
    </w:p>
    <w:p>
      <w:pPr>
        <w:numPr>
          <w:ilvl w:val="0"/>
          <w:numId w:val="1013"/>
        </w:numPr>
        <w:pStyle w:val="Compact"/>
      </w:pPr>
      <w:r>
        <w:t xml:space="preserve">Inst2: 0.50 × 0.55 × 0.70 × 0.50 × 1 × 1 × (+0.15) ≈ +0.014</w:t>
      </w:r>
    </w:p>
    <w:p>
      <w:pPr>
        <w:pStyle w:val="FirstParagraph"/>
      </w:pPr>
      <w:r>
        <w:t xml:space="preserve">Aggregate pre-saturation:</w:t>
      </w:r>
    </w:p>
    <w:p>
      <w:pPr>
        <w:numPr>
          <w:ilvl w:val="0"/>
          <w:numId w:val="1014"/>
        </w:numPr>
        <w:pStyle w:val="Compact"/>
      </w:pPr>
      <w:r>
        <w:t xml:space="preserve">Ĩ_dir = -0.065 + 0.014 = -0.051</w:t>
      </w:r>
    </w:p>
    <w:p>
      <w:pPr>
        <w:pStyle w:val="FirstParagraph"/>
      </w:pPr>
      <w:r>
        <w:t xml:space="preserve">Saturate:</w:t>
      </w:r>
    </w:p>
    <w:p>
      <w:pPr>
        <w:numPr>
          <w:ilvl w:val="0"/>
          <w:numId w:val="1015"/>
        </w:numPr>
        <w:pStyle w:val="Compact"/>
      </w:pPr>
      <w:r>
        <w:t xml:space="preserve">I_dir(3,3,a) = tanh(2 × -0.051) = tanh(-0.102) ≈ -0.10</w:t>
      </w:r>
    </w:p>
    <w:p>
      <w:pPr>
        <w:pStyle w:val="FirstParagraph"/>
      </w:pPr>
      <w:r>
        <w:t xml:space="preserve">Example 5.2: Missing-data penalty</w:t>
      </w:r>
    </w:p>
    <w:p>
      <w:pPr>
        <w:pStyle w:val="BodyText"/>
      </w:pPr>
      <w:r>
        <w:t xml:space="preserve">Cell u=7 (Biosphere), d=7 (Environment) is active (non-maskable for environment-relevant decisions). Analyst lacks defensible estimates.</w:t>
      </w:r>
    </w:p>
    <w:p>
      <w:pPr>
        <w:pStyle w:val="BodyText"/>
      </w:pPr>
      <w:r>
        <w:t xml:space="preserve">Phantom instance yields:</w:t>
      </w:r>
    </w:p>
    <w:p>
      <w:pPr>
        <w:numPr>
          <w:ilvl w:val="0"/>
          <w:numId w:val="1016"/>
        </w:numPr>
        <w:pStyle w:val="Compact"/>
      </w:pPr>
      <w:r>
        <w:t xml:space="preserve">Ĩ_dir = 1 × 1 × 1 × 1 × 1 × 1 × (-0.10) = -0.10</w:t>
      </w:r>
    </w:p>
    <w:p>
      <w:pPr>
        <w:numPr>
          <w:ilvl w:val="0"/>
          <w:numId w:val="1017"/>
        </w:numPr>
        <w:pStyle w:val="Compact"/>
      </w:pPr>
      <w:r>
        <w:t xml:space="preserve">I_dir = tanh(2 × -0.10) ≈ -0.20</w:t>
      </w:r>
    </w:p>
    <w:p>
      <w:pPr>
        <w:pStyle w:val="FirstParagraph"/>
      </w:pPr>
      <w:r>
        <w:t xml:space="preserve">This enforces humility: missing evidence is mildly negative, not neutral.</w:t>
      </w:r>
    </w:p>
    <w:bookmarkEnd w:id="98"/>
    <w:bookmarkEnd w:id="99"/>
    <w:bookmarkStart w:id="110" w:name="X48a7ffb759511b287ff8303a6aff4e38228c667"/>
    <w:p>
      <w:pPr>
        <w:pStyle w:val="Heading1"/>
      </w:pPr>
      <w:bookmarkStart w:id="771" w:name="mg_toc_007"/>
      <w:r>
        <w:rPr>
          <w:bCs/>
          <w:b/>
        </w:rPr>
        <w:t xml:space="preserve">SECTION 6: RIPPLE PROPAGATION: KERNEL AND EPISTEMIC HUMILITY</w:t>
      </w:r>
      <w:bookmarkEnd w:id="771"/>
    </w:p>
    <w:bookmarkStart w:id="100" w:name="Xa18ff76e6b61ef9ea7d672acf6eac39d28ad7a7"/>
    <w:p>
      <w:pPr>
        <w:pStyle w:val="Heading2"/>
      </w:pPr>
      <w:r>
        <w:rPr>
          <w:bCs/>
          <w:b/>
        </w:rPr>
        <w:t xml:space="preserve">6.0 Purpose (Normative)</w:t>
      </w:r>
    </w:p>
    <w:p>
      <w:pPr>
        <w:pStyle w:val="FirstParagraph"/>
      </w:pPr>
      <w:r>
        <w:t xml:space="preserve">Ripple propagation models how direct impacts in one cell causally and institutionally ripple into other cells across unions and dimensions. This makes cross-scale externalities explicit and auditable.</w:t>
      </w:r>
    </w:p>
    <w:p>
      <w:pPr>
        <w:pStyle w:val="BodyText"/>
      </w:pPr>
      <w:r>
        <w:t xml:space="preserve">Tier posture: Tier 1-3 permit NONE or QUICK propagation. FULL propagation is a Tier-4 design target only and MUST NOT be used for Tier 1-3 compliance claims.</w:t>
      </w:r>
    </w:p>
    <w:bookmarkEnd w:id="100"/>
    <w:bookmarkStart w:id="101" w:name="Xbbaa9f0013bc605d5b56b9ffb1a8326bf59efb4"/>
    <w:p>
      <w:pPr>
        <w:pStyle w:val="Heading2"/>
      </w:pPr>
      <w:r>
        <w:rPr>
          <w:bCs/>
          <w:b/>
        </w:rPr>
        <w:t xml:space="preserve">6.1 Kernel Definition and Convention (Normative)</w:t>
      </w:r>
    </w:p>
    <w:p>
      <w:pPr>
        <w:pStyle w:val="FirstParagraph"/>
      </w:pPr>
      <w:r>
        <w:t xml:space="preserve">Let the 49 welfare cells be indexed by i = φ(u,d) with φ(u,d) = 7(u-1) + d. The ripple kernel is a sparse matrix K ∈ ℝ^{49×49}.</w:t>
      </w:r>
    </w:p>
    <w:p>
      <w:pPr>
        <w:pStyle w:val="BodyText"/>
      </w:pPr>
      <w:r>
        <w:t xml:space="preserve">Kernel convention (MUST):</w:t>
      </w:r>
    </w:p>
    <w:p>
      <w:pPr>
        <w:numPr>
          <w:ilvl w:val="0"/>
          <w:numId w:val="1018"/>
        </w:numPr>
        <w:pStyle w:val="Compact"/>
      </w:pPr>
      <w:r>
        <w:t xml:space="preserve">K_{ij} maps effect from source cell j to target cell i (target-row, source-column).</w:t>
      </w:r>
    </w:p>
    <w:p>
      <w:pPr>
        <w:numPr>
          <w:ilvl w:val="0"/>
          <w:numId w:val="1019"/>
        </w:numPr>
        <w:pStyle w:val="Compact"/>
      </w:pPr>
      <w:r>
        <w:t xml:space="preserve">Propagation uses left multiplication: Ĩ_prop = I_dir + K × I_dir</w:t>
      </w:r>
    </w:p>
    <w:p>
      <w:pPr>
        <w:pStyle w:val="FirstParagraph"/>
      </w:pPr>
      <w:r>
        <w:t xml:space="preserve">Interpretation:</w:t>
      </w:r>
    </w:p>
    <w:p>
      <w:pPr>
        <w:pStyle w:val="BodyText"/>
      </w:pPr>
      <w:r>
        <w:t xml:space="preserve">Scale semantics and first-order propagation note (Normative clarification). The bounded cell impacts used by RippleLogic are governance scores anchored to declared indicators and baselines, not claims that dignity, liberty, or meaning are measured as cardinal utility in nature. The kernel K is a declared first-order propagation operator for bounded local approximation under the chosen decision horizon. It does not claim that all socio-technical dynamics are globally linear. Non-linearities and threshold behavior are handled elsewhere in the architecture through saturation, scenario branching, rights floors, tail-risk screening, containment, escalation, and versioned recalibration of K. Implementations MUST NOT present K as a proof of empirical linearity; they MAY present it as a transparent, auditable approximation layer governed by the PCC.</w:t>
      </w:r>
    </w:p>
    <w:p>
      <w:pPr>
        <w:numPr>
          <w:ilvl w:val="0"/>
          <w:numId w:val="1020"/>
        </w:numPr>
        <w:pStyle w:val="Compact"/>
      </w:pPr>
      <w:r>
        <w:t xml:space="preserve">κ &gt; 0: improving source j tends to improve target i.</w:t>
      </w:r>
    </w:p>
    <w:p>
      <w:pPr>
        <w:numPr>
          <w:ilvl w:val="0"/>
          <w:numId w:val="1021"/>
        </w:numPr>
        <w:pStyle w:val="Compact"/>
      </w:pPr>
      <w:r>
        <w:t xml:space="preserve">κ &lt; 0: improving source j tends to harm target i.</w:t>
      </w:r>
    </w:p>
    <w:p>
      <w:pPr>
        <w:numPr>
          <w:ilvl w:val="0"/>
          <w:numId w:val="1022"/>
        </w:numPr>
        <w:pStyle w:val="Compact"/>
      </w:pPr>
      <w:r>
        <w:t xml:space="preserve">κ = 0: no modeled pathway.</w:t>
      </w:r>
    </w:p>
    <w:bookmarkEnd w:id="101"/>
    <w:bookmarkStart w:id="102" w:name="X6e76b73b8f1a9f7318fb1915f69ebc2b265ce31"/>
    <w:p>
      <w:pPr>
        <w:pStyle w:val="Heading2"/>
      </w:pPr>
      <w:r>
        <w:rPr>
          <w:bCs/>
          <w:b/>
        </w:rPr>
        <w:t xml:space="preserve">6.2 Propagation Modes (Tier 1-3) (Normative)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Mode</w:t>
            </w:r>
          </w:p>
        </w:tc>
        <w:tc>
          <w:tcPr>
            <w:shd w:val="clear" w:color="auto" w:fill="D9EAF7"/>
            <w:vAlign w:val="center"/>
          </w:tcPr>
          <w:p>
            <w:pPr>
              <w:pStyle w:val="Compact"/>
              <w:jc w:val="left"/>
            </w:pPr>
            <w:r>
              <w:rPr>
                <w:bCs/>
                <w:b/>
                <w:color w:val="17365D"/>
              </w:rPr>
              <w:t xml:space="preserve">Formula</w:t>
            </w:r>
          </w:p>
        </w:tc>
        <w:tc>
          <w:tcPr>
            <w:shd w:val="clear" w:color="auto" w:fill="D9EAF7"/>
            <w:vAlign w:val="center"/>
          </w:tcPr>
          <w:p>
            <w:pPr>
              <w:pStyle w:val="Compact"/>
              <w:jc w:val="left"/>
            </w:pPr>
            <w:r>
              <w:rPr>
                <w:bCs/>
                <w:b/>
                <w:color w:val="17365D"/>
              </w:rPr>
              <w:t xml:space="preserve">Use Case</w:t>
            </w:r>
          </w:p>
        </w:tc>
      </w:tr>
      <w:tr>
        <w:tc>
          <w:tcPr>
            <w:vAlign w:val="top"/>
          </w:tcPr>
          <w:p>
            <w:pPr>
              <w:pStyle w:val="Compact"/>
              <w:jc w:val="left"/>
            </w:pPr>
            <w:r>
              <w:t xml:space="preserve">NONE (Direct-only)</w:t>
            </w:r>
          </w:p>
        </w:tc>
        <w:tc>
          <w:tcPr>
            <w:vAlign w:val="top"/>
          </w:tcPr>
          <w:p>
            <w:pPr>
              <w:pStyle w:val="Compact"/>
              <w:jc w:val="left"/>
            </w:pPr>
            <w:r>
              <w:t xml:space="preserve">I_prop := I_dir</w:t>
            </w:r>
          </w:p>
        </w:tc>
        <w:tc>
          <w:tcPr>
            <w:vAlign w:val="top"/>
          </w:tcPr>
          <w:p>
            <w:pPr>
              <w:pStyle w:val="Compact"/>
              <w:jc w:val="left"/>
            </w:pPr>
            <w:r>
              <w:t xml:space="preserve">Tier 1-2 default</w:t>
            </w:r>
          </w:p>
        </w:tc>
      </w:tr>
      <w:tr>
        <w:tc>
          <w:tcPr>
            <w:shd w:val="clear" w:color="auto" w:fill="F7FBFE"/>
            <w:vAlign w:val="top"/>
          </w:tcPr>
          <w:p>
            <w:pPr>
              <w:pStyle w:val="Compact"/>
              <w:jc w:val="left"/>
            </w:pPr>
            <w:r>
              <w:t xml:space="preserve">QUICK (First-order)</w:t>
            </w:r>
          </w:p>
        </w:tc>
        <w:tc>
          <w:tcPr>
            <w:shd w:val="clear" w:color="auto" w:fill="F7FBFE"/>
            <w:vAlign w:val="top"/>
          </w:tcPr>
          <w:p>
            <w:pPr>
              <w:pStyle w:val="Compact"/>
              <w:jc w:val="left"/>
            </w:pPr>
            <w:r>
              <w:t xml:space="preserve">Ĩ_prop = I_dir + K × I_dir</w:t>
            </w:r>
          </w:p>
        </w:tc>
        <w:tc>
          <w:tcPr>
            <w:shd w:val="clear" w:color="auto" w:fill="F7FBFE"/>
            <w:vAlign w:val="top"/>
          </w:tcPr>
          <w:p>
            <w:pPr>
              <w:pStyle w:val="Compact"/>
              <w:jc w:val="left"/>
            </w:pPr>
            <w:r>
              <w:t xml:space="preserve">Tier 3 with sensitivity</w:t>
            </w:r>
          </w:p>
        </w:tc>
      </w:tr>
    </w:tbl>
    <w:p>
      <w:pPr>
        <w:pStyle w:val="BodyText"/>
      </w:pPr>
      <w:r>
        <w:t xml:space="preserve">Stream note (Normative). Propagation is applied per stream x∈{base, welfare} as defined in Appendix B. In Section 6 (and any tables using shorthand), I_dir and I_prop are shorthand for I_dir,x and I_prop,x when the stream is clear from context. Admissibility gates (NCRC, TRC, CSV) use the Base stream; RLS uses the Welfare stream.</w:t>
      </w:r>
    </w:p>
    <w:p>
      <w:pPr>
        <w:pStyle w:val="BodyText"/>
      </w:pPr>
      <w:r>
        <w:t xml:space="preserve">Normative restriction: FULL propagation is PROHIBITED for Tier 1-3 claims in the current v12.6 release line.</w:t>
      </w:r>
    </w:p>
    <w:bookmarkEnd w:id="102"/>
    <w:bookmarkStart w:id="103" w:name="X8b455f58987a36be15320959fcf34c99ca54283"/>
    <w:p>
      <w:pPr>
        <w:pStyle w:val="Heading2"/>
      </w:pPr>
      <w:r>
        <w:rPr>
          <w:bCs/>
          <w:b/>
        </w:rPr>
        <w:t xml:space="preserve">6.3 Post-Propagation Saturation (Normative)</w:t>
      </w:r>
    </w:p>
    <w:p>
      <w:pPr>
        <w:pStyle w:val="FirstParagraph"/>
      </w:pPr>
      <w:r>
        <w:t xml:space="preserve">Because propagation can push values outside [-1,+1], apply elementwise saturation:</w:t>
      </w:r>
    </w:p>
    <w:p>
      <w:pPr>
        <w:pStyle w:val="BodyText"/>
      </w:pPr>
      <w:r>
        <w:t xml:space="preserve">I_prop_x(u,d,a) = tanh(β_prop × Ĩ_prop_x(u,d,a))</w:t>
      </w:r>
    </w:p>
    <w:p>
      <w:pPr>
        <w:pStyle w:val="BodyText"/>
      </w:pPr>
      <w:r>
        <w:t xml:space="preserve">Notation: I_prop_base and I_prop_welfare denote the x=base and x=welfare outputs respectively.</w:t>
      </w:r>
    </w:p>
    <w:p>
      <w:pPr>
        <w:pStyle w:val="BodyText"/>
      </w:pPr>
      <w:r>
        <w:t xml:space="preserve">Default: β_prop = 1.</w:t>
      </w:r>
    </w:p>
    <w:p>
      <w:pPr>
        <w:pStyle w:val="BodyText"/>
      </w:pPr>
      <w:r>
        <w:rPr>
          <w:bCs/>
          <w:b/>
        </w:rPr>
        <w:t xml:space="preserve">Propagation-mode comparability rule (Normative clarification).</w:t>
      </w:r>
      <w:r>
        <w:t xml:space="preserve"> </w:t>
      </w:r>
      <w:r>
        <w:rPr>
          <w:rStyle w:val="VerbatimChar"/>
        </w:rPr>
        <w:t xml:space="preserve">NONE</w:t>
      </w:r>
      <w:r>
        <w:t xml:space="preserve"> </w:t>
      </w:r>
      <w:r>
        <w:t xml:space="preserve">and</w:t>
      </w:r>
      <w:r>
        <w:t xml:space="preserve"> </w:t>
      </w:r>
      <w:r>
        <w:rPr>
          <w:rStyle w:val="VerbatimChar"/>
        </w:rPr>
        <w:t xml:space="preserve">QUICK</w:t>
      </w:r>
      <w:r>
        <w:t xml:space="preserve"> </w:t>
      </w:r>
      <w:r>
        <w:t xml:space="preserve">are different declared transformations:</w:t>
      </w:r>
      <w:r>
        <w:t xml:space="preserve"> </w:t>
      </w:r>
      <w:r>
        <w:rPr>
          <w:rStyle w:val="VerbatimChar"/>
        </w:rPr>
        <w:t xml:space="preserve">QUICK</w:t>
      </w:r>
      <w:r>
        <w:t xml:space="preserve"> </w:t>
      </w:r>
      <w:r>
        <w:t xml:space="preserve">includes a second saturation step while</w:t>
      </w:r>
      <w:r>
        <w:t xml:space="preserve"> </w:t>
      </w:r>
      <w:r>
        <w:rPr>
          <w:rStyle w:val="VerbatimChar"/>
        </w:rPr>
        <w:t xml:space="preserve">NONE</w:t>
      </w:r>
      <w:r>
        <w:t xml:space="preserve"> </w:t>
      </w:r>
      <w:r>
        <w:t xml:space="preserve">preserves the direct saturated value. Consequently, a</w:t>
      </w:r>
      <w:r>
        <w:t xml:space="preserve"> </w:t>
      </w:r>
      <w:r>
        <w:rPr>
          <w:rStyle w:val="VerbatimChar"/>
        </w:rPr>
        <w:t xml:space="preserve">NONE</w:t>
      </w:r>
      <w:r>
        <w:t xml:space="preserve">-versus-</w:t>
      </w:r>
      <w:r>
        <w:rPr>
          <w:rStyle w:val="VerbatimChar"/>
        </w:rPr>
        <w:t xml:space="preserve">QUICK</w:t>
      </w:r>
      <w:r>
        <w:t xml:space="preserve"> </w:t>
      </w:r>
      <w:r>
        <w:t xml:space="preserve">comparison is not a pure estimate of the kernel term alone, and a humility fallback from</w:t>
      </w:r>
      <w:r>
        <w:t xml:space="preserve"> </w:t>
      </w:r>
      <w:r>
        <w:rPr>
          <w:rStyle w:val="VerbatimChar"/>
        </w:rPr>
        <w:t xml:space="preserve">QUICK</w:t>
      </w:r>
      <w:r>
        <w:t xml:space="preserve"> </w:t>
      </w:r>
      <w:r>
        <w:t xml:space="preserve">to</w:t>
      </w:r>
      <w:r>
        <w:t xml:space="preserve"> </w:t>
      </w:r>
      <w:r>
        <w:rPr>
          <w:rStyle w:val="VerbatimChar"/>
        </w:rPr>
        <w:t xml:space="preserve">NONE</w:t>
      </w:r>
      <w:r>
        <w:t xml:space="preserve"> </w:t>
      </w:r>
      <w:r>
        <w:t xml:space="preserve">is a model change rather than simple deletion of</w:t>
      </w:r>
      <w:r>
        <w:t xml:space="preserve"> </w:t>
      </w:r>
      <w:r>
        <w:rPr>
          <w:rStyle w:val="VerbatimChar"/>
        </w:rPr>
        <w:t xml:space="preserve">K</w:t>
      </w:r>
      <w:r>
        <w:t xml:space="preserve">. The PCC MUST disclose that distinction, recompute the complete result under each declared mode, and separate kernel sensitivity from mode/saturation sensitivity. If the preferred option or gate interpretation changes because of the mode boundary, the stronger deterministic claim MUST be narrowed or treated as unresolved. A future formula change intended to make the null-kernel limit identical across modes requires a versioned equation change and reference-suite replay; it MUST NOT be introduced silently as a same-run implementation convenience.</w:t>
      </w:r>
    </w:p>
    <w:bookmarkEnd w:id="103"/>
    <w:bookmarkStart w:id="104" w:name="X4596457785e73887171035f2e1d5cb69b15859d"/>
    <w:p>
      <w:pPr>
        <w:pStyle w:val="Heading2"/>
      </w:pPr>
      <w:r>
        <w:rPr>
          <w:bCs/>
          <w:b/>
        </w:rPr>
        <w:t xml:space="preserve">6.4 Stability Constraints and Humility Fallbacks (Normative)</w:t>
      </w:r>
    </w:p>
    <w:p>
      <w:pPr>
        <w:pStyle w:val="FirstParagraph"/>
      </w:pPr>
      <w:r>
        <w:t xml:space="preserve">Kernel stability guardrails (defaults; may be tightened by governance):</w:t>
      </w:r>
    </w:p>
    <w:p>
      <w:pPr>
        <w:numPr>
          <w:ilvl w:val="0"/>
          <w:numId w:val="1023"/>
        </w:numPr>
        <w:pStyle w:val="Compact"/>
      </w:pPr>
      <w:r>
        <w:t xml:space="preserve">Entry bound: |K_{ij}| ≤ κ_max, default κ_max = 0.5</w:t>
      </w:r>
    </w:p>
    <w:p>
      <w:pPr>
        <w:numPr>
          <w:ilvl w:val="0"/>
          <w:numId w:val="1024"/>
        </w:numPr>
        <w:pStyle w:val="Compact"/>
      </w:pPr>
      <w:r>
        <w:t xml:space="preserve">Absolute row-sum bound (required): ∥K∥∞ := max_i Σ_j |K_{ij}| ≤ ρ_max, default ρ_max = 0.9.</w:t>
      </w:r>
    </w:p>
    <w:p>
      <w:pPr>
        <w:numPr>
          <w:ilvl w:val="0"/>
          <w:numId w:val="1025"/>
        </w:numPr>
        <w:pStyle w:val="Compact"/>
      </w:pPr>
      <w:r>
        <w:t xml:space="preserve">Spectral radius constraint (satisfied by construction under the row-sum bound): If ∥K∥∞ &lt; 1, then ρ(K) &lt; 1 is treated as satisfied for Tier 1-3 purposes because ρ(K) ≤ ∥K∥∞. Implementations MUST NOT require additional spectral-radius computation to claim Tier 1-3 conformance when the row-sum bound holds.</w:t>
      </w:r>
    </w:p>
    <w:p>
      <w:pPr>
        <w:pStyle w:val="FirstParagraph"/>
      </w:pPr>
      <w:r>
        <w:t xml:space="preserve">Kernel stability verification rule (Normative). A Tier 1-3 implementation MUST compute and record (in PCC when kernel is used): (i) max_{ij} |K_{ij}| and (ii) ∥K∥∞. If either exceeds its bound (entry bound or row-sum bound), the run MUST execute the humility fallback (propagation_mode = NONE) and record KERNEL_HUMILITY_FALLBACK = TRUE.</w:t>
      </w:r>
    </w:p>
    <w:p>
      <w:pPr>
        <w:pStyle w:val="BodyText"/>
      </w:pPr>
      <w:r>
        <w:t xml:space="preserve">If the declared kernel violates entry bounds or row-sum bounds (and therefore fails the Tier 1-3 stability verification rule above), the run MUST:</w:t>
      </w:r>
    </w:p>
    <w:p>
      <w:pPr>
        <w:numPr>
          <w:ilvl w:val="0"/>
          <w:numId w:val="1026"/>
        </w:numPr>
        <w:pStyle w:val="Compact"/>
      </w:pPr>
      <w:r>
        <w:t xml:space="preserve">Set propagation_mode = NONE, and</w:t>
      </w:r>
    </w:p>
    <w:p>
      <w:pPr>
        <w:numPr>
          <w:ilvl w:val="0"/>
          <w:numId w:val="1027"/>
        </w:numPr>
        <w:pStyle w:val="Compact"/>
      </w:pPr>
      <w:r>
        <w:t xml:space="preserve">Record a PCC limitation: KERNEL_HUMILITY_FALLBACK = TRUE.</w:t>
      </w:r>
    </w:p>
    <w:p>
      <w:pPr>
        <w:pStyle w:val="FirstParagraph"/>
      </w:pPr>
      <w:r>
        <w:t xml:space="preserve">Rationale: An unstable or over-amplifying kernel is worse than no kernel; it creates false certainty and is easy to game.</w:t>
      </w:r>
    </w:p>
    <w:bookmarkEnd w:id="104"/>
    <w:bookmarkStart w:id="106" w:name="X144d3678ed7c80c91adb536afdf657a3688618f"/>
    <w:p>
      <w:pPr>
        <w:pStyle w:val="Heading2"/>
      </w:pPr>
      <w:r>
        <w:rPr>
          <w:bCs/>
          <w:b/>
        </w:rPr>
        <w:t xml:space="preserve">6.5 Kernel Quality Score (KQS) (Normative)</w:t>
      </w:r>
    </w:p>
    <w:p>
      <w:pPr>
        <w:pStyle w:val="FirstParagraph"/>
      </w:pPr>
      <w:r>
        <w:t xml:space="preserve">KQS summarizes readiness of the kernel for decision-relevant propagation:</w:t>
      </w:r>
    </w:p>
    <w:p>
      <w:pPr>
        <w:pStyle w:val="BodyText"/>
      </w:pPr>
      <w:r>
        <w:t xml:space="preserve">KQS = w_cov × C_cov + w_id × C_id + w_stab × C_stab + w_pred × C_pred</w:t>
      </w:r>
    </w:p>
    <w:p>
      <w:pPr>
        <w:pStyle w:val="BodyText"/>
      </w:pPr>
      <w:r>
        <w:t xml:space="preserve">Default component weights: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Component</w:t>
            </w:r>
          </w:p>
        </w:tc>
        <w:tc>
          <w:tcPr>
            <w:shd w:val="clear" w:color="auto" w:fill="D9EAF7"/>
            <w:vAlign w:val="center"/>
          </w:tcPr>
          <w:p>
            <w:pPr>
              <w:pStyle w:val="Compact"/>
              <w:jc w:val="left"/>
            </w:pPr>
            <w:r>
              <w:rPr>
                <w:bCs/>
                <w:b/>
                <w:color w:val="17365D"/>
              </w:rPr>
              <w:t xml:space="preserve">Weight</w:t>
            </w:r>
          </w:p>
        </w:tc>
      </w:tr>
      <w:tr>
        <w:tc>
          <w:tcPr>
            <w:vAlign w:val="top"/>
          </w:tcPr>
          <w:p>
            <w:pPr>
              <w:pStyle w:val="Compact"/>
              <w:jc w:val="left"/>
            </w:pPr>
            <w:r>
              <w:t xml:space="preserve">Coverage (C_cov)</w:t>
            </w:r>
          </w:p>
        </w:tc>
        <w:tc>
          <w:tcPr>
            <w:vAlign w:val="top"/>
          </w:tcPr>
          <w:p>
            <w:pPr>
              <w:pStyle w:val="Compact"/>
              <w:jc w:val="left"/>
            </w:pPr>
            <w:r>
              <w:t xml:space="preserve">0.25</w:t>
            </w:r>
          </w:p>
        </w:tc>
      </w:tr>
      <w:tr>
        <w:tc>
          <w:tcPr>
            <w:shd w:val="clear" w:color="auto" w:fill="F7FBFE"/>
            <w:vAlign w:val="top"/>
          </w:tcPr>
          <w:p>
            <w:pPr>
              <w:pStyle w:val="Compact"/>
              <w:jc w:val="left"/>
            </w:pPr>
            <w:r>
              <w:t xml:space="preserve">Identifiability (C_id)</w:t>
            </w:r>
          </w:p>
        </w:tc>
        <w:tc>
          <w:tcPr>
            <w:shd w:val="clear" w:color="auto" w:fill="F7FBFE"/>
            <w:vAlign w:val="top"/>
          </w:tcPr>
          <w:p>
            <w:pPr>
              <w:pStyle w:val="Compact"/>
              <w:jc w:val="left"/>
            </w:pPr>
            <w:r>
              <w:t xml:space="preserve">0.30</w:t>
            </w:r>
          </w:p>
        </w:tc>
      </w:tr>
      <w:tr>
        <w:tc>
          <w:tcPr>
            <w:vAlign w:val="top"/>
          </w:tcPr>
          <w:p>
            <w:pPr>
              <w:pStyle w:val="Compact"/>
              <w:jc w:val="left"/>
            </w:pPr>
            <w:r>
              <w:t xml:space="preserve">Stability (C_stab)</w:t>
            </w:r>
          </w:p>
        </w:tc>
        <w:tc>
          <w:tcPr>
            <w:vAlign w:val="top"/>
          </w:tcPr>
          <w:p>
            <w:pPr>
              <w:pStyle w:val="Compact"/>
              <w:jc w:val="left"/>
            </w:pPr>
            <w:r>
              <w:t xml:space="preserve">0.20</w:t>
            </w:r>
          </w:p>
        </w:tc>
      </w:tr>
      <w:tr>
        <w:tc>
          <w:tcPr>
            <w:shd w:val="clear" w:color="auto" w:fill="F7FBFE"/>
            <w:vAlign w:val="top"/>
          </w:tcPr>
          <w:p>
            <w:pPr>
              <w:pStyle w:val="Compact"/>
              <w:jc w:val="left"/>
            </w:pPr>
            <w:r>
              <w:t xml:space="preserve">Prediction (C_pred)</w:t>
            </w:r>
          </w:p>
        </w:tc>
        <w:tc>
          <w:tcPr>
            <w:shd w:val="clear" w:color="auto" w:fill="F7FBFE"/>
            <w:vAlign w:val="top"/>
          </w:tcPr>
          <w:p>
            <w:pPr>
              <w:pStyle w:val="Compact"/>
              <w:jc w:val="left"/>
            </w:pPr>
            <w:r>
              <w:t xml:space="preserve">0.25</w:t>
            </w:r>
          </w:p>
        </w:tc>
      </w:tr>
    </w:tbl>
    <w:p>
      <w:pPr>
        <w:pStyle w:val="BodyText"/>
      </w:pPr>
      <w:r>
        <w:t xml:space="preserve">Component meanings (each in [0,1]):</w:t>
      </w:r>
    </w:p>
    <w:p>
      <w:pPr>
        <w:numPr>
          <w:ilvl w:val="0"/>
          <w:numId w:val="1028"/>
        </w:numPr>
        <w:pStyle w:val="Compact"/>
      </w:pPr>
      <w:r>
        <w:t xml:space="preserve">C_cov: coverage evidence proportion (share of relied-upon edges with cited evidence)</w:t>
      </w:r>
    </w:p>
    <w:p>
      <w:pPr>
        <w:numPr>
          <w:ilvl w:val="0"/>
          <w:numId w:val="1029"/>
        </w:numPr>
        <w:pStyle w:val="Compact"/>
      </w:pPr>
      <w:r>
        <w:t xml:space="preserve">C_id: identifiability (edges are specified with clear endpoints and sign; replayable)</w:t>
      </w:r>
    </w:p>
    <w:p>
      <w:pPr>
        <w:numPr>
          <w:ilvl w:val="0"/>
          <w:numId w:val="1030"/>
        </w:numPr>
        <w:pStyle w:val="Compact"/>
      </w:pPr>
      <w:r>
        <w:t xml:space="preserve">C_stab: stability margin (satisfies bounds with margin)</w:t>
      </w:r>
    </w:p>
    <w:p>
      <w:pPr>
        <w:numPr>
          <w:ilvl w:val="0"/>
          <w:numId w:val="1031"/>
        </w:numPr>
        <w:pStyle w:val="Compact"/>
      </w:pPr>
      <w:r>
        <w:t xml:space="preserve">C_pred: predictive accuracy (backtest/pilot performance where available; otherwise conservative prior)</w:t>
      </w:r>
    </w:p>
    <w:bookmarkStart w:id="105" w:name="Xfb32cef3fd1f0eb69c759a0781deadfd0e203b2"/>
    <w:p>
      <w:pPr>
        <w:pStyle w:val="Heading3"/>
      </w:pPr>
      <w:r>
        <w:rPr>
          <w:bCs/>
          <w:b/>
        </w:rPr>
        <w:t xml:space="preserve">6.5.1 Canonical KQS computation (Tier 1-3 deterministic) (Normative)</w:t>
      </w:r>
    </w:p>
    <w:p>
      <w:pPr>
        <w:pStyle w:val="FirstParagraph"/>
      </w:pPr>
      <w:r>
        <w:t xml:space="preserve">Definition (Normative). A ‘relied-upon edge’ is any kernel edge (i,j) with |K_ij| ≥ κ_use_min that touches at least one active cell (Section 10.3) or any non-maskable cell in C_r or C_cat. Default κ_use_min = 0.05 unless the PCC declares a stricter value.</w:t>
      </w:r>
    </w:p>
    <w:p>
      <w:pPr>
        <w:pStyle w:val="BodyText"/>
      </w:pPr>
      <w:r>
        <w:t xml:space="preserve">C_cov (Normative). Let E_use be the set of relied-upon edges. Let E_evid be those edges in E_use whose evidence fields include (i) an EvidenceClass ∈ {A,B,C} and (ii) a citation or provenance reference sufficient for retrieval. Then C_cov := |E_evid| / max(1, |E_use|).</w:t>
      </w:r>
    </w:p>
    <w:p>
      <w:pPr>
        <w:pStyle w:val="BodyText"/>
      </w:pPr>
      <w:r>
        <w:t xml:space="preserve">C_id (Normative). Let E_id be those edges in E_use with declared source union/dimension, target union/dimension, sign, and numeric magnitude fields present and within canonical bounds. Then C_id := |E_id| / max(1, |E_use|).</w:t>
      </w:r>
    </w:p>
    <w:p>
      <w:pPr>
        <w:pStyle w:val="BodyText"/>
      </w:pPr>
      <w:r>
        <w:t xml:space="preserve">C_stab (Normative). If QUICK is used, compute PCC.Kernel.RowSumAbsMax = ||K||_∞ and PCC.Kernel.EntryAbsMax = max_ij |K_ij| per Section 6.4. Set C_stab := 0 if any bound is violated; otherwise C_stab := clip((ρ_max - ||K||_∞)/ρ_max, 0, 1), with default ρ_max = 0.9.</w:t>
      </w:r>
    </w:p>
    <w:p>
      <w:pPr>
        <w:pStyle w:val="BodyText"/>
      </w:pPr>
      <w:r>
        <w:t xml:space="preserve">C_pred (Normative). If no backtest or pilot evidence exists for the decision domain, set C_pred := 0.30 (NO_EVIDENCE_DEFAULT) as already required. If empirical evidence exists, the PCC MUST declare the predictive metric used and compute C_pred as clip((MetricScore - MetricBaseline) / (MetricTarget - MetricBaseline), 0, 1) with all three values disclosed in PCC so an auditor can recompute.</w:t>
      </w:r>
    </w:p>
    <w:p>
      <w:pPr>
        <w:pStyle w:val="BodyText"/>
      </w:pPr>
      <w:r>
        <w:t xml:space="preserve">Disclosure rule (Normative). The PCC MUST record κ_use_min, the edge counts |E_use|, |E_evid|, |E_id|, and the computed component values C_cov, C_id, C_stab, C_pred used in the KQS calculation.</w:t>
      </w:r>
    </w:p>
    <w:p>
      <w:pPr>
        <w:pStyle w:val="BodyText"/>
      </w:pPr>
      <w:r>
        <w:t xml:space="preserve">Default C_pred prior (Normative). If no backtest/pilot evidence exists for the decision domain, set C_pred := 0.30 (NO_EVIDENCE_DEFAULT). The PCC MUST (i) mark this basis as NO_EVIDENCE_DEFAULT, and (ii) include a plan and timeline to obtain empirical validation evidence; until such evidence exists, C_pred SHALL NOT be reported as higher than the prior.</w:t>
      </w:r>
    </w:p>
    <w:p>
      <w:pPr>
        <w:pStyle w:val="BodyText"/>
      </w:pPr>
      <w:r>
        <w:t xml:space="preserve">KQS policy (MUST) for Tier 3:</w:t>
      </w:r>
    </w:p>
    <w:p>
      <w:pPr>
        <w:numPr>
          <w:ilvl w:val="0"/>
          <w:numId w:val="1032"/>
        </w:numPr>
      </w:pPr>
      <w:r>
        <w:rPr>
          <w:bCs/>
          <w:b/>
        </w:rPr>
        <w:t xml:space="preserve">Evidence-coverage eligibility floor:</w:t>
      </w:r>
      <w:r>
        <w:t xml:space="preserve"> </w:t>
      </w:r>
      <w:r>
        <w:t xml:space="preserve">if</w:t>
      </w:r>
      <w:r>
        <w:t xml:space="preserve"> </w:t>
      </w:r>
      <w:r>
        <w:rPr>
          <w:rStyle w:val="VerbatimChar"/>
        </w:rPr>
        <w:t xml:space="preserve">C_cov &lt; 0.40</w:t>
      </w:r>
      <w:r>
        <w:t xml:space="preserve">, the kernel MUST NOT be used for QUICK propagation regardless of the aggregate KQS; set</w:t>
      </w:r>
      <w:r>
        <w:t xml:space="preserve"> </w:t>
      </w:r>
      <w:r>
        <w:rPr>
          <w:rStyle w:val="VerbatimChar"/>
        </w:rPr>
        <w:t xml:space="preserve">propagation_mode = NONE</w:t>
      </w:r>
      <w:r>
        <w:t xml:space="preserve"> </w:t>
      </w:r>
      <w:r>
        <w:t xml:space="preserve">and record</w:t>
      </w:r>
      <w:r>
        <w:t xml:space="preserve"> </w:t>
      </w:r>
      <w:r>
        <w:rPr>
          <w:rStyle w:val="VerbatimChar"/>
        </w:rPr>
        <w:t xml:space="preserve">KERNEL_EVIDENCE_COVERAGE_INSUFFICIENT</w:t>
      </w:r>
      <w:r>
        <w:t xml:space="preserve">. Formal field completeness, stability, or a no-evidence prediction prior cannot compensate for inadequate evidence coverage.</w:t>
      </w:r>
    </w:p>
    <w:p>
      <w:pPr>
        <w:numPr>
          <w:ilvl w:val="0"/>
          <w:numId w:val="1032"/>
        </w:numPr>
      </w:pPr>
      <w:r>
        <w:t xml:space="preserve">If KQS &lt; 0.40: Kernel MUST NOT be used; propagation_mode = NONE.</w:t>
      </w:r>
    </w:p>
    <w:p>
      <w:pPr>
        <w:numPr>
          <w:ilvl w:val="0"/>
          <w:numId w:val="1033"/>
        </w:numPr>
        <w:pStyle w:val="Compact"/>
      </w:pPr>
      <w:r>
        <w:t xml:space="preserve">If 0.40 ≤ KQS &lt; 0.50: QUICK allowed only with mandatory kernel sensitivity; otherwise use NONE.</w:t>
      </w:r>
    </w:p>
    <w:p>
      <w:pPr>
        <w:numPr>
          <w:ilvl w:val="0"/>
          <w:numId w:val="1034"/>
        </w:numPr>
        <w:pStyle w:val="Compact"/>
      </w:pPr>
      <w:r>
        <w:t xml:space="preserve">If KQS ≥ 0.50: Kernel use permitted with required sensitivity at Tier 3.</w:t>
      </w:r>
    </w:p>
    <w:p>
      <w:pPr>
        <w:pStyle w:val="FirstParagraph"/>
      </w:pPr>
      <w:r>
        <w:t xml:space="preserve">Tier 1-2 default: propagation_mode = NONE unless the PCC explicitly declares kernel use and its KQS.</w:t>
      </w:r>
    </w:p>
    <w:bookmarkEnd w:id="105"/>
    <w:bookmarkEnd w:id="106"/>
    <w:bookmarkStart w:id="107" w:name="X7790a2e5b99dd3a4bee3bb1ba09ef76d1108490"/>
    <w:p>
      <w:pPr>
        <w:pStyle w:val="Heading2"/>
      </w:pPr>
      <w:r>
        <w:rPr>
          <w:bCs/>
          <w:b/>
        </w:rPr>
        <w:t xml:space="preserve">6.6 Kernel Sensitivity Requirements (Normative for Tier 3 when QUICK is used)</w:t>
      </w:r>
    </w:p>
    <w:p>
      <w:pPr>
        <w:pStyle w:val="FirstParagraph"/>
      </w:pPr>
      <w:r>
        <w:t xml:space="preserve">When QUICK propagation is used at Tier 3, the PCC MUST include sensitivity analysis:</w:t>
      </w:r>
    </w:p>
    <w:p>
      <w:pPr>
        <w:numPr>
          <w:ilvl w:val="0"/>
          <w:numId w:val="1035"/>
        </w:numPr>
        <w:pStyle w:val="Compact"/>
      </w:pPr>
      <w:r>
        <w:t xml:space="preserve">Perturb each relied-upon edge in E_use (as defined in Section 6.5.1) by ±0.05 (or ±10% of its magnitude, whichever is larger; declare the rule).</w:t>
      </w:r>
    </w:p>
    <w:p>
      <w:pPr>
        <w:numPr>
          <w:ilvl w:val="0"/>
          <w:numId w:val="1036"/>
        </w:numPr>
        <w:pStyle w:val="Compact"/>
      </w:pPr>
      <w:r>
        <w:t xml:space="preserve">Recompute the cascade for each perturbation set (at minimum one-at-a-time).</w:t>
      </w:r>
    </w:p>
    <w:p>
      <w:pPr>
        <w:numPr>
          <w:ilvl w:val="0"/>
          <w:numId w:val="1037"/>
        </w:numPr>
        <w:pStyle w:val="Compact"/>
      </w:pPr>
      <w:r>
        <w:t xml:space="preserve">If admissibility outcomes (NCRC, TRC, CSV) or the selected option changes, set audit_flag = DECISION_FRAGILE_KERNEL and escalate per tier policy.</w:t>
      </w:r>
    </w:p>
    <w:bookmarkEnd w:id="107"/>
    <w:bookmarkStart w:id="108" w:name="X63237f469fe04a8089974e5bfd1ff38abf86317"/>
    <w:p>
      <w:pPr>
        <w:pStyle w:val="Heading2"/>
      </w:pPr>
      <w:r>
        <w:rPr>
          <w:bCs/>
          <w:b/>
        </w:rPr>
        <w:t xml:space="preserve">6.7 KOPS and Starter Kernel (Tier 2-3) (Normative plus Provisional Labeling)</w:t>
      </w:r>
    </w:p>
    <w:p>
      <w:pPr>
        <w:pStyle w:val="FirstParagraph"/>
      </w:pPr>
      <w:r>
        <w:t xml:space="preserve">RippleLogic permits a governed subset of kernel edges called the Key Operational Pathways Set (KOPS). KOPS is the set of “load-bearing” pathways that are documented with evidence notes, sign-checked against literature or backtests, and sensitivity-audited.</w:t>
      </w:r>
    </w:p>
    <w:p>
      <w:pPr>
        <w:pStyle w:val="BodyText"/>
      </w:pPr>
      <w:r>
        <w:t xml:space="preserve">A Starter KOPS may be provided (Appendix K) and MUST be labeled PROVISIONAL with evidence classes and a global shrink factor for elicited edges (default 0.35). If a starter kernel is used, the PCC MUST disclose this and MUST include kernel sensitivity.</w:t>
      </w:r>
    </w:p>
    <w:bookmarkEnd w:id="108"/>
    <w:bookmarkStart w:id="109" w:name="X6f00188e2dd85b06c06fc2609b4b461021c0d70"/>
    <w:p>
      <w:pPr>
        <w:pStyle w:val="Heading2"/>
      </w:pPr>
      <w:r>
        <w:rPr>
          <w:bCs/>
          <w:b/>
        </w:rPr>
        <w:t xml:space="preserve">6.8 Scenario-Conditioned Propagation (Tier 1-3 Default Rule)</w:t>
      </w:r>
    </w:p>
    <w:p>
      <w:pPr>
        <w:pStyle w:val="FirstParagraph"/>
      </w:pPr>
      <w:r>
        <w:t xml:space="preserve">Default: Kernel is not scenario-conditioned; scenario enters via instance likelihoods ℓ_k and scenario-specific instance activation. Scenario-conditioned kernels K_s may be used only with explicit PCC justification and must carry KQS and sensitivity per scenario class.</w:t>
      </w:r>
    </w:p>
    <w:bookmarkEnd w:id="109"/>
    <w:bookmarkEnd w:id="110"/>
    <w:bookmarkStart w:id="130" w:name="X5a0d83b91cd58284c513865880458f3920e19ba"/>
    <w:p>
      <w:pPr>
        <w:pStyle w:val="Heading1"/>
      </w:pPr>
      <w:bookmarkStart w:id="772" w:name="mg_toc_008"/>
      <w:r>
        <w:rPr>
          <w:bCs/>
          <w:b/>
        </w:rPr>
        <w:t xml:space="preserve">SECTION 7: RIGHTS LAYER: NON-COMPENSATORY RIGHTS CONSTRAINT (NCRC)</w:t>
      </w:r>
      <w:bookmarkEnd w:id="772"/>
    </w:p>
    <w:bookmarkStart w:id="111" w:name="X251a100b436a3593ecd279e32f9bf977efd7de3"/>
    <w:p>
      <w:pPr>
        <w:pStyle w:val="Heading2"/>
      </w:pPr>
      <w:r>
        <w:rPr>
          <w:bCs/>
          <w:b/>
        </w:rPr>
        <w:t xml:space="preserve">7.0 Purpose and Union-Based Ethics Rationale (Normative)</w:t>
      </w:r>
    </w:p>
    <w:p>
      <w:pPr>
        <w:pStyle w:val="FirstParagraph"/>
      </w:pPr>
      <w:r>
        <w:t xml:space="preserve">RippleLogic enforces non-compensability: certain harms are not permitted to be “paid for” by aggregate benefits elsewhere. NCRC operationalizes this by removing rights-violating options prior to any welfare optimization.</w:t>
      </w:r>
    </w:p>
    <w:p>
      <w:pPr>
        <w:pStyle w:val="BodyText"/>
      </w:pPr>
      <w:r>
        <w:t xml:space="preserve">Union-Based Ethics (UBE) justification: Under UBR, harms propagate across layered and intersecting analytical scopes and dependency paths; without a rights-first constraint, local optimization systematically externalizes costs onto vulnerable subgroups and future stakeholders. NCRC is therefore a structural safeguard against value scalarization and moral laundering (Rawls, 1971; Sen, 2009).</w:t>
      </w:r>
    </w:p>
    <w:bookmarkEnd w:id="111"/>
    <w:bookmarkStart w:id="113" w:name="Xe5b1086145c9f708ae1f7d278b11d3c0cab0388"/>
    <w:p>
      <w:pPr>
        <w:pStyle w:val="Heading2"/>
      </w:pPr>
      <w:r>
        <w:rPr>
          <w:bCs/>
          <w:b/>
        </w:rPr>
        <w:t xml:space="preserve">7.1 Canonical Rights Set (Normative)</w:t>
      </w:r>
    </w:p>
    <w:p>
      <w:pPr>
        <w:pStyle w:val="FirstParagraph"/>
      </w:pPr>
      <w:r>
        <w:t xml:space="preserve">RippleLogic defines eight core rights as feasibility floors:</w:t>
      </w:r>
    </w:p>
    <w:p>
      <w:pPr>
        <w:pStyle w:val="BodyText"/>
      </w:pPr>
      <w:r>
        <w:t xml:space="preserve">Table 7.1: Canonical Rights Thresholds (Normative)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Right</w:t>
            </w:r>
          </w:p>
        </w:tc>
        <w:tc>
          <w:tcPr>
            <w:shd w:val="clear" w:color="auto" w:fill="D9EAF7"/>
            <w:vAlign w:val="center"/>
          </w:tcPr>
          <w:p>
            <w:pPr>
              <w:pStyle w:val="Compact"/>
              <w:jc w:val="left"/>
            </w:pPr>
            <w:r>
              <w:rPr>
                <w:bCs/>
                <w:b/>
                <w:color w:val="17365D"/>
              </w:rPr>
              <w:t xml:space="preserve">Code</w:t>
            </w:r>
          </w:p>
        </w:tc>
        <w:tc>
          <w:tcPr>
            <w:shd w:val="clear" w:color="auto" w:fill="D9EAF7"/>
            <w:vAlign w:val="center"/>
          </w:tcPr>
          <w:p>
            <w:pPr>
              <w:pStyle w:val="Compact"/>
              <w:jc w:val="left"/>
            </w:pPr>
            <w:r>
              <w:rPr>
                <w:bCs/>
                <w:b/>
                <w:color w:val="17365D"/>
              </w:rPr>
              <w:t xml:space="preserve">Threshold θ_r</w:t>
            </w:r>
          </w:p>
        </w:tc>
        <w:tc>
          <w:tcPr>
            <w:shd w:val="clear" w:color="auto" w:fill="D9EAF7"/>
            <w:vAlign w:val="center"/>
          </w:tcPr>
          <w:p>
            <w:pPr>
              <w:pStyle w:val="Compact"/>
              <w:jc w:val="left"/>
            </w:pPr>
            <w:r>
              <w:rPr>
                <w:bCs/>
                <w:b/>
                <w:color w:val="17365D"/>
              </w:rPr>
              <w:t xml:space="preserve">Normative Anchor</w:t>
            </w:r>
          </w:p>
        </w:tc>
      </w:tr>
      <w:tr>
        <w:tc>
          <w:tcPr>
            <w:vAlign w:val="top"/>
          </w:tcPr>
          <w:p>
            <w:pPr>
              <w:pStyle w:val="Compact"/>
              <w:jc w:val="left"/>
            </w:pPr>
            <w:r>
              <w:t xml:space="preserve">Life</w:t>
            </w:r>
          </w:p>
        </w:tc>
        <w:tc>
          <w:tcPr>
            <w:vAlign w:val="top"/>
          </w:tcPr>
          <w:p>
            <w:pPr>
              <w:pStyle w:val="Compact"/>
              <w:jc w:val="left"/>
            </w:pPr>
            <w:r>
              <w:t xml:space="preserve">LIFE</w:t>
            </w:r>
          </w:p>
        </w:tc>
        <w:tc>
          <w:tcPr>
            <w:vAlign w:val="top"/>
          </w:tcPr>
          <w:p>
            <w:pPr>
              <w:pStyle w:val="Compact"/>
              <w:jc w:val="left"/>
            </w:pPr>
            <w:r>
              <w:t xml:space="preserve">-0.90</w:t>
            </w:r>
          </w:p>
        </w:tc>
        <w:tc>
          <w:tcPr>
            <w:vAlign w:val="top"/>
          </w:tcPr>
          <w:p>
            <w:pPr>
              <w:pStyle w:val="Compact"/>
              <w:jc w:val="left"/>
            </w:pPr>
            <w:r>
              <w:t xml:space="preserve">Near-certain or highly probable death or lethal exposure</w:t>
            </w:r>
          </w:p>
        </w:tc>
      </w:tr>
      <w:tr>
        <w:tc>
          <w:tcPr>
            <w:shd w:val="clear" w:color="auto" w:fill="F7FBFE"/>
            <w:vAlign w:val="top"/>
          </w:tcPr>
          <w:p>
            <w:pPr>
              <w:pStyle w:val="Compact"/>
              <w:jc w:val="left"/>
            </w:pPr>
            <w:r>
              <w:t xml:space="preserve">Bodily Integrity</w:t>
            </w:r>
          </w:p>
        </w:tc>
        <w:tc>
          <w:tcPr>
            <w:shd w:val="clear" w:color="auto" w:fill="F7FBFE"/>
            <w:vAlign w:val="top"/>
          </w:tcPr>
          <w:p>
            <w:pPr>
              <w:pStyle w:val="Compact"/>
              <w:jc w:val="left"/>
            </w:pPr>
            <w:r>
              <w:t xml:space="preserve">BODY</w:t>
            </w:r>
          </w:p>
        </w:tc>
        <w:tc>
          <w:tcPr>
            <w:shd w:val="clear" w:color="auto" w:fill="F7FBFE"/>
            <w:vAlign w:val="top"/>
          </w:tcPr>
          <w:p>
            <w:pPr>
              <w:pStyle w:val="Compact"/>
              <w:jc w:val="left"/>
            </w:pPr>
            <w:r>
              <w:t xml:space="preserve">-0.70</w:t>
            </w:r>
          </w:p>
        </w:tc>
        <w:tc>
          <w:tcPr>
            <w:shd w:val="clear" w:color="auto" w:fill="F7FBFE"/>
            <w:vAlign w:val="top"/>
          </w:tcPr>
          <w:p>
            <w:pPr>
              <w:pStyle w:val="Compact"/>
              <w:jc w:val="left"/>
            </w:pPr>
            <w:r>
              <w:t xml:space="preserve">Severe injury, disability, torture, serious bodily violation</w:t>
            </w:r>
          </w:p>
        </w:tc>
      </w:tr>
      <w:tr>
        <w:tc>
          <w:tcPr>
            <w:vAlign w:val="top"/>
          </w:tcPr>
          <w:p>
            <w:pPr>
              <w:pStyle w:val="Compact"/>
              <w:jc w:val="left"/>
            </w:pPr>
            <w:r>
              <w:t xml:space="preserve">Liberty</w:t>
            </w:r>
          </w:p>
        </w:tc>
        <w:tc>
          <w:tcPr>
            <w:vAlign w:val="top"/>
          </w:tcPr>
          <w:p>
            <w:pPr>
              <w:pStyle w:val="Compact"/>
              <w:jc w:val="left"/>
            </w:pPr>
            <w:r>
              <w:t xml:space="preserve">LBTY</w:t>
            </w:r>
          </w:p>
        </w:tc>
        <w:tc>
          <w:tcPr>
            <w:vAlign w:val="top"/>
          </w:tcPr>
          <w:p>
            <w:pPr>
              <w:pStyle w:val="Compact"/>
              <w:jc w:val="left"/>
            </w:pPr>
            <w:r>
              <w:t xml:space="preserve">-0.65</w:t>
            </w:r>
          </w:p>
        </w:tc>
        <w:tc>
          <w:tcPr>
            <w:vAlign w:val="top"/>
          </w:tcPr>
          <w:p>
            <w:pPr>
              <w:pStyle w:val="Compact"/>
              <w:jc w:val="left"/>
            </w:pPr>
            <w:r>
              <w:t xml:space="preserve">Arbitrary detention, forced labor, coercive confinement</w:t>
            </w:r>
          </w:p>
        </w:tc>
      </w:tr>
      <w:tr>
        <w:tc>
          <w:tcPr>
            <w:shd w:val="clear" w:color="auto" w:fill="F7FBFE"/>
            <w:vAlign w:val="top"/>
          </w:tcPr>
          <w:p>
            <w:pPr>
              <w:pStyle w:val="Compact"/>
              <w:jc w:val="left"/>
            </w:pPr>
            <w:r>
              <w:t xml:space="preserve">Basic Needs</w:t>
            </w:r>
          </w:p>
        </w:tc>
        <w:tc>
          <w:tcPr>
            <w:shd w:val="clear" w:color="auto" w:fill="F7FBFE"/>
            <w:vAlign w:val="top"/>
          </w:tcPr>
          <w:p>
            <w:pPr>
              <w:pStyle w:val="Compact"/>
              <w:jc w:val="left"/>
            </w:pPr>
            <w:r>
              <w:t xml:space="preserve">NEED</w:t>
            </w:r>
          </w:p>
        </w:tc>
        <w:tc>
          <w:tcPr>
            <w:shd w:val="clear" w:color="auto" w:fill="F7FBFE"/>
            <w:vAlign w:val="top"/>
          </w:tcPr>
          <w:p>
            <w:pPr>
              <w:pStyle w:val="Compact"/>
              <w:jc w:val="left"/>
            </w:pPr>
            <w:r>
              <w:t xml:space="preserve">-0.50</w:t>
            </w:r>
          </w:p>
        </w:tc>
        <w:tc>
          <w:tcPr>
            <w:shd w:val="clear" w:color="auto" w:fill="F7FBFE"/>
            <w:vAlign w:val="top"/>
          </w:tcPr>
          <w:p>
            <w:pPr>
              <w:pStyle w:val="Compact"/>
              <w:jc w:val="left"/>
            </w:pPr>
            <w:r>
              <w:t xml:space="preserve">Severe deprivation: food insecurity, homelessness, loss of basic subsistence</w:t>
            </w:r>
          </w:p>
        </w:tc>
      </w:tr>
      <w:tr>
        <w:tc>
          <w:tcPr>
            <w:vAlign w:val="top"/>
          </w:tcPr>
          <w:p>
            <w:pPr>
              <w:pStyle w:val="Compact"/>
              <w:jc w:val="left"/>
            </w:pPr>
            <w:r>
              <w:t xml:space="preserve">Dignity</w:t>
            </w:r>
          </w:p>
        </w:tc>
        <w:tc>
          <w:tcPr>
            <w:vAlign w:val="top"/>
          </w:tcPr>
          <w:p>
            <w:pPr>
              <w:pStyle w:val="Compact"/>
              <w:jc w:val="left"/>
            </w:pPr>
            <w:r>
              <w:t xml:space="preserve">DIGN</w:t>
            </w:r>
          </w:p>
        </w:tc>
        <w:tc>
          <w:tcPr>
            <w:vAlign w:val="top"/>
          </w:tcPr>
          <w:p>
            <w:pPr>
              <w:pStyle w:val="Compact"/>
              <w:jc w:val="left"/>
            </w:pPr>
            <w:r>
              <w:t xml:space="preserve">-0.55</w:t>
            </w:r>
          </w:p>
        </w:tc>
        <w:tc>
          <w:tcPr>
            <w:vAlign w:val="top"/>
          </w:tcPr>
          <w:p>
            <w:pPr>
              <w:pStyle w:val="Compact"/>
              <w:jc w:val="left"/>
            </w:pPr>
            <w:r>
              <w:t xml:space="preserve">Systematic humiliation, dehumanization, targeted degradation</w:t>
            </w:r>
          </w:p>
        </w:tc>
      </w:tr>
      <w:tr>
        <w:tc>
          <w:tcPr>
            <w:shd w:val="clear" w:color="auto" w:fill="F7FBFE"/>
            <w:vAlign w:val="top"/>
          </w:tcPr>
          <w:p>
            <w:pPr>
              <w:pStyle w:val="Compact"/>
              <w:jc w:val="left"/>
            </w:pPr>
            <w:r>
              <w:t xml:space="preserve">Due Process</w:t>
            </w:r>
          </w:p>
        </w:tc>
        <w:tc>
          <w:tcPr>
            <w:shd w:val="clear" w:color="auto" w:fill="F7FBFE"/>
            <w:vAlign w:val="top"/>
          </w:tcPr>
          <w:p>
            <w:pPr>
              <w:pStyle w:val="Compact"/>
              <w:jc w:val="left"/>
            </w:pPr>
            <w:r>
              <w:t xml:space="preserve">PROC</w:t>
            </w:r>
          </w:p>
        </w:tc>
        <w:tc>
          <w:tcPr>
            <w:shd w:val="clear" w:color="auto" w:fill="F7FBFE"/>
            <w:vAlign w:val="top"/>
          </w:tcPr>
          <w:p>
            <w:pPr>
              <w:pStyle w:val="Compact"/>
              <w:jc w:val="left"/>
            </w:pPr>
            <w:r>
              <w:t xml:space="preserve">-0.45</w:t>
            </w:r>
          </w:p>
        </w:tc>
        <w:tc>
          <w:tcPr>
            <w:shd w:val="clear" w:color="auto" w:fill="F7FBFE"/>
            <w:vAlign w:val="top"/>
          </w:tcPr>
          <w:p>
            <w:pPr>
              <w:pStyle w:val="Compact"/>
              <w:jc w:val="left"/>
            </w:pPr>
            <w:r>
              <w:t xml:space="preserve">Denial of fair hearing, non-transparent coercive procedure</w:t>
            </w:r>
          </w:p>
        </w:tc>
      </w:tr>
      <w:tr>
        <w:tc>
          <w:tcPr>
            <w:vAlign w:val="top"/>
          </w:tcPr>
          <w:p>
            <w:pPr>
              <w:pStyle w:val="Compact"/>
              <w:jc w:val="left"/>
            </w:pPr>
            <w:r>
              <w:t xml:space="preserve">Information</w:t>
            </w:r>
          </w:p>
        </w:tc>
        <w:tc>
          <w:tcPr>
            <w:vAlign w:val="top"/>
          </w:tcPr>
          <w:p>
            <w:pPr>
              <w:pStyle w:val="Compact"/>
              <w:jc w:val="left"/>
            </w:pPr>
            <w:r>
              <w:t xml:space="preserve">INFO</w:t>
            </w:r>
          </w:p>
        </w:tc>
        <w:tc>
          <w:tcPr>
            <w:vAlign w:val="top"/>
          </w:tcPr>
          <w:p>
            <w:pPr>
              <w:pStyle w:val="Compact"/>
              <w:jc w:val="left"/>
            </w:pPr>
            <w:r>
              <w:t xml:space="preserve">-0.40</w:t>
            </w:r>
          </w:p>
        </w:tc>
        <w:tc>
          <w:tcPr>
            <w:vAlign w:val="top"/>
          </w:tcPr>
          <w:p>
            <w:pPr>
              <w:pStyle w:val="Compact"/>
              <w:jc w:val="left"/>
            </w:pPr>
            <w:r>
              <w:t xml:space="preserve">Systematic censorship, epistemic coercion, pervasive disinformation constraints</w:t>
            </w:r>
          </w:p>
        </w:tc>
      </w:tr>
      <w:tr>
        <w:tc>
          <w:tcPr>
            <w:shd w:val="clear" w:color="auto" w:fill="F7FBFE"/>
            <w:vAlign w:val="top"/>
          </w:tcPr>
          <w:p>
            <w:pPr>
              <w:pStyle w:val="Compact"/>
              <w:jc w:val="left"/>
            </w:pPr>
            <w:r>
              <w:t xml:space="preserve">Ecological Integrity</w:t>
            </w:r>
          </w:p>
        </w:tc>
        <w:tc>
          <w:tcPr>
            <w:shd w:val="clear" w:color="auto" w:fill="F7FBFE"/>
            <w:vAlign w:val="top"/>
          </w:tcPr>
          <w:p>
            <w:pPr>
              <w:pStyle w:val="Compact"/>
              <w:jc w:val="left"/>
            </w:pPr>
            <w:r>
              <w:t xml:space="preserve">ECOL</w:t>
            </w:r>
          </w:p>
        </w:tc>
        <w:tc>
          <w:tcPr>
            <w:shd w:val="clear" w:color="auto" w:fill="F7FBFE"/>
            <w:vAlign w:val="top"/>
          </w:tcPr>
          <w:p>
            <w:pPr>
              <w:pStyle w:val="Compact"/>
              <w:jc w:val="left"/>
            </w:pPr>
            <w:r>
              <w:t xml:space="preserve">-0.65</w:t>
            </w:r>
          </w:p>
        </w:tc>
        <w:tc>
          <w:tcPr>
            <w:shd w:val="clear" w:color="auto" w:fill="F7FBFE"/>
            <w:vAlign w:val="top"/>
          </w:tcPr>
          <w:p>
            <w:pPr>
              <w:pStyle w:val="Compact"/>
              <w:jc w:val="left"/>
            </w:pPr>
            <w:r>
              <w:t xml:space="preserve">Material biosphere integrity breach or planetary boundary transgression corridor</w:t>
            </w:r>
          </w:p>
        </w:tc>
      </w:tr>
    </w:tbl>
    <w:p>
      <w:pPr>
        <w:pStyle w:val="BodyText"/>
      </w:pPr>
      <w:r>
        <w:t xml:space="preserve">Ecological Integrity boundary. ECOL is a MathGov non-compensatory enabling-condition protection for biosphere integrity and life-supporting ecological conditions. It may overlap with legal environmental rights where recognized, but this Canon does not claim universal legal status by itself.</w:t>
      </w:r>
    </w:p>
    <w:p>
      <w:pPr>
        <w:pStyle w:val="BodyText"/>
      </w:pPr>
      <w:r>
        <w:t xml:space="preserve">Normative interpretation rule: Thresholds θ_r are admissibility floors, not weights. They do not represent “how important” a right is; they represent the minimum allowable protection level.</w:t>
      </w:r>
    </w:p>
    <w:p>
      <w:pPr>
        <w:pStyle w:val="BodyText"/>
      </w:pPr>
      <w:r>
        <w:t xml:space="preserve">Threshold governance. All thresholds are explicitly challengeable. Revisions require justification, version increment, PCC documentation preserving prior values, and sensitivity outcomes over a reference decision suite.</w:t>
      </w:r>
    </w:p>
    <w:p>
      <w:pPr>
        <w:pStyle w:val="BodyText"/>
      </w:pPr>
      <w:r>
        <w:t xml:space="preserve">Threshold epistemic boundary. Rights thresholds are versioned governance priors, not discovered empirical constants or jurisdiction-specific legal conclusions. They may be challenged, localized, stress-tested, and revised under governed update rules, but they remain non-compensatory while active in a run.</w:t>
      </w:r>
    </w:p>
    <w:p>
      <w:pPr>
        <w:pStyle w:val="BodyText"/>
      </w:pPr>
      <w:r>
        <w:t xml:space="preserve">Sensitivity requirement. In Tier 3 runs, each θ_r MUST be perturbed by ±0.05 and the cascade recomputed. If admissibility changes for any option under perturbation, the decision is flagged as threshold-sensitive and the PCC MUST document which rights are near-binding, which options are affected, and how the final selection responds to that near-binding status.</w:t>
      </w:r>
    </w:p>
    <w:p>
      <w:pPr>
        <w:pStyle w:val="BodyText"/>
      </w:pPr>
      <w:r>
        <w:t xml:space="preserve">Proxy disclaimer. Governance indices (such as press freedom or rule-of-law indices) may be used as operational proxies for anchoring reference conditions, but are not treated as moral ground truth and MUST be accompanied by documented limitations in the PCC.</w:t>
      </w:r>
    </w:p>
    <w:p>
      <w:pPr>
        <w:pStyle w:val="BodyText"/>
      </w:pPr>
      <w:r>
        <w:t xml:space="preserve">Right INFO (θ = -0.40). Normative anchor: systematic censorship, epistemic coercion, or deliberate degradation of the information environment such that agents cannot form informed preferences. Example anchors: systematic media control and censorship per RSF Press Freedom Index “Very Serious Situation” (score below 40); persistent large-scale disinformation operations affecting public health, safety, or governance; surveillance-driven chilling effects that measurably suppress information seeking or expression.</w:t>
      </w:r>
    </w:p>
    <w:p>
      <w:pPr>
        <w:pStyle w:val="BodyText"/>
      </w:pPr>
      <w:r>
        <w:t xml:space="preserve">Right PROC (θ = -0.45). Normative anchor: denial of fair hearing, non-transparent coercive procedure, or absence of meaningful recourse against institutional power. Example anchors: no meaningful access to justice or independent review per WJP Rule of Law Index bottom quintile; consequential automated decisions without explanation, appeal, or human review; systematic procedural exclusion; coercive institutional action without proportionality review.</w:t>
      </w:r>
    </w:p>
    <w:p>
      <w:pPr>
        <w:pStyle w:val="BodyText"/>
      </w:pPr>
      <w:r>
        <w:t xml:space="preserve">Right NEED (θ = -0.50). Normative anchor: severe deprivation of material conditions necessary for survival and minimally adequate functioning. Example anchors: sustained severe food insecurity at IPC Phase 3 or above; homelessness or severe housing deprivation per UN-Habitat standards; lack of safe water and sanitation; denial of essential healthcare access such that treatable conditions become severe or lethal.</w:t>
      </w:r>
    </w:p>
    <w:p>
      <w:pPr>
        <w:pStyle w:val="BodyText"/>
      </w:pPr>
      <w:r>
        <w:t xml:space="preserve">Right DIGN (θ = -0.55). Normative anchor: systematic humiliation, dehumanization, or targeted degradation that denies inherent worth and equal standing. Example anchors: institutionalized dehumanization of groups per the UN Framework of Analysis for Atrocity Crimes; degrading treatment per ECHR Article 3; systematic exclusion from participation in social and civic life; discriminatory institutions that deny equal standing below capability thresholds (Nussbaum, 2011).</w:t>
      </w:r>
    </w:p>
    <w:p>
      <w:pPr>
        <w:pStyle w:val="BodyText"/>
      </w:pPr>
      <w:r>
        <w:t xml:space="preserve">Right ECOL (θ = -0.65). Normative anchor: breach of biosphere integrity or entry into high-risk Earth-system transgression corridors that threaten enabling conditions for continued life. Example anchors: actions that materially increase probability of crossing critical climate or ecosystem tipping elements per Lenton et al. (2008); ecosystem regime shifts effectively irreversible on human-relevant timescales; depletion of foundational natural capital (aquifers, soils, fisheries) beyond recharge capacity; biodiversity loss sufficient to undermine ecosystem services.</w:t>
      </w:r>
    </w:p>
    <w:p>
      <w:pPr>
        <w:pStyle w:val="BodyText"/>
      </w:pPr>
      <w:r>
        <w:t xml:space="preserve">Right LBTY (θ = -0.65). Normative anchor: arbitrary detention, forced labor, coercive confinement, or systematic deprivation of freedom of movement and association. Example anchors: deprivation of liberty without legal basis or review per ICCPR Article 9; forced labor patterns consistent with ILO indicator bundles (restriction of movement, debt bondage, retention of identity documents, isolation); coercive confinement not justified by legitimate, proportionate public safety measures.</w:t>
      </w:r>
    </w:p>
    <w:p>
      <w:pPr>
        <w:pStyle w:val="BodyText"/>
      </w:pPr>
      <w:r>
        <w:t xml:space="preserve">Right BODY (θ = -0.70). Normative anchor: severe injury, disability, torture, or serious violation of bodily autonomy falling short of lethality but constituting fundamental harm to physical and psychological functioning. Example anchors: torture or cruel treatment as defined by the UN Convention Against Torture; serious bodily injury resulting in permanent disability or substantial loss of function per WHO disability classification frameworks (ICF; WHODAS 2.0); forced medical procedures or systematic bodily violations; sustained exposure to hazards expected to cause serious chronic illness.</w:t>
      </w:r>
    </w:p>
    <w:p>
      <w:pPr>
        <w:pStyle w:val="BodyText"/>
      </w:pPr>
      <w:r>
        <w:t xml:space="preserve">Right LIFE (θ = -0.90). Normative anchor: near-certain or highly probable death, lethal exposure, or elimination of conditions necessary for continued biological existence for the worst-off subgroup. Example anchors: direct lethal violence or exposure; catastrophic deprivation conditions such as IPC Phase 5 famine (≥20% extreme food gaps, crude death rate &gt;2 per 10,000 per day); collapse of life-sustaining infrastructure (water, sanitation, shelter) without viable alternatives; mass-casualty disaster exposures. The threshold is set above -1.0 because -1.0 corresponds to guaranteed death for all affected persons, a theoretical maximum rarely achieved even in extreme scenarios.</w:t>
      </w:r>
    </w:p>
    <w:bookmarkStart w:id="112" w:name="X8a4c407ca39128818e8126500b2d5173b56b9de"/>
    <w:p>
      <w:pPr>
        <w:pStyle w:val="Heading3"/>
      </w:pPr>
      <w:r>
        <w:rPr>
          <w:bCs/>
          <w:b/>
        </w:rPr>
        <w:t xml:space="preserve">7.1.1 Threshold Calibration Protocol (Normative)</w:t>
      </w:r>
    </w:p>
    <w:p>
      <w:pPr>
        <w:pStyle w:val="FirstParagraph"/>
      </w:pPr>
      <w:r>
        <w:t xml:space="preserve">The eight canonical rights thresholds are normative governance priors, not empirically derived frequencies. Each threshold encodes a severity level on the normalized impact scale [-1, +1] at which a predicted impact is treated as a rights-floor violation that cannot be traded away for aggregate benefit elsewhere.</w:t>
      </w:r>
    </w:p>
    <w:p>
      <w:pPr>
        <w:pStyle w:val="BodyText"/>
      </w:pPr>
      <w:r>
        <w:t xml:space="preserve">Calibration follows two principles:</w:t>
      </w:r>
    </w:p>
    <w:p>
      <w:pPr>
        <w:pStyle w:val="BodyText"/>
      </w:pPr>
      <w:r>
        <w:t xml:space="preserve">First, thresholds are placed relative to the semantics of the impact scale: -1.0 denotes an extreme, worst-case welfare decrement in the relevant domain; +1.0 denotes an extreme improvement.</w:t>
      </w:r>
    </w:p>
    <w:p>
      <w:pPr>
        <w:pStyle w:val="BodyText"/>
      </w:pPr>
      <w:r>
        <w:t xml:space="preserve">Second, the ordering of thresholds reflects both a severity gradient and an enabling-conditions logic: rights protecting against lethal and bodily harms sit closer to the floor, while rights protecting procedural and epistemic conditions are set closer to zero because their violation can enable cascading downstream rights failures. When information environments are degraded or due process is absent, communities lose the epistemic and procedural capacity to detect and contest violations of life, bodily integrity, and liberty.</w:t>
      </w:r>
    </w:p>
    <w:p>
      <w:pPr>
        <w:pStyle w:val="BodyText"/>
      </w:pPr>
      <w:r>
        <w:t xml:space="preserve">Operationally, a threshold is justified by two to four anchor conditions per right, a mapping rule from anchors to the [-1, +1] scale using threshold anchoring (Section 5.6.2), and a mandatory sensitivity sweep.</w:t>
      </w:r>
    </w:p>
    <w:bookmarkEnd w:id="112"/>
    <w:bookmarkEnd w:id="113"/>
    <w:bookmarkStart w:id="114" w:name="X0eba022227f4077be112b62cc64327d48ecc689"/>
    <w:p>
      <w:pPr>
        <w:pStyle w:val="Heading2"/>
      </w:pPr>
      <w:r>
        <w:rPr>
          <w:bCs/>
          <w:b/>
        </w:rPr>
        <w:t xml:space="preserve">7.2 Rights Coverage Sets C_r (Normative)</w:t>
      </w:r>
    </w:p>
    <w:p>
      <w:pPr>
        <w:pStyle w:val="FirstParagraph"/>
      </w:pPr>
      <w:r>
        <w:t xml:space="preserve">Each right applies to a defined subset of welfare cells C_r. NCRC evaluates each right across its coverage set and uses the worst-off subgroup for rights-covered cells.</w:t>
      </w:r>
    </w:p>
    <w:p>
      <w:pPr>
        <w:pStyle w:val="BodyText"/>
      </w:pPr>
      <w:r>
        <w:t xml:space="preserve">Canonical coverage sets (authoritative):</w:t>
      </w:r>
    </w:p>
    <w:p>
      <w:pPr>
        <w:pStyle w:val="BodyText"/>
      </w:pPr>
      <w:r>
        <w:t xml:space="preserve">Coverage note (Normative clarification). ECOL is scoped to capture enabling-conditions harms to the biosphere and to humanity’s life-support systems. Canonically this is implemented via Environment-dimension cells in the Humanity / Global Coordination and Biosphere unions (and any additional declared cells via governed extension). Implementations MAY extend ECOL coverage to additional cells only by explicit governance declaration in the PCC, and MUST NOT silently re-scope ECOL between runs.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Right</w:t>
            </w:r>
          </w:p>
        </w:tc>
        <w:tc>
          <w:tcPr>
            <w:shd w:val="clear" w:color="auto" w:fill="D9EAF7"/>
            <w:vAlign w:val="center"/>
          </w:tcPr>
          <w:p>
            <w:pPr>
              <w:pStyle w:val="Compact"/>
              <w:jc w:val="left"/>
            </w:pPr>
            <w:r>
              <w:rPr>
                <w:bCs/>
                <w:b/>
                <w:color w:val="17365D"/>
              </w:rPr>
              <w:t xml:space="preserve">Coverage Set C_r</w:t>
            </w:r>
          </w:p>
        </w:tc>
      </w:tr>
      <w:tr>
        <w:tc>
          <w:tcPr>
            <w:vAlign w:val="top"/>
          </w:tcPr>
          <w:p>
            <w:pPr>
              <w:pStyle w:val="Compact"/>
              <w:jc w:val="left"/>
            </w:pPr>
            <w:r>
              <w:t xml:space="preserve">LIFE</w:t>
            </w:r>
          </w:p>
        </w:tc>
        <w:tc>
          <w:tcPr>
            <w:vAlign w:val="top"/>
          </w:tcPr>
          <w:p>
            <w:pPr>
              <w:pStyle w:val="Compact"/>
              <w:jc w:val="left"/>
            </w:pPr>
            <w:r>
              <w:t xml:space="preserve">{(u, Health): u ∈ {1,2,3,4,5,6}} ∪ {(6, Environment)}</w:t>
            </w:r>
          </w:p>
        </w:tc>
      </w:tr>
      <w:tr>
        <w:tc>
          <w:tcPr>
            <w:shd w:val="clear" w:color="auto" w:fill="F7FBFE"/>
            <w:vAlign w:val="top"/>
          </w:tcPr>
          <w:p>
            <w:pPr>
              <w:pStyle w:val="Compact"/>
              <w:jc w:val="left"/>
            </w:pPr>
            <w:r>
              <w:t xml:space="preserve">BODY</w:t>
            </w:r>
          </w:p>
        </w:tc>
        <w:tc>
          <w:tcPr>
            <w:shd w:val="clear" w:color="auto" w:fill="F7FBFE"/>
            <w:vAlign w:val="top"/>
          </w:tcPr>
          <w:p>
            <w:pPr>
              <w:pStyle w:val="Compact"/>
              <w:jc w:val="left"/>
            </w:pPr>
            <w:r>
              <w:t xml:space="preserve">{(u, Health): u ∈ {1,2,3,4,5,6}}</w:t>
            </w:r>
          </w:p>
        </w:tc>
      </w:tr>
      <w:tr>
        <w:tc>
          <w:tcPr>
            <w:vAlign w:val="top"/>
          </w:tcPr>
          <w:p>
            <w:pPr>
              <w:pStyle w:val="Compact"/>
              <w:jc w:val="left"/>
            </w:pPr>
            <w:r>
              <w:t xml:space="preserve">LBTY</w:t>
            </w:r>
          </w:p>
        </w:tc>
        <w:tc>
          <w:tcPr>
            <w:vAlign w:val="top"/>
          </w:tcPr>
          <w:p>
            <w:pPr>
              <w:pStyle w:val="Compact"/>
              <w:jc w:val="left"/>
            </w:pPr>
            <w:r>
              <w:t xml:space="preserve">{(u, Agency): u ∈ {1,2,3,4,5,6}} ∪ {(u, Social): u ∈ {3,4,5,6}}</w:t>
            </w:r>
          </w:p>
        </w:tc>
      </w:tr>
      <w:tr>
        <w:tc>
          <w:tcPr>
            <w:shd w:val="clear" w:color="auto" w:fill="F7FBFE"/>
            <w:vAlign w:val="top"/>
          </w:tcPr>
          <w:p>
            <w:pPr>
              <w:pStyle w:val="Compact"/>
              <w:jc w:val="left"/>
            </w:pPr>
            <w:r>
              <w:t xml:space="preserve">NEED</w:t>
            </w:r>
          </w:p>
        </w:tc>
        <w:tc>
          <w:tcPr>
            <w:shd w:val="clear" w:color="auto" w:fill="F7FBFE"/>
            <w:vAlign w:val="top"/>
          </w:tcPr>
          <w:p>
            <w:pPr>
              <w:pStyle w:val="Compact"/>
              <w:jc w:val="left"/>
            </w:pPr>
            <w:r>
              <w:t xml:space="preserve">{(u, Material): u ∈ {1,2,3,4,5,6}} ∪ {(u, Health): u ∈ {1,2,3,4,5,6}}</w:t>
            </w:r>
          </w:p>
        </w:tc>
      </w:tr>
      <w:tr>
        <w:tc>
          <w:tcPr>
            <w:vAlign w:val="top"/>
          </w:tcPr>
          <w:p>
            <w:pPr>
              <w:pStyle w:val="Compact"/>
              <w:jc w:val="left"/>
            </w:pPr>
            <w:r>
              <w:t xml:space="preserve">DIGN</w:t>
            </w:r>
          </w:p>
        </w:tc>
        <w:tc>
          <w:tcPr>
            <w:vAlign w:val="top"/>
          </w:tcPr>
          <w:p>
            <w:pPr>
              <w:pStyle w:val="Compact"/>
              <w:jc w:val="left"/>
            </w:pPr>
            <w:r>
              <w:t xml:space="preserve">{(u, Social): u ∈ {1,2,3,4,5,6}} ∪ {(u, Agency): u ∈ {1,2,3,4,5,6}}</w:t>
            </w:r>
          </w:p>
        </w:tc>
      </w:tr>
      <w:tr>
        <w:tc>
          <w:tcPr>
            <w:shd w:val="clear" w:color="auto" w:fill="F7FBFE"/>
            <w:vAlign w:val="top"/>
          </w:tcPr>
          <w:p>
            <w:pPr>
              <w:pStyle w:val="Compact"/>
              <w:jc w:val="left"/>
            </w:pPr>
            <w:r>
              <w:t xml:space="preserve">PROC</w:t>
            </w:r>
          </w:p>
        </w:tc>
        <w:tc>
          <w:tcPr>
            <w:shd w:val="clear" w:color="auto" w:fill="F7FBFE"/>
            <w:vAlign w:val="top"/>
          </w:tcPr>
          <w:p>
            <w:pPr>
              <w:pStyle w:val="Compact"/>
              <w:jc w:val="left"/>
            </w:pPr>
            <w:r>
              <w:t xml:space="preserve">{(u, Agency): u ∈ {4,5,6}} ∪ {(u, Knowledge): u ∈ {4,5,6}} ∪ {(u, Social): u ∈ {4,5,6}}</w:t>
            </w:r>
          </w:p>
        </w:tc>
      </w:tr>
      <w:tr>
        <w:tc>
          <w:tcPr>
            <w:vAlign w:val="top"/>
          </w:tcPr>
          <w:p>
            <w:pPr>
              <w:pStyle w:val="Compact"/>
              <w:jc w:val="left"/>
            </w:pPr>
            <w:r>
              <w:t xml:space="preserve">INFO</w:t>
            </w:r>
          </w:p>
        </w:tc>
        <w:tc>
          <w:tcPr>
            <w:vAlign w:val="top"/>
          </w:tcPr>
          <w:p>
            <w:pPr>
              <w:pStyle w:val="Compact"/>
              <w:jc w:val="left"/>
            </w:pPr>
            <w:r>
              <w:t xml:space="preserve">{(u, Knowledge): u ∈ {1,2,3,4,5,6}} ∪ {(u, Agency): u ∈ {1,2,3,4,5,6}}</w:t>
            </w:r>
          </w:p>
        </w:tc>
      </w:tr>
      <w:tr>
        <w:tc>
          <w:tcPr>
            <w:shd w:val="clear" w:color="auto" w:fill="F7FBFE"/>
            <w:vAlign w:val="top"/>
          </w:tcPr>
          <w:p>
            <w:pPr>
              <w:pStyle w:val="Compact"/>
              <w:jc w:val="left"/>
            </w:pPr>
            <w:r>
              <w:t xml:space="preserve">ECOL</w:t>
            </w:r>
          </w:p>
        </w:tc>
        <w:tc>
          <w:tcPr>
            <w:shd w:val="clear" w:color="auto" w:fill="F7FBFE"/>
            <w:vAlign w:val="top"/>
          </w:tcPr>
          <w:p>
            <w:pPr>
              <w:pStyle w:val="Compact"/>
              <w:jc w:val="left"/>
            </w:pPr>
            <w:r>
              <w:t xml:space="preserve">{(6, Environment), (7, Environment)}</w:t>
            </w:r>
          </w:p>
        </w:tc>
      </w:tr>
    </w:tbl>
    <w:bookmarkEnd w:id="114"/>
    <w:bookmarkStart w:id="117" w:name="X51f4a67324fd7a6362512a06b56a53b650dfa29"/>
    <w:p>
      <w:pPr>
        <w:pStyle w:val="Heading2"/>
      </w:pPr>
      <w:r>
        <w:rPr>
          <w:bCs/>
          <w:b/>
        </w:rPr>
        <w:t xml:space="preserve">7.3 Worst-Off Subgroup Semantics (Normative)</w:t>
      </w:r>
    </w:p>
    <w:p>
      <w:pPr>
        <w:pStyle w:val="FirstParagraph"/>
      </w:pPr>
      <w:r>
        <w:t xml:space="preserve">Rights cannot be averaged away. For every rights-covered cell (u,d) in any C_r, define:</w:t>
      </w:r>
    </w:p>
    <w:p>
      <w:pPr>
        <w:pStyle w:val="BodyText"/>
      </w:pPr>
      <w:r>
        <w:t xml:space="preserve">I_rights(u,d,a,r) = min_{g ∈ G_RF(u,d,a,r)} I_RF(u,d,a|g,r)</w:t>
      </w:r>
    </w:p>
    <w:p>
      <w:pPr>
        <w:pStyle w:val="BodyText"/>
      </w:pPr>
      <w:r>
        <w:t>G_RF MUST NOT be empty for a material rights-covered cell. When no governed subgroup split is material, the declared base population is the sole member. If neither a governed subgroup record nor a defensible base-population record exists, the cell is NCRC_UNKNOWN; an empty set MUST NOT pass vacuously.</w:t>
      </w:r>
    </w:p>
    <w:p>
      <w:pPr>
        <w:pStyle w:val="BodyText"/>
      </w:pPr>
      <w:r>
        <w:t xml:space="preserve">Where G_RF(u,d,a,r) is the governed set of protected subgroups relevant to that right and cell. The right identifier r MUST remain explicit in machine records even where display equations suppress it for readability. The ordinary Welfare/Base-stream value I_prop_base may inform evidence discovery, but it is not the canonical rights-floor input unless separately reconstructed under the Section 7.4 non-attenuation rules.</w:t>
      </w:r>
    </w:p>
    <w:p>
      <w:pPr>
        <w:pStyle w:val="BodyText"/>
      </w:pPr>
      <w:r>
        <w:t xml:space="preserve">Tier requirements:</w:t>
      </w:r>
    </w:p>
    <w:p>
      <w:pPr>
        <w:numPr>
          <w:ilvl w:val="0"/>
          <w:numId w:val="1038"/>
        </w:numPr>
        <w:pStyle w:val="Compact"/>
      </w:pPr>
      <w:r>
        <w:t xml:space="preserve">Tier 3: Subgroup enumeration is REQUIRED for rights-covered cells (Appendix H PCC requirements).</w:t>
      </w:r>
    </w:p>
    <w:p>
      <w:pPr>
        <w:numPr>
          <w:ilvl w:val="0"/>
          <w:numId w:val="1039"/>
        </w:numPr>
        <w:pStyle w:val="Compact"/>
      </w:pPr>
      <w:r>
        <w:t xml:space="preserve">Tier 2 (strict posture): Subgroup enumeration is REQUIRED at least for directly affected populations in rights-covered cells; when infeasible, the PCC MUST record SUBGROUP_LIMITATION and apply a conservative bound rule (Section 7.3.2).</w:t>
      </w:r>
    </w:p>
    <w:bookmarkStart w:id="115" w:name="X39d0047e6eeb655931cd543785c41ea4ba97db2"/>
    <w:p>
      <w:pPr>
        <w:pStyle w:val="Heading3"/>
      </w:pPr>
      <w:r>
        <w:rPr>
          <w:bCs/>
          <w:b/>
        </w:rPr>
        <w:t xml:space="preserve">7.3.1 Minimum subgroup categories (Normative minimum)</w:t>
      </w:r>
    </w:p>
    <w:p>
      <w:pPr>
        <w:pStyle w:val="FirstParagraph"/>
      </w:pPr>
      <w:r>
        <w:t xml:space="preserve">At minimum, when applicable and feasible, G_{u,d} SHOULD include subgroups defined by:</w:t>
      </w:r>
    </w:p>
    <w:p>
      <w:pPr>
        <w:numPr>
          <w:ilvl w:val="0"/>
          <w:numId w:val="1040"/>
        </w:numPr>
        <w:pStyle w:val="Compact"/>
      </w:pPr>
      <w:r>
        <w:t xml:space="preserve">Age (children; elderly)</w:t>
      </w:r>
    </w:p>
    <w:p>
      <w:pPr>
        <w:numPr>
          <w:ilvl w:val="0"/>
          <w:numId w:val="1041"/>
        </w:numPr>
        <w:pStyle w:val="Compact"/>
      </w:pPr>
      <w:r>
        <w:t xml:space="preserve">Disability status</w:t>
      </w:r>
    </w:p>
    <w:p>
      <w:pPr>
        <w:numPr>
          <w:ilvl w:val="0"/>
          <w:numId w:val="1042"/>
        </w:numPr>
        <w:pStyle w:val="Compact"/>
      </w:pPr>
      <w:r>
        <w:t xml:space="preserve">Legally protected characteristics relevant in jurisdiction</w:t>
      </w:r>
    </w:p>
    <w:p>
      <w:pPr>
        <w:numPr>
          <w:ilvl w:val="0"/>
          <w:numId w:val="1043"/>
        </w:numPr>
        <w:pStyle w:val="Compact"/>
      </w:pPr>
      <w:r>
        <w:t xml:space="preserve">Economic vulnerability (for example, bottom income quintile)</w:t>
      </w:r>
    </w:p>
    <w:p>
      <w:pPr>
        <w:numPr>
          <w:ilvl w:val="0"/>
          <w:numId w:val="1044"/>
        </w:numPr>
        <w:pStyle w:val="Compact"/>
      </w:pPr>
      <w:r>
        <w:t xml:space="preserve">Geographic exposure (for example, high-risk locations)</w:t>
      </w:r>
    </w:p>
    <w:p>
      <w:pPr>
        <w:numPr>
          <w:ilvl w:val="0"/>
          <w:numId w:val="1045"/>
        </w:numPr>
        <w:pStyle w:val="Compact"/>
      </w:pPr>
      <w:r>
        <w:t xml:space="preserve">Domain-specific protected groups (for example, patients, detainees, precarious workers, indigenous communities)</w:t>
      </w:r>
    </w:p>
    <w:bookmarkEnd w:id="115"/>
    <w:bookmarkStart w:id="116" w:name="Xeb6e7943885dcac122a0e553ca0b702f6ba8779"/>
    <w:p>
      <w:pPr>
        <w:pStyle w:val="Heading3"/>
      </w:pPr>
      <w:r>
        <w:rPr>
          <w:bCs/>
          <w:b/>
        </w:rPr>
        <w:t xml:space="preserve">7.3.2 Conservative fallback when subgroup disaggregation is infeasible (Tier 2-3) (Normative)</w:t>
      </w:r>
    </w:p>
    <w:p>
      <w:pPr>
        <w:pStyle w:val="FirstParagraph"/>
      </w:pPr>
      <w:r>
        <w:t xml:space="preserve">If subgroup-specific rights-floor impacts I_RF(u,d,a|g,r) cannot be produced for a rights-covered cell, the run MUST:</w:t>
      </w:r>
    </w:p>
    <w:p>
      <w:pPr>
        <w:numPr>
          <w:ilvl w:val="0"/>
          <w:numId w:val="1046"/>
        </w:numPr>
        <w:pStyle w:val="Compact"/>
      </w:pPr>
      <w:r>
        <w:t xml:space="preserve">Record SUBGROUP_LIMITATION in the PCC, and</w:t>
      </w:r>
    </w:p>
    <w:p>
      <w:pPr>
        <w:numPr>
          <w:ilvl w:val="0"/>
          <w:numId w:val="1047"/>
        </w:numPr>
        <w:pStyle w:val="Compact"/>
      </w:pPr>
      <w:r>
        <w:t xml:space="preserve">Apply a conservative rights bound for that cell:</w:t>
      </w:r>
    </w:p>
    <w:p>
      <w:pPr>
        <w:pStyle w:val="FirstParagraph"/>
      </w:pPr>
      <w:r>
        <w:t xml:space="preserve">Let γ_subgroup be a conservatism factor (default γ_subgroup = 1.5). Then define:</w:t>
      </w:r>
    </w:p>
    <w:p>
      <w:pPr>
        <w:numPr>
          <w:ilvl w:val="0"/>
          <w:numId w:val="1048"/>
        </w:numPr>
        <w:pStyle w:val="Compact"/>
      </w:pPr>
      <w:r>
        <w:t xml:space="preserve">If the separately constructed base-population rights-floor impact I_RF_base(u,d,a,r) &lt; 0, set I_rights(u,d,a,r) = max(-1, γ_subgroup × I_RF_base(u,d,a,r))</w:t>
      </w:r>
    </w:p>
    <w:p>
      <w:pPr>
        <w:numPr>
          <w:ilvl w:val="0"/>
          <w:numId w:val="1049"/>
        </w:numPr>
        <w:pStyle w:val="Compact"/>
      </w:pPr>
      <w:r>
        <w:t xml:space="preserve">Else set I_rights(u,d,a,r) = I_RF_base(u,d,a,r)</w:t>
      </w:r>
    </w:p>
    <w:p>
      <w:pPr>
        <w:pStyle w:val="FirstParagraph"/>
      </w:pPr>
      <w:r>
        <w:t xml:space="preserve">This bound applies only for NCRC checking, not for RLS scoring.</w:t>
      </w:r>
    </w:p>
    <w:p>
      <w:pPr>
        <w:pStyle w:val="BodyText"/>
      </w:pPr>
      <w:r>
        <w:t>Emergency comparison tie rule (Normative). The saturated I_rights value remains controlling for ordinary admissibility. If two or more Emergency Mode options tie on v_r^floor because the conservative clamp maps them to −1, the run MUST use the unclamped conservative value γ_subgroup × I_RF_base as a secondary ordering key for that right, with more negative values treated as worse and the trace recorded in the PCC. This secondary key does not convert any failing option into an ordinary NCRC pass.</w:t>
      </w:r>
    </w:p>
    <w:p>
      <w:pPr>
        <w:pStyle w:val="BodyText"/>
      </w:pPr>
      <w:r>
        <w:t xml:space="preserve">If I_RF_base cannot be constructed from reviewed rights-floor instances, the cell is NCRC_UNKNOWN; the run MUST collect evidence, narrow, escalate, or refuse rather than reuse a temporally or confidence-attenuated welfare value as a rights pass.</w:t>
      </w:r>
    </w:p>
    <w:p>
      <w:pPr>
        <w:pStyle w:val="BodyText"/>
      </w:pPr>
      <w:r>
        <w:t xml:space="preserve">Calibration note (Normative guidance). The default γ_subgroup = 1.5 is a conservative governance prior rather than an empirically estimated constant. The value is set as a moderate worst-off uplift between the identity case (γ_subgroup = 1.0) and stronger stress-test settings used to examine subgroup vulnerability under uncertainty. It is intended to reduce subgroup erasure without asserting a precise empirical constant across domains. Tier 3 deployments SHOULD review γ_subgroup against their reference decision suite at least annually or after a material accumulation of rights-sensitive runs. Any non-default γ_subgroup MUST be declared in the PCC, justified, and accompanied by sensitivity reruns over the reference suite. The sensitivity sweep for γ_subgroup SHOULD include at minimum γ_subgroup ∈ {1.0, 1.3, 1.5, 2.0} to test whether admissibility outcomes or selection change materially.</w:t>
      </w:r>
    </w:p>
    <w:bookmarkEnd w:id="116"/>
    <w:bookmarkEnd w:id="117"/>
    <w:bookmarkStart w:id="123" w:name="X1902d601e0e19a1b48a588c8d34e52a771e5703"/>
    <w:p>
      <w:pPr>
        <w:pStyle w:val="Heading2"/>
      </w:pPr>
      <w:r>
        <w:rPr>
          <w:bCs/>
          <w:b/>
        </w:rPr>
        <w:t xml:space="preserve">7.4 Rights-Specific Severity, Hazard, and NCRC Admissibility (Normative)</w:t>
      </w:r>
    </w:p>
    <w:bookmarkStart w:id="118" w:name="X90a1da8b86f9bb513da9ce09fd6b867db8f1cdc"/>
    <w:p>
      <w:pPr>
        <w:pStyle w:val="Heading3"/>
      </w:pPr>
      <w:r>
        <w:rPr>
          <w:bCs/>
          <w:b/>
        </w:rPr>
        <w:t xml:space="preserve">7.4.1 Rights-floor impact channel (Normative)</w:t>
      </w:r>
    </w:p>
    <w:p>
      <w:pPr>
        <w:pStyle w:val="FirstParagraph"/>
      </w:pPr>
      <w:r>
        <w:t xml:space="preserve">The welfare-impact stream is not by itself sufficient to decide rights admissibility. For every adverse impact instance k that is material to a protected right r, the run MUST construct a rights-floor instance using the exposed protected subgroup as the reach denominator.</w:t>
      </w:r>
    </w:p>
    <w:p>
      <w:pPr>
        <w:pStyle w:val="BodyText"/>
      </w:pPr>
      <w:r>
        <w:t xml:space="preserve">For adverse rights-floor instances, set the rights temporal factor τ_RF(t_k) := 1.0. Duration remains recorded and may aggravate severity, remedy, and emergency comparison, but short duration MUST NOT attenuate a categorical or severe rights violation into admissibility. Analyst confidence c_k is evidence metadata rather than a protective discount: low confidence MUST trigger conservative bounding, evidence collection, narrowing, escalation, or refusal, not a weaker rights check.</w:t>
      </w:r>
    </w:p>
    <w:p>
      <w:pPr>
        <w:pStyle w:val="BodyText"/>
      </w:pPr>
      <w:r>
        <w:t xml:space="preserve">Let ℓ_k^U be the declared conservative upper likelihood bound for the rights event. The rights-floor contribution is:</w:t>
      </w:r>
    </w:p>
    <w:p>
      <w:pPr>
        <w:pStyle w:val="BodyText"/>
      </w:pPr>
      <w:r>
        <w:t xml:space="preserve">x_RF(k,r,a) = μ_k · r_k^R · ℓ_k^U · e_k</w:t>
      </w:r>
    </w:p>
    <w:p>
      <w:pPr>
        <w:pStyle w:val="BodyText"/>
      </w:pPr>
      <w:r>
        <w:t xml:space="preserve">where r_k^R uses rights-specific exposed-subgroup reach. Only adverse rights-floor instances enter this channel; positive effects remain in welfare analysis and cannot offset a protected loss.</w:t>
      </w:r>
    </w:p>
    <w:p>
      <w:pPr>
        <w:pStyle w:val="BodyText"/>
      </w:pPr>
      <w:r>
        <w:t xml:space="preserve">For each rights-covered cell, let K_RF(u,d,a) be the reviewed set of material adverse rights-floor instances and define:</w:t>
      </w:r>
    </w:p>
    <w:p>
      <w:pPr>
        <w:pStyle w:val="BodyText"/>
      </w:pPr>
      <w:r>
        <w:t xml:space="preserve">X_RF(u,d,a) = Σ_{k ∈ K_RF(u,d,a)} x_RF(k,r,a)</w:t>
      </w:r>
    </w:p>
    <w:p>
      <w:pPr>
        <w:pStyle w:val="BodyText"/>
      </w:pPr>
      <w:r>
        <w:t xml:space="preserve">I_RF(u,d,a) = tanh(β_RF · X_RF(u,d,a))</w:t>
      </w:r>
    </w:p>
    <w:p>
      <w:pPr>
        <w:pStyle w:val="BodyText"/>
      </w:pPr>
      <w:r>
        <w:t xml:space="preserve">The canonical default is β_RF = β, the governed saturation parameter used for direct welfare impacts in Section 5.5. In this rights-specific channel,</w:t>
      </w:r>
      <w:r>
        <w:t xml:space="preserve"> </w:t>
      </w:r>
      <w:r>
        <w:rPr>
          <w:rStyle w:val="VerbatimChar"/>
        </w:rPr>
        <w:t xml:space="preserve">I_RF</w:t>
      </w:r>
      <w:r>
        <w:t xml:space="preserve"> </w:t>
      </w:r>
      <w:r>
        <w:t xml:space="preserve">and</w:t>
      </w:r>
      <w:r>
        <w:t xml:space="preserve"> </w:t>
      </w:r>
      <w:r>
        <w:rPr>
          <w:rStyle w:val="VerbatimChar"/>
        </w:rPr>
        <w:t xml:space="preserve">I_rights</w:t>
      </w:r>
      <w:r>
        <w:t xml:space="preserve"> </w:t>
      </w:r>
      <w:r>
        <w:t xml:space="preserve">are evaluated separately for each protected right</w:t>
      </w:r>
      <w:r>
        <w:t xml:space="preserve"> </w:t>
      </w:r>
      <w:r>
        <w:rPr>
          <w:rStyle w:val="VerbatimChar"/>
        </w:rPr>
        <w:t xml:space="preserve">r</w:t>
      </w:r>
      <w:r>
        <w:t xml:space="preserve">; the</w:t>
      </w:r>
      <w:r>
        <w:t xml:space="preserve"> </w:t>
      </w:r>
      <w:r>
        <w:rPr>
          <w:rStyle w:val="VerbatimChar"/>
        </w:rPr>
        <w:t xml:space="preserve">r</w:t>
      </w:r>
      <w:r>
        <w:t xml:space="preserve"> </w:t>
      </w:r>
      <w:r>
        <w:t xml:space="preserve">subscript is suppressed in legacy display equations only. Machine records and validators MUST preserve the right identifier and MUST NOT merge overlapping rights into one compensable cell value.</w:t>
      </w:r>
      <w:r>
        <w:t xml:space="preserve"> </w:t>
      </w:r>
      <w:r>
        <w:rPr>
          <w:rStyle w:val="VerbatimChar"/>
        </w:rPr>
        <w:t xml:space="preserve">β_RF</w:t>
      </w:r>
      <w:r>
        <w:t xml:space="preserve"> </w:t>
      </w:r>
      <w:r>
        <w:t xml:space="preserve">is a governed rights parameter, not an empirical constant. Every Tier 2-3 PCC MUST record it. Tier 3 and high-stakes Tier 2 runs MUST test the canonical value and at least one lower and one higher preregistered value whenever a plausible change could cross a rights threshold. Larger positive</w:t>
      </w:r>
      <w:r>
        <w:t xml:space="preserve"> </w:t>
      </w:r>
      <w:r>
        <w:rPr>
          <w:rStyle w:val="VerbatimChar"/>
        </w:rPr>
        <w:t xml:space="preserve">β_RF</w:t>
      </w:r>
      <w:r>
        <w:t xml:space="preserve"> </w:t>
      </w:r>
      <w:r>
        <w:t xml:space="preserve">magnifies both positive and negative pre-saturation values toward the bounds and therefore makes a negative floor breach more likely for a fixed negative</w:t>
      </w:r>
      <w:r>
        <w:t xml:space="preserve"> </w:t>
      </w:r>
      <w:r>
        <w:rPr>
          <w:rStyle w:val="VerbatimChar"/>
        </w:rPr>
        <w:t xml:space="preserve">X_RF</w:t>
      </w:r>
      <w:r>
        <w:t xml:space="preserve">; “tighter” MUST NOT be used without stating that direction. A non-default</w:t>
      </w:r>
      <w:r>
        <w:t xml:space="preserve"> </w:t>
      </w:r>
      <w:r>
        <w:rPr>
          <w:rStyle w:val="VerbatimChar"/>
        </w:rPr>
        <w:t xml:space="preserve">β_RF</w:t>
      </w:r>
      <w:r>
        <w:t xml:space="preserve"> </w:t>
      </w:r>
      <w:r>
        <w:t xml:space="preserve">MUST be set ex ante, justified, applied symmetrically, and accompanied by the canonical-default counterfactual. If rights admissibility changes across the required sensitivity range, the run MUST report</w:t>
      </w:r>
      <w:r>
        <w:t xml:space="preserve"> </w:t>
      </w:r>
      <w:r>
        <w:rPr>
          <w:rStyle w:val="VerbatimChar"/>
        </w:rPr>
        <w:t xml:space="preserve">RIGHTS_SATURATION_SENSITIVE</w:t>
      </w:r>
      <w:r>
        <w:t xml:space="preserve"> </w:t>
      </w:r>
      <w:r>
        <w:t xml:space="preserve">and MAY NOT claim an unqualified RF/NCRC result until governed review resolves the parameter basis. For the subgroup set G_RF(u,d,a) required by Section 7.3, define I_rights(u,d,a) = min_{g ∈ G_RF(u,d,a)} I_RF(u,d,a|g); when no governed subgroup split is material, the declared base population is the sole member of G_RF. Apply the remaining Section 7.3 visibility and evidence rules without attenuation. Low confidence, short duration, or positive welfare elsewhere cannot attenuate this rights-floor channel.</w:t>
      </w:r>
    </w:p>
    <w:bookmarkEnd w:id="118"/>
    <w:bookmarkStart w:id="119" w:name="X339a00ec04e1d78f19ed8513386ef500f210baf"/>
    <w:p>
      <w:pPr>
        <w:pStyle w:val="Heading3"/>
      </w:pPr>
      <w:r>
        <w:rPr>
          <w:bCs/>
          <w:b/>
        </w:rPr>
        <w:t xml:space="preserve">7.4.2 Categorical-prohibition channel (Normative)</w:t>
      </w:r>
    </w:p>
    <w:p>
      <w:pPr>
        <w:pStyle w:val="FirstParagraph"/>
      </w:pPr>
      <w:r>
        <w:t xml:space="preserve">For each material rights instance, declare z_k,r ∈ {0,1}, where z_k,r = 1 means the option authorizes, requires, or knowingly imposes a categorical rights violation under the declared rights profile. Examples may include torture, intentional killing outside a lawful protective exception, non-consensual invasive medical intervention, arbitrary detention, deliberate deprivation below a basic-needs floor, or another prohibition explicitly declared by the governing profile.</w:t>
      </w:r>
    </w:p>
    <w:p>
      <w:pPr>
        <w:pStyle w:val="BodyText"/>
      </w:pPr>
      <w:r>
        <w:t xml:space="preserve">A categorical flag is profile-governed and challengeable. It MUST NOT be inferred merely from rhetoric, and it MUST NOT be removed because the event is brief, affects a small protected subgroup, or produces benefits elsewhere.</w:t>
      </w:r>
    </w:p>
    <w:bookmarkEnd w:id="119"/>
    <w:bookmarkStart w:id="120" w:name="X106f5201a513d0d1447c8757a1bab9b6ee0a944"/>
    <w:p>
      <w:pPr>
        <w:pStyle w:val="Heading3"/>
      </w:pPr>
      <w:r>
        <w:rPr>
          <w:bCs/>
          <w:b/>
        </w:rPr>
        <w:t xml:space="preserve">7.4.3 Severe rights-hazard channel (Normative)</w:t>
      </w:r>
    </w:p>
    <w:p>
      <w:pPr>
        <w:pStyle w:val="FirstParagraph"/>
      </w:pPr>
      <w:r>
        <w:t xml:space="preserve">The severe-rights-hazard channel is distinct from the ordinary rights-floor threshold. It is activated by either a governed event class or a separate hazard-activation threshold.</w:t>
      </w:r>
      <w:r>
        <w:t xml:space="preserve"> </w:t>
      </w:r>
      <w:r>
        <w:rPr>
          <w:bCs/>
          <w:b/>
        </w:rPr>
        <w:t xml:space="preserve">Decision-materiality screen.</w:t>
      </w:r>
      <w:r>
        <w:t xml:space="preserve"> </w:t>
      </w:r>
      <w:r>
        <w:t xml:space="preserve">The background existence of a severe event class in a domain does not by itself activate the channel for every option. The run MUST determine whether the option creates, increases, transfers, conceals, controls, or makes a material claim about the protected population's exposure relative to the declared baseline. A reviewed</w:t>
      </w:r>
      <w:r>
        <w:t xml:space="preserve"> </w:t>
      </w:r>
      <w:r>
        <w:rPr>
          <w:rStyle w:val="VerbatimChar"/>
        </w:rPr>
        <w:t xml:space="preserve">NOT_MATERIAL</w:t>
      </w:r>
      <w:r>
        <w:t xml:space="preserve"> </w:t>
      </w:r>
      <w:r>
        <w:t xml:space="preserve">finding requires an option-specific rationale, evidence source, reviewer status, and reopen trigger; it MUST NOT be represented as proof that background risk is zero.</w:t>
      </w:r>
    </w:p>
    <w:p>
      <w:pPr>
        <w:pStyle w:val="BodyText"/>
      </w:pPr>
      <w:r>
        <w:t xml:space="preserve">For impact instance k and right r, define:</w:t>
      </w:r>
    </w:p>
    <w:p>
      <w:pPr>
        <w:pStyle w:val="BodyText"/>
      </w:pPr>
      <w:r>
        <w:t xml:space="preserve">SevereRightsHazardActive(k,r) := (EventClass_k ∈ C_severe,r) OR (h_sev,k,r ≥ η_r).</w:t>
      </w:r>
    </w:p>
    <w:p>
      <w:pPr>
        <w:pStyle w:val="BodyText"/>
      </w:pPr>
      <w:r>
        <w:t xml:space="preserve">Canonical default: η_r := min(0.50, |θ_r|). Domain profiles MAY tighten η_r but MUST NOT set it above 0.50 or disable a canonical event-class trigger.</w:t>
      </w:r>
    </w:p>
    <w:p>
      <w:pPr>
        <w:pStyle w:val="BodyText"/>
      </w:pPr>
      <w:r>
        <w:t xml:space="preserve">C_severe,r includes, where applicable: credible fatality pathways; torture or cruel, inhuman, or degrading treatment; serious bodily injury or forced invasive intervention; arbitrary detention or confinement; deprivation of basic subsistence; collapse of due process or remedy; severe information coercion or manipulation; and irreversible or severe ecological destruction affecting protected life-support conditions.</w:t>
      </w:r>
    </w:p>
    <w:p>
      <w:pPr>
        <w:pStyle w:val="BodyText"/>
      </w:pPr>
      <w:r>
        <w:t xml:space="preserve">When the channel is active, the run MUST separately declare intrinsic severity conditional on occurrence, likelihood or scenario probability, reversibility, consent/authority status, worst-affected subgroup, evidence status, and the governed tolerance or prohibition. The ordinary temporally weighted welfare product does not determine whether the hazard is reviewed. Missing gate-critical evidence produces NCRC_UNKNOWN, escalation, or refusal rather than an implied pass.</w:t>
      </w:r>
    </w:p>
    <w:bookmarkEnd w:id="120"/>
    <w:bookmarkStart w:id="121" w:name="X6f5447af78a526f68607fc939979baaf73a1a6c"/>
    <w:p>
      <w:pPr>
        <w:pStyle w:val="Heading3"/>
      </w:pPr>
      <w:r>
        <w:rPr>
          <w:bCs/>
          <w:b/>
        </w:rPr>
        <w:t xml:space="preserve">7.4.4 Violation components and predicate (Normative)</w:t>
      </w:r>
    </w:p>
    <w:p>
      <w:pPr>
        <w:pStyle w:val="FirstParagraph"/>
      </w:pPr>
      <w:r>
        <w:t xml:space="preserve">For each right r, define:</w:t>
      </w:r>
    </w:p>
    <w:p>
      <w:pPr>
        <w:pStyle w:val="BodyText"/>
      </w:pPr>
      <w:r>
        <w:t xml:space="preserve">v_r^floor(a) = max_(u,d in C_r) (θ_r - I_rights(u,d,a))^+</w:t>
      </w:r>
    </w:p>
    <w:p>
      <w:pPr>
        <w:pStyle w:val="BodyText"/>
      </w:pPr>
      <w:r>
        <w:t xml:space="preserve">v_r^cat(a) = max_(k in K_r(a)) z_k,r</w:t>
      </w:r>
    </w:p>
    <w:p>
      <w:pPr>
        <w:pStyle w:val="BodyText"/>
      </w:pPr>
      <w:r>
        <w:t xml:space="preserve">v_r^risk(a) = max_(k in K_r(a): SevereRightsHazardActive(k,r)) (p_k,r^U - ρ_r)^+</w:t>
      </w:r>
    </w:p>
    <w:p>
      <w:pPr>
        <w:pStyle w:val="BodyText"/>
      </w:pPr>
      <w:r>
        <w:t xml:space="preserve">where (x)^+ = max(x,0).</w:t>
      </w:r>
    </w:p>
    <w:p>
      <w:pPr>
        <w:pStyle w:val="BodyText"/>
      </w:pPr>
      <w:r>
        <w:rPr>
          <w:bCs/>
          <w:b/>
        </w:rPr>
        <w:t xml:space="preserve">Reviewed-empty-set convention (Normative).</w:t>
      </w:r>
      <w:r>
        <w:t xml:space="preserve"> </w:t>
      </w:r>
      <w:r>
        <w:t xml:space="preserve">For the categorical and severe-risk channels,</w:t>
      </w:r>
      <w:r>
        <w:t xml:space="preserve"> </w:t>
      </w:r>
      <w:r>
        <w:rPr>
          <w:rStyle w:val="VerbatimChar"/>
        </w:rPr>
        <w:t xml:space="preserve">max ∅ = 0</w:t>
      </w:r>
      <w:r>
        <w:t xml:space="preserve"> </w:t>
      </w:r>
      <w:r>
        <w:t xml:space="preserve">only after the run has completed the required stakeholder, event-class, and evidence review and has established that no material instance belongs in the applicable set. This convention does not apply when a required field, stakeholder, event class, or evidence trace is missing or unresolved; such cases produce</w:t>
      </w:r>
      <w:r>
        <w:t xml:space="preserve"> </w:t>
      </w:r>
      <w:r>
        <w:rPr>
          <w:rStyle w:val="VerbatimChar"/>
        </w:rPr>
        <w:t xml:space="preserve">NCRC_UNKNOWN</w:t>
      </w:r>
      <w:r>
        <w:t xml:space="preserve">, escalation, or refusal rather than zero.</w:t>
      </w:r>
    </w:p>
    <w:p>
      <w:pPr>
        <w:pStyle w:val="BodyText"/>
      </w:pPr>
      <w:r>
        <w:t xml:space="preserve">If a required severe-hazard field is missing, set the rights evidence status to UNKNOWN rather than zero.</w:t>
      </w:r>
    </w:p>
    <w:p>
      <w:pPr>
        <w:pStyle w:val="BodyText"/>
      </w:pPr>
      <w:r>
        <w:rPr>
          <w:bCs/>
          <w:b/>
        </w:rPr>
        <w:t xml:space="preserve">Rights-risk tolerance provenance rule (Normative).</w:t>
      </w:r>
      <w:r>
        <w:t xml:space="preserve"> </w:t>
      </w:r>
      <w:r>
        <w:rPr>
          <w:rStyle w:val="VerbatimChar"/>
        </w:rPr>
        <w:t xml:space="preserve">rho_r</w:t>
      </w:r>
      <w:r>
        <w:t xml:space="preserve"> </w:t>
      </w:r>
      <w:r>
        <w:t xml:space="preserve">is a governed maximum tolerated probability for an already activated severe-rights hazard; it is not inferred from the ordinary floor</w:t>
      </w:r>
      <w:r>
        <w:t xml:space="preserve"> </w:t>
      </w:r>
      <w:r>
        <w:rPr>
          <w:rStyle w:val="VerbatimChar"/>
        </w:rPr>
        <w:t xml:space="preserve">theta_r</w:t>
      </w:r>
      <w:r>
        <w:t xml:space="preserve">, analyst convenience, or the option’s welfare score. Every non-zero</w:t>
      </w:r>
      <w:r>
        <w:t xml:space="preserve"> </w:t>
      </w:r>
      <w:r>
        <w:rPr>
          <w:rStyle w:val="VerbatimChar"/>
        </w:rPr>
        <w:t xml:space="preserve">rho_r</w:t>
      </w:r>
      <w:r>
        <w:t xml:space="preserve"> </w:t>
      </w:r>
      <w:r>
        <w:t xml:space="preserve">MUST identify the governing authority or domain profile, protected population and event class, evidence date, uncertainty basis, challenge/appeal path, and review trigger. Categorical prohibitions ordinarily use</w:t>
      </w:r>
      <w:r>
        <w:t xml:space="preserve"> </w:t>
      </w:r>
      <w:r>
        <w:rPr>
          <w:rStyle w:val="VerbatimChar"/>
        </w:rPr>
        <w:t xml:space="preserve">rho_r=0</w:t>
      </w:r>
      <w:r>
        <w:t xml:space="preserve">. If</w:t>
      </w:r>
      <w:r>
        <w:t xml:space="preserve"> </w:t>
      </w:r>
      <w:r>
        <w:rPr>
          <w:rStyle w:val="VerbatimChar"/>
        </w:rPr>
        <w:t xml:space="preserve">rho_r</w:t>
      </w:r>
      <w:r>
        <w:t xml:space="preserve"> </w:t>
      </w:r>
      <w:r>
        <w:t xml:space="preserve">is missing, stale, unauthorized, or contested at a gate-material point, the severe-risk channel is</w:t>
      </w:r>
      <w:r>
        <w:t xml:space="preserve"> </w:t>
      </w:r>
      <w:r>
        <w:rPr>
          <w:rStyle w:val="VerbatimChar"/>
        </w:rPr>
        <w:t xml:space="preserve">NCRC_UNKNOWN</w:t>
      </w:r>
      <w:r>
        <w:t xml:space="preserve">, not zero.</w:t>
      </w:r>
    </w:p>
    <w:p>
      <w:pPr>
        <w:pStyle w:val="BodyText"/>
      </w:pPr>
      <w:r>
        <w:rPr>
          <w:bCs/>
          <w:b/>
        </w:rPr>
        <w:t xml:space="preserve">Activation/computation examples (Normative).</w:t>
      </w:r>
      <w:r>
        <w:t xml:space="preserve"> </w:t>
      </w:r>
      <w:r>
        <w:t xml:space="preserve">Failing case: for</w:t>
      </w:r>
      <w:r>
        <w:t xml:space="preserve"> </w:t>
      </w:r>
      <w:r>
        <w:rPr>
          <w:rStyle w:val="VerbatimChar"/>
        </w:rPr>
        <w:t xml:space="preserve">LIFE</w:t>
      </w:r>
      <w:r>
        <w:t xml:space="preserve">, let</w:t>
      </w:r>
      <w:r>
        <w:t xml:space="preserve"> </w:t>
      </w:r>
      <w:r>
        <w:rPr>
          <w:rStyle w:val="VerbatimChar"/>
        </w:rPr>
        <w:t xml:space="preserve">theta_LIFE=-0.90</w:t>
      </w:r>
      <w:r>
        <w:t xml:space="preserve">,</w:t>
      </w:r>
      <w:r>
        <w:t xml:space="preserve"> </w:t>
      </w:r>
      <w:r>
        <w:rPr>
          <w:rStyle w:val="VerbatimChar"/>
        </w:rPr>
        <w:t xml:space="preserve">eta_LIFE=0.50</w:t>
      </w:r>
      <w:r>
        <w:t xml:space="preserve">, intrinsic fatality-pathway severity</w:t>
      </w:r>
      <w:r>
        <w:t xml:space="preserve"> </w:t>
      </w:r>
      <w:r>
        <w:rPr>
          <w:rStyle w:val="VerbatimChar"/>
        </w:rPr>
        <w:t xml:space="preserve">h_sev=0.80</w:t>
      </w:r>
      <w:r>
        <w:t xml:space="preserve">, conservative probability bound</w:t>
      </w:r>
      <w:r>
        <w:t xml:space="preserve"> </w:t>
      </w:r>
      <w:r>
        <w:rPr>
          <w:rStyle w:val="VerbatimChar"/>
        </w:rPr>
        <w:t xml:space="preserve">p^U=0.03</w:t>
      </w:r>
      <w:r>
        <w:t xml:space="preserve">, and governed tolerance</w:t>
      </w:r>
      <w:r>
        <w:t xml:space="preserve"> </w:t>
      </w:r>
      <w:r>
        <w:rPr>
          <w:rStyle w:val="VerbatimChar"/>
        </w:rPr>
        <w:t xml:space="preserve">rho_LIFE=0.01</w:t>
      </w:r>
      <w:r>
        <w:t xml:space="preserve">. The hazard activates because</w:t>
      </w:r>
      <w:r>
        <w:t xml:space="preserve"> </w:t>
      </w:r>
      <w:r>
        <w:rPr>
          <w:rStyle w:val="VerbatimChar"/>
        </w:rPr>
        <w:t xml:space="preserve">0.80 &gt;= 0.50</w:t>
      </w:r>
      <w:r>
        <w:t xml:space="preserve">, even though</w:t>
      </w:r>
      <w:r>
        <w:t xml:space="preserve"> </w:t>
      </w:r>
      <w:r>
        <w:rPr>
          <w:rStyle w:val="VerbatimChar"/>
        </w:rPr>
        <w:t xml:space="preserve">0.80 &lt; 0.90</w:t>
      </w:r>
      <w:r>
        <w:t xml:space="preserve">; therefore</w:t>
      </w:r>
      <w:r>
        <w:t xml:space="preserve"> </w:t>
      </w:r>
      <w:r>
        <w:rPr>
          <w:rStyle w:val="VerbatimChar"/>
        </w:rPr>
        <w:t xml:space="preserve">v_LIFE^risk=(0.03-0.01)^+=0.02</w:t>
      </w:r>
      <w:r>
        <w:t xml:space="preserve"> </w:t>
      </w:r>
      <w:r>
        <w:t xml:space="preserve">and ordinary NCRC passage is blocked. Passing case: under an authorized domain profile for the same event class, let</w:t>
      </w:r>
      <w:r>
        <w:t xml:space="preserve"> </w:t>
      </w:r>
      <w:r>
        <w:rPr>
          <w:rStyle w:val="VerbatimChar"/>
        </w:rPr>
        <w:t xml:space="preserve">p^U=0.004</w:t>
      </w:r>
      <w:r>
        <w:t xml:space="preserve"> </w:t>
      </w:r>
      <w:r>
        <w:t xml:space="preserve">and</w:t>
      </w:r>
      <w:r>
        <w:t xml:space="preserve"> </w:t>
      </w:r>
      <w:r>
        <w:rPr>
          <w:rStyle w:val="VerbatimChar"/>
        </w:rPr>
        <w:t xml:space="preserve">rho_LIFE=0.005</w:t>
      </w:r>
      <w:r>
        <w:t xml:space="preserve">, with complete provenance, conservative uncertainty, independent review, and a reopen trigger. Then</w:t>
      </w:r>
      <w:r>
        <w:t xml:space="preserve"> </w:t>
      </w:r>
      <w:r>
        <w:rPr>
          <w:rStyle w:val="VerbatimChar"/>
        </w:rPr>
        <w:t xml:space="preserve">v_LIFE^risk=(0.004-0.005)^+=0</w:t>
      </w:r>
      <w:r>
        <w:t xml:space="preserve">; the severe-risk channel passes, but the floor, categorical, evidence-completeness, TRC, CSV, and authority conditions remain independently binding. These examples do not establish a universal</w:t>
      </w:r>
      <w:r>
        <w:t xml:space="preserve"> </w:t>
      </w:r>
      <w:r>
        <w:rPr>
          <w:rStyle w:val="VerbatimChar"/>
        </w:rPr>
        <w:t xml:space="preserve">rho_r</w:t>
      </w:r>
      <w:r>
        <w:t xml:space="preserve">; tolerances remain right-, population-, event-, domain-, and authority-specific.</w:t>
      </w:r>
    </w:p>
    <w:bookmarkEnd w:id="121"/>
    <w:bookmarkStart w:id="122" w:name="Xc3e85d10eaf209ef51f9d24b1809b65d2a4ae15"/>
    <w:p>
      <w:pPr>
        <w:pStyle w:val="Heading3"/>
      </w:pPr>
      <w:r>
        <w:rPr>
          <w:bCs/>
          <w:b/>
        </w:rPr>
        <w:t xml:space="preserve">Three-channel worked illustration (Informative; equations normative in Section 7.4.4).</w:t>
      </w:r>
    </w:p>
    <w:p>
      <w:pPr>
        <w:pStyle w:val="FirstParagraph"/>
      </w:pPr>
      <w:r>
        <w:t xml:space="preserve">The three channels are non-substitutable: a pass on one channel cannot compensate a violation on another, and an unresolved material field yields NCRC_UNKNOWN rather than zero.</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Right / channel</w:t>
            </w:r>
          </w:p>
        </w:tc>
        <w:tc>
          <w:tcPr>
            <w:shd w:val="clear" w:color="auto" w:fill="D9EAF7"/>
            <w:vAlign w:val="center"/>
          </w:tcPr>
          <w:p>
            <w:pPr>
              <w:pStyle w:val="Compact"/>
              <w:jc w:val="left"/>
            </w:pPr>
            <w:r>
              <w:rPr>
                <w:bCs/>
                <w:b/>
                <w:color w:val="17365D"/>
              </w:rPr>
              <w:t xml:space="preserve">Declared input</w:t>
            </w:r>
          </w:p>
        </w:tc>
        <w:tc>
          <w:tcPr>
            <w:shd w:val="clear" w:color="auto" w:fill="D9EAF7"/>
            <w:vAlign w:val="center"/>
          </w:tcPr>
          <w:p>
            <w:pPr>
              <w:pStyle w:val="Compact"/>
              <w:jc w:val="left"/>
            </w:pPr>
            <w:r>
              <w:rPr>
                <w:bCs/>
                <w:b/>
                <w:color w:val="17365D"/>
              </w:rPr>
              <w:t xml:space="preserve">Computed component</w:t>
            </w:r>
          </w:p>
        </w:tc>
        <w:tc>
          <w:tcPr>
            <w:shd w:val="clear" w:color="auto" w:fill="D9EAF7"/>
            <w:vAlign w:val="center"/>
          </w:tcPr>
          <w:p>
            <w:pPr>
              <w:pStyle w:val="Compact"/>
              <w:jc w:val="left"/>
            </w:pPr>
            <w:r>
              <w:rPr>
                <w:bCs/>
                <w:b/>
                <w:color w:val="17365D"/>
              </w:rPr>
              <w:t xml:space="preserve">Interpretation</w:t>
            </w:r>
          </w:p>
        </w:tc>
      </w:tr>
      <w:tr>
        <w:tc>
          <w:tcPr>
            <w:vAlign w:val="top"/>
          </w:tcPr>
          <w:p>
            <w:pPr>
              <w:pStyle w:val="Compact"/>
              <w:jc w:val="left"/>
            </w:pPr>
            <w:r>
              <w:t xml:space="preserve">LIFE floor</w:t>
            </w:r>
          </w:p>
        </w:tc>
        <w:tc>
          <w:tcPr>
            <w:vAlign w:val="top"/>
          </w:tcPr>
          <w:p>
            <w:pPr>
              <w:pStyle w:val="Compact"/>
              <w:jc w:val="left"/>
            </w:pPr>
            <w:r>
              <w:t xml:space="preserve">I_RF = -0.88; theta_LIFE = -0.90</w:t>
            </w:r>
          </w:p>
        </w:tc>
        <w:tc>
          <w:tcPr>
            <w:vAlign w:val="top"/>
          </w:tcPr>
          <w:p>
            <w:pPr>
              <w:pStyle w:val="Compact"/>
              <w:jc w:val="left"/>
            </w:pPr>
            <w:r>
              <w:t xml:space="preserve">v_floor = max(-0.90 - (-0.88),0) = 0.00</w:t>
            </w:r>
          </w:p>
        </w:tc>
        <w:tc>
          <w:tcPr>
            <w:vAlign w:val="top"/>
          </w:tcPr>
          <w:p>
            <w:pPr>
              <w:pStyle w:val="Compact"/>
              <w:jc w:val="left"/>
            </w:pPr>
            <w:r>
              <w:t xml:space="preserve">The floor channel passes.</w:t>
            </w:r>
          </w:p>
        </w:tc>
      </w:tr>
      <w:tr>
        <w:tc>
          <w:tcPr>
            <w:shd w:val="clear" w:color="auto" w:fill="F7FBFE"/>
            <w:vAlign w:val="top"/>
          </w:tcPr>
          <w:p>
            <w:pPr>
              <w:pStyle w:val="Compact"/>
              <w:jc w:val="left"/>
            </w:pPr>
            <w:r>
              <w:t xml:space="preserve">LIFE categorical</w:t>
            </w:r>
          </w:p>
        </w:tc>
        <w:tc>
          <w:tcPr>
            <w:shd w:val="clear" w:color="auto" w:fill="F7FBFE"/>
            <w:vAlign w:val="top"/>
          </w:tcPr>
          <w:p>
            <w:pPr>
              <w:pStyle w:val="Compact"/>
              <w:jc w:val="left"/>
            </w:pPr>
            <w:r>
              <w:t xml:space="preserve">No reviewed categorical prohibition instance</w:t>
            </w:r>
          </w:p>
        </w:tc>
        <w:tc>
          <w:tcPr>
            <w:shd w:val="clear" w:color="auto" w:fill="F7FBFE"/>
            <w:vAlign w:val="top"/>
          </w:tcPr>
          <w:p>
            <w:pPr>
              <w:pStyle w:val="Compact"/>
              <w:jc w:val="left"/>
            </w:pPr>
            <w:r>
              <w:t xml:space="preserve">v_cat = 0.00</w:t>
            </w:r>
          </w:p>
        </w:tc>
        <w:tc>
          <w:tcPr>
            <w:shd w:val="clear" w:color="auto" w:fill="F7FBFE"/>
            <w:vAlign w:val="top"/>
          </w:tcPr>
          <w:p>
            <w:pPr>
              <w:pStyle w:val="Compact"/>
              <w:jc w:val="left"/>
            </w:pPr>
            <w:r>
              <w:t xml:space="preserve">Zero follows only after the required reviewed-empty-set check.</w:t>
            </w:r>
          </w:p>
        </w:tc>
      </w:tr>
      <w:tr>
        <w:tc>
          <w:tcPr>
            <w:vAlign w:val="top"/>
          </w:tcPr>
          <w:p>
            <w:pPr>
              <w:pStyle w:val="Compact"/>
              <w:jc w:val="left"/>
            </w:pPr>
            <w:r>
              <w:t xml:space="preserve">LIFE severe-risk</w:t>
            </w:r>
          </w:p>
        </w:tc>
        <w:tc>
          <w:tcPr>
            <w:vAlign w:val="top"/>
          </w:tcPr>
          <w:p>
            <w:pPr>
              <w:pStyle w:val="Compact"/>
              <w:jc w:val="left"/>
            </w:pPr>
            <w:r>
              <w:t xml:space="preserve">p^U = 0.03; rho_LIFE = 0.01; severe hazard active</w:t>
            </w:r>
          </w:p>
        </w:tc>
        <w:tc>
          <w:tcPr>
            <w:vAlign w:val="top"/>
          </w:tcPr>
          <w:p>
            <w:pPr>
              <w:pStyle w:val="Compact"/>
              <w:jc w:val="left"/>
            </w:pPr>
            <w:r>
              <w:t xml:space="preserve">v_risk = 0.02</w:t>
            </w:r>
          </w:p>
        </w:tc>
        <w:tc>
          <w:tcPr>
            <w:vAlign w:val="top"/>
          </w:tcPr>
          <w:p>
            <w:pPr>
              <w:pStyle w:val="Compact"/>
              <w:jc w:val="left"/>
            </w:pPr>
            <w:r>
              <w:t xml:space="preserve">NCRC fails despite the floor-channel pass.</w:t>
            </w:r>
          </w:p>
        </w:tc>
      </w:tr>
      <w:tr>
        <w:tc>
          <w:tcPr>
            <w:shd w:val="clear" w:color="auto" w:fill="F7FBFE"/>
            <w:vAlign w:val="top"/>
          </w:tcPr>
          <w:p>
            <w:pPr>
              <w:pStyle w:val="Compact"/>
              <w:jc w:val="left"/>
            </w:pPr>
            <w:r>
              <w:t xml:space="preserve">DIGN floor</w:t>
            </w:r>
          </w:p>
        </w:tc>
        <w:tc>
          <w:tcPr>
            <w:shd w:val="clear" w:color="auto" w:fill="F7FBFE"/>
            <w:vAlign w:val="top"/>
          </w:tcPr>
          <w:p>
            <w:pPr>
              <w:pStyle w:val="Compact"/>
              <w:jc w:val="left"/>
            </w:pPr>
            <w:r>
              <w:t xml:space="preserve">I_RF = -0.70; theta_DIGN = -0.55</w:t>
            </w:r>
          </w:p>
        </w:tc>
        <w:tc>
          <w:tcPr>
            <w:shd w:val="clear" w:color="auto" w:fill="F7FBFE"/>
            <w:vAlign w:val="top"/>
          </w:tcPr>
          <w:p>
            <w:pPr>
              <w:pStyle w:val="Compact"/>
              <w:jc w:val="left"/>
            </w:pPr>
            <w:r>
              <w:t xml:space="preserve">v_floor = 0.15</w:t>
            </w:r>
          </w:p>
        </w:tc>
        <w:tc>
          <w:tcPr>
            <w:shd w:val="clear" w:color="auto" w:fill="F7FBFE"/>
            <w:vAlign w:val="top"/>
          </w:tcPr>
          <w:p>
            <w:pPr>
              <w:pStyle w:val="Compact"/>
              <w:jc w:val="left"/>
            </w:pPr>
            <w:r>
              <w:t xml:space="preserve">A direct floor breach independently fails NCRC.</w:t>
            </w:r>
          </w:p>
        </w:tc>
      </w:tr>
    </w:tbl>
    <w:p>
      <w:pPr>
        <w:pStyle w:val="BodyText"/>
      </w:pPr>
      <w:r>
        <w:t xml:space="preserve">NCRC(a) = TRUE if and only if, for every right r:</w:t>
      </w:r>
    </w:p>
    <w:p>
      <w:pPr>
        <w:numPr>
          <w:ilvl w:val="0"/>
          <w:numId w:val="1050"/>
        </w:numPr>
        <w:pStyle w:val="Compact"/>
      </w:pPr>
      <w:r>
        <w:t xml:space="preserve">v_r^floor(a) = 0;</w:t>
      </w:r>
    </w:p>
    <w:p>
      <w:pPr>
        <w:numPr>
          <w:ilvl w:val="0"/>
          <w:numId w:val="1050"/>
        </w:numPr>
        <w:pStyle w:val="Compact"/>
      </w:pPr>
      <w:r>
        <w:t xml:space="preserve">v_r^cat(a) = 0;</w:t>
      </w:r>
    </w:p>
    <w:p>
      <w:pPr>
        <w:numPr>
          <w:ilvl w:val="0"/>
          <w:numId w:val="1050"/>
        </w:numPr>
        <w:pStyle w:val="Compact"/>
      </w:pPr>
      <w:r>
        <w:t xml:space="preserve">v_r^risk(a) = 0; and</w:t>
      </w:r>
    </w:p>
    <w:p>
      <w:pPr>
        <w:numPr>
          <w:ilvl w:val="0"/>
          <w:numId w:val="1050"/>
        </w:numPr>
        <w:pStyle w:val="Compact"/>
      </w:pPr>
      <w:r>
        <w:t xml:space="preserve">no material rights evidence field is unresolved.</w:t>
      </w:r>
    </w:p>
    <w:p>
      <w:pPr>
        <w:pStyle w:val="FirstParagraph"/>
      </w:pPr>
      <w:r>
        <w:t xml:space="preserve">The NCRC-passing set is:</w:t>
      </w:r>
    </w:p>
    <w:p>
      <w:pPr>
        <w:pStyle w:val="BodyText"/>
      </w:pPr>
      <w:r>
        <w:t xml:space="preserve">A_NCRC = {a in O : NCRC(a) = TRUE}</w:t>
      </w:r>
    </w:p>
    <w:p>
      <w:pPr>
        <w:pStyle w:val="BodyText"/>
      </w:pPr>
      <w:r>
        <w:t xml:space="preserve">Interpretation: a short-duration or low-confidence rights violation cannot pass merely because welfare-style temporal or confidence multipliers are small. Rights-floor impact, categorical prohibition, and severe-hazard exposure are tested separately and non-compensatorily.</w:t>
      </w:r>
    </w:p>
    <w:p>
      <w:pPr>
        <w:pStyle w:val="BodyText"/>
      </w:pPr>
      <w:r>
        <w:t xml:space="preserve">Rights-conflict precondition (Normative). Before Rights Emergency Mode is invoked, the run MUST attempt and document feasible alternative generation, redesign, scope narrowing, sequencing, delay, mitigation, or other means of producing at least one RF/NCRC-passing option. An unresolved rights conflict remains a structured rights-vector problem; it MUST NOT be converted into an ordinary welfare trade-off. Only when no rights-passing option remains may Section 7.5 be used, subject to necessity, least-rights-infringing means, time limitation, independent challenge, remedy, and return-to-normal requirements.</w:t>
      </w:r>
    </w:p>
    <w:bookmarkEnd w:id="122"/>
    <w:bookmarkEnd w:id="123"/>
    <w:bookmarkStart w:id="128" w:name="X2943439575d8569646383bedb1fb5005db93244"/>
    <w:p>
      <w:pPr>
        <w:pStyle w:val="Heading2"/>
      </w:pPr>
      <w:r>
        <w:rPr>
          <w:bCs/>
          <w:b/>
        </w:rPr>
        <w:t xml:space="preserve">7.5 Emergency Mode (Rights-Failure Handling) (Normative)</w:t>
      </w:r>
    </w:p>
    <w:p>
      <w:pPr>
        <w:pStyle w:val="FirstParagraph"/>
      </w:pPr>
      <w:r>
        <w:t xml:space="preserve">If A_NCRC = ∅ (no option passes rights), RippleLogic enters Emergency Mode. Emergency Mode is not a loophole; it is a controlled failure protocol.</w:t>
      </w:r>
    </w:p>
    <w:bookmarkStart w:id="124" w:name="X8a4c8ec4f8902ac34e1143b9cdb409025bd61be"/>
    <w:p>
      <w:pPr>
        <w:pStyle w:val="Heading3"/>
      </w:pPr>
      <w:r>
        <w:rPr>
          <w:bCs/>
          <w:b/>
        </w:rPr>
        <w:t xml:space="preserve">7.5.1 Emergency Mode rights priority order (Normative)</w:t>
      </w:r>
    </w:p>
    <w:p>
      <w:pPr>
        <w:pStyle w:val="FirstParagraph"/>
      </w:pPr>
      <w:r>
        <w:t xml:space="preserve">Rights are ordered lexicographically by the canonical emergency default priority:</w:t>
      </w:r>
    </w:p>
    <w:p>
      <w:pPr>
        <w:pStyle w:val="BodyText"/>
      </w:pPr>
      <w:r>
        <w:t xml:space="preserve">[LIFE, BODY, ECOL, LBTY, NEED, DIGN, PROC, INFO]</w:t>
      </w:r>
    </w:p>
    <w:p>
      <w:pPr>
        <w:pStyle w:val="BodyText"/>
      </w:pPr>
      <w:r>
        <w:t xml:space="preserve">This order is a provisional governance default for constrained emergency comparison, not a discovered universal moral ranking. It prioritizes immediate survival and bodily integrity, then ecological conditions capable of undermining life-support systems, while retaining liberty, need, dignity, procedure, and information as independently non-compensatory rights outside Emergency Mode. The default MUST be used for the canonical result, but every Tier 3 or high-stakes emergency run MUST also test at least one defensible alternative ordering that moves PROC and INFO earlier when procedural or epistemic failure could causally enable LIFE, BODY, LBTY, or NEED harms. If the selected option changes under a defensible alternative order, RippleLogic MUST report</w:t>
      </w:r>
      <w:r>
        <w:t xml:space="preserve"> </w:t>
      </w:r>
      <w:r>
        <w:rPr>
          <w:rStyle w:val="VerbatimChar"/>
        </w:rPr>
        <w:t xml:space="preserve">EMERGENCY_RIGHTS_ORDER_SENSITIVE</w:t>
      </w:r>
      <w:r>
        <w:t xml:space="preserve">, refuse to portray the result as uniquely entailed by the framework, and route the decision to lawful accountable authority with independent challenge and the complete rights vector disclosed.</w:t>
      </w:r>
    </w:p>
    <w:bookmarkEnd w:id="124"/>
    <w:bookmarkStart w:id="125" w:name="X79d04667074de093d35186af21846841a688934"/>
    <w:p>
      <w:pPr>
        <w:pStyle w:val="Heading3"/>
      </w:pPr>
      <w:r>
        <w:rPr>
          <w:bCs/>
          <w:b/>
        </w:rPr>
        <w:t xml:space="preserve">7.5.2 Emergency Mode selection rule (Normative)</w:t>
      </w:r>
    </w:p>
    <w:p>
      <w:pPr>
        <w:pStyle w:val="FirstParagraph"/>
      </w:pPr>
      <w:r>
        <w:t xml:space="preserve">Construct a compound violation tuple for each right r:</w:t>
      </w:r>
    </w:p>
    <w:p>
      <w:pPr>
        <w:pStyle w:val="BodyText"/>
      </w:pPr>
      <w:r>
        <w:t xml:space="preserve">q_r(a) = (v_r^cat(a), v_r^risk(a), v_r^floor(a))</w:t>
      </w:r>
    </w:p>
    <w:p>
      <w:pPr>
        <w:pStyle w:val="BodyText"/>
      </w:pPr>
      <w:r>
        <w:t xml:space="preserve">and the option vector:</w:t>
      </w:r>
    </w:p>
    <w:p>
      <w:pPr>
        <w:pStyle w:val="BodyText"/>
      </w:pPr>
      <w:r>
        <w:t xml:space="preserve">q(a) = (q_LIFE(a), q_BODY(a), q_ECOL(a), q_LBTY(a), q_NEED(a), q_DIGN(a), q_PROC(a), q_INFO(a))</w:t>
      </w:r>
    </w:p>
    <w:p>
      <w:pPr>
        <w:pStyle w:val="BodyText"/>
      </w:pPr>
      <w:r>
        <w:t xml:space="preserve">Select the option that lexicographically minimizes q(a), so categorical prohibition is considered before severe-hazard excess and floor depth within each right. If tied:</w:t>
      </w:r>
    </w:p>
    <w:p>
      <w:pPr>
        <w:numPr>
          <w:ilvl w:val="0"/>
          <w:numId w:val="1051"/>
        </w:numPr>
        <w:pStyle w:val="Compact"/>
      </w:pPr>
      <w:r>
        <w:t xml:space="preserve">Minimize TRC CVaR (if TRC scenarios exist or are rapidly constructed), then</w:t>
      </w:r>
    </w:p>
    <w:p>
      <w:pPr>
        <w:numPr>
          <w:ilvl w:val="0"/>
          <w:numId w:val="1052"/>
        </w:numPr>
        <w:pStyle w:val="Compact"/>
      </w:pPr>
      <w:r>
        <w:t xml:space="preserve">If at least one tied emergency candidate passes TRC, compare residual welfare only among those tied TRC-passing candidates. If every tied candidate also fails TRC, apply Section 8.8 Tail Emergency Mode and do not use ordinary RLS ranking.</w:t>
      </w:r>
    </w:p>
    <w:bookmarkEnd w:id="125"/>
    <w:bookmarkStart w:id="126" w:name="X3a2d25d13b5de8ec45d6a5be81ce5762b4271d2"/>
    <w:p>
      <w:pPr>
        <w:pStyle w:val="Heading3"/>
      </w:pPr>
      <w:r>
        <w:rPr>
          <w:bCs/>
          <w:b/>
        </w:rPr>
        <w:t xml:space="preserve">7.5.3 Independent Challenger Requirement (Normative)</w:t>
      </w:r>
    </w:p>
    <w:p>
      <w:pPr>
        <w:pStyle w:val="FirstParagraph"/>
      </w:pPr>
      <w:r>
        <w:t xml:space="preserve">Before Emergency Mode can be invoked, an independent challenger MUST propose at least one alternative option.</w:t>
      </w:r>
    </w:p>
    <w:p>
      <w:pPr>
        <w:pStyle w:val="BodyText"/>
      </w:pPr>
      <w:r>
        <w:t xml:space="preserve">Independence requirements (MUST):</w:t>
      </w:r>
    </w:p>
    <w:p>
      <w:pPr>
        <w:numPr>
          <w:ilvl w:val="0"/>
          <w:numId w:val="1053"/>
        </w:numPr>
        <w:pStyle w:val="Compact"/>
      </w:pPr>
      <w:r>
        <w:t xml:space="preserve">No reporting relationship to decision owner</w:t>
      </w:r>
    </w:p>
    <w:p>
      <w:pPr>
        <w:numPr>
          <w:ilvl w:val="0"/>
          <w:numId w:val="1054"/>
        </w:numPr>
        <w:pStyle w:val="Compact"/>
      </w:pPr>
      <w:r>
        <w:t xml:space="preserve">No material interest in decision outcome</w:t>
      </w:r>
    </w:p>
    <w:p>
      <w:pPr>
        <w:numPr>
          <w:ilvl w:val="0"/>
          <w:numId w:val="1055"/>
        </w:numPr>
        <w:pStyle w:val="Compact"/>
      </w:pPr>
      <w:r>
        <w:t xml:space="preserve">Access to the same information set</w:t>
      </w:r>
    </w:p>
    <w:p>
      <w:pPr>
        <w:pStyle w:val="FirstParagraph"/>
      </w:pPr>
      <w:r>
        <w:t xml:space="preserve">Minimum challenger effort:</w:t>
      </w:r>
    </w:p>
    <w:p>
      <w:pPr>
        <w:numPr>
          <w:ilvl w:val="0"/>
          <w:numId w:val="1056"/>
        </w:numPr>
        <w:pStyle w:val="Compact"/>
      </w:pPr>
      <w:r>
        <w:t xml:space="preserve">Tier 2: ≥30 minutes active option generation</w:t>
      </w:r>
    </w:p>
    <w:p>
      <w:pPr>
        <w:numPr>
          <w:ilvl w:val="0"/>
          <w:numId w:val="1057"/>
        </w:numPr>
        <w:pStyle w:val="Compact"/>
      </w:pPr>
      <w:r>
        <w:t xml:space="preserve">Tier 3: ≥2 hours active option generation</w:t>
      </w:r>
    </w:p>
    <w:p>
      <w:pPr>
        <w:pStyle w:val="FirstParagraph"/>
      </w:pPr>
      <w:r>
        <w:t xml:space="preserve">If time pressure prevents this, PCC MUST record CHALLENGE_DEFERRED_EMERGENCY and a retrospective challenge review MUST occur within 24 hours (or earliest feasible time) with an addendum PCC.</w:t>
      </w:r>
    </w:p>
    <w:bookmarkEnd w:id="126"/>
    <w:bookmarkStart w:id="127" w:name="X9fcf31bbe3a4e6ec9c73631f6d69ca7db9df5cf"/>
    <w:p>
      <w:pPr>
        <w:pStyle w:val="Heading3"/>
      </w:pPr>
      <w:r>
        <w:rPr>
          <w:bCs/>
          <w:b/>
        </w:rPr>
        <w:t xml:space="preserve">7.5.4 Emergency documentation requirements (Normative)</w:t>
      </w:r>
    </w:p>
    <w:p>
      <w:pPr>
        <w:pStyle w:val="FirstParagraph"/>
      </w:pPr>
      <w:r>
        <w:t xml:space="preserve">PCC MUST include:</w:t>
      </w:r>
    </w:p>
    <w:p>
      <w:pPr>
        <w:numPr>
          <w:ilvl w:val="0"/>
          <w:numId w:val="1058"/>
        </w:numPr>
        <w:pStyle w:val="Compact"/>
      </w:pPr>
      <w:r>
        <w:t xml:space="preserve">Emergency declaration and trigger conditions</w:t>
      </w:r>
    </w:p>
    <w:p>
      <w:pPr>
        <w:numPr>
          <w:ilvl w:val="0"/>
          <w:numId w:val="1059"/>
        </w:numPr>
        <w:pStyle w:val="Compact"/>
      </w:pPr>
      <w:r>
        <w:t xml:space="preserve">v_r(a) for each option</w:t>
      </w:r>
    </w:p>
    <w:p>
      <w:pPr>
        <w:numPr>
          <w:ilvl w:val="0"/>
          <w:numId w:val="1060"/>
        </w:numPr>
        <w:pStyle w:val="Compact"/>
      </w:pPr>
      <w:r>
        <w:t xml:space="preserve">Lexicographic comparison trace</w:t>
      </w:r>
    </w:p>
    <w:p>
      <w:pPr>
        <w:numPr>
          <w:ilvl w:val="0"/>
          <w:numId w:val="1061"/>
        </w:numPr>
        <w:pStyle w:val="Compact"/>
      </w:pPr>
      <w:r>
        <w:t xml:space="preserve">Mitigation/remediation plan</w:t>
      </w:r>
    </w:p>
    <w:p>
      <w:pPr>
        <w:numPr>
          <w:ilvl w:val="0"/>
          <w:numId w:val="1062"/>
        </w:numPr>
        <w:pStyle w:val="Compact"/>
      </w:pPr>
      <w:r>
        <w:t xml:space="preserve">Review cadence and return-to-normal triggers</w:t>
      </w:r>
    </w:p>
    <w:bookmarkEnd w:id="127"/>
    <w:bookmarkEnd w:id="128"/>
    <w:bookmarkStart w:id="129" w:name="X8704c7918a079e8312e1fd8a8aa3536e1596b87"/>
    <w:p>
      <w:pPr>
        <w:pStyle w:val="Heading2"/>
      </w:pPr>
      <w:r>
        <w:rPr>
          <w:bCs/>
          <w:b/>
        </w:rPr>
        <w:t xml:space="preserve">7.6 Anti-Gaming Rules Specific to NCRC (Normative)</w:t>
      </w:r>
    </w:p>
    <w:p>
      <w:pPr>
        <w:numPr>
          <w:ilvl w:val="0"/>
          <w:numId w:val="1063"/>
        </w:numPr>
        <w:pStyle w:val="Compact"/>
      </w:pPr>
      <w:r>
        <w:t xml:space="preserve">Rights-covered cells MUST NOT be masked out of RLS aggregation if they are non-maskable by policy (Appendix H audit flags).</w:t>
      </w:r>
    </w:p>
    <w:p>
      <w:pPr>
        <w:numPr>
          <w:ilvl w:val="0"/>
          <w:numId w:val="1064"/>
        </w:numPr>
        <w:pStyle w:val="Compact"/>
      </w:pPr>
      <w:r>
        <w:t xml:space="preserve">Rights checks MUST use worst-off subgroup semantics and must not be evaluated on averages.</w:t>
      </w:r>
    </w:p>
    <w:p>
      <w:pPr>
        <w:numPr>
          <w:ilvl w:val="0"/>
          <w:numId w:val="1065"/>
        </w:numPr>
        <w:pStyle w:val="Compact"/>
      </w:pPr>
      <w:r>
        <w:t xml:space="preserve">“Unknown” data MUST NOT be treated as neutral; missing data triggers ignorance penalties (Section 5.7).</w:t>
      </w:r>
    </w:p>
    <w:p>
      <w:pPr>
        <w:numPr>
          <w:ilvl w:val="0"/>
          <w:numId w:val="1066"/>
        </w:numPr>
        <w:pStyle w:val="Compact"/>
      </w:pPr>
      <w:r>
        <w:t xml:space="preserve">Emergency Mode MUST NOT be used without challenger protocol and remediation plan.</w:t>
      </w:r>
    </w:p>
    <w:bookmarkEnd w:id="129"/>
    <w:bookmarkEnd w:id="130"/>
    <w:bookmarkStart w:id="146" w:name="X1c1ef2bcfd94fb93dbb2f42d9d5882e949b77ee"/>
    <w:p>
      <w:pPr>
        <w:pStyle w:val="Heading1"/>
      </w:pPr>
      <w:bookmarkStart w:id="773" w:name="mg_toc_009"/>
      <w:r>
        <w:rPr>
          <w:bCs/>
          <w:b/>
        </w:rPr>
        <w:t xml:space="preserve">SECTION 8: CATASTROPHIC RISK LAYER: TAIL-RISK CONSTRAINT (TRC)</w:t>
      </w:r>
      <w:bookmarkEnd w:id="773"/>
    </w:p>
    <w:bookmarkStart w:id="131" w:name="X6a88aecbee246d514a3fda0e56212041ec5bf44"/>
    <w:p>
      <w:pPr>
        <w:pStyle w:val="Heading2"/>
      </w:pPr>
      <w:r>
        <w:rPr>
          <w:bCs/>
          <w:b/>
        </w:rPr>
        <w:t xml:space="preserve">8.0 Purpose and UBE Rationale (Normative)</w:t>
      </w:r>
    </w:p>
    <w:p>
      <w:pPr>
        <w:pStyle w:val="FirstParagraph"/>
      </w:pPr>
      <w:r>
        <w:t xml:space="preserve">Even when rights floors are respected in expectation, a decision can carry non-trivial probability of catastrophic harm to Humanity / Global Coordination or the Biosphere. Under UBE, catastrophe avoidance is lexicographically prior to welfare optimization because catastrophic outcomes can eliminate future choice across unions and collapse enabling conditions.</w:t>
      </w:r>
    </w:p>
    <w:p>
      <w:pPr>
        <w:pStyle w:val="BodyText"/>
      </w:pPr>
      <w:r>
        <w:t xml:space="preserve">TRC therefore bounds catastrophic exposure using CVaR, a coherent tail-risk measure (Artzner et al., 1999; Rockafellar &amp; Uryasev, 2000). This posture is motivated by ruin dynamics under deep uncertainty (Taleb, 2012) and by Earth-system research indicating that destabilization of life-support conditions can occur through tipping cascades and boundary transgression corridors with multi-scale downstream harms (Rockström et al., 2009, 2023; Steffen et al., 2015; IPCC, 2023).</w:t>
      </w:r>
    </w:p>
    <w:p>
      <w:pPr>
        <w:pStyle w:val="BodyText"/>
      </w:pPr>
      <w:r>
        <w:t xml:space="preserve">Modeled-safety interpretation (Normative clarification). Passing TRC demonstrates compliance with the declared scenario library, probability policy, catastrophe-cell construction, and corridor threshold for the run. It does not prove empirical invulnerability outside the modeled scenario set. Implementations MUST NOT present TRC passage as a guarantee that no catastrophic pathway exists; it is a governance-grade bound within the declared scenario model.</w:t>
      </w:r>
    </w:p>
    <w:bookmarkEnd w:id="131"/>
    <w:bookmarkStart w:id="133" w:name="Xb05991c647e7c26376f4d13cc09ef921093f440"/>
    <w:p>
      <w:pPr>
        <w:pStyle w:val="Heading2"/>
      </w:pPr>
      <w:r>
        <w:rPr>
          <w:bCs/>
          <w:b/>
        </w:rPr>
        <w:t xml:space="preserve">8.1 Tier Requirements for TRC (Normative; strict posture)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Tier</w:t>
            </w:r>
          </w:p>
        </w:tc>
        <w:tc>
          <w:tcPr>
            <w:shd w:val="clear" w:color="auto" w:fill="D9EAF7"/>
            <w:vAlign w:val="center"/>
          </w:tcPr>
          <w:p>
            <w:pPr>
              <w:pStyle w:val="Compact"/>
              <w:jc w:val="left"/>
            </w:pPr>
            <w:r>
              <w:rPr>
                <w:bCs/>
                <w:b/>
                <w:color w:val="17365D"/>
              </w:rPr>
              <w:t xml:space="preserve">TRC Required?</w:t>
            </w:r>
          </w:p>
        </w:tc>
        <w:tc>
          <w:tcPr>
            <w:shd w:val="clear" w:color="auto" w:fill="D9EAF7"/>
            <w:vAlign w:val="center"/>
          </w:tcPr>
          <w:p>
            <w:pPr>
              <w:pStyle w:val="Compact"/>
              <w:jc w:val="left"/>
            </w:pPr>
            <w:r>
              <w:rPr>
                <w:bCs/>
                <w:b/>
                <w:color w:val="17365D"/>
              </w:rPr>
              <w:t xml:space="preserve">Minimum</w:t>
            </w:r>
          </w:p>
        </w:tc>
      </w:tr>
      <w:tr>
        <w:tc>
          <w:tcPr>
            <w:vAlign w:val="top"/>
          </w:tcPr>
          <w:p>
            <w:pPr>
              <w:pStyle w:val="Compact"/>
              <w:jc w:val="left"/>
            </w:pPr>
            <w:r>
              <w:t xml:space="preserve">Tier 1</w:t>
            </w:r>
          </w:p>
        </w:tc>
        <w:tc>
          <w:tcPr>
            <w:vAlign w:val="top"/>
          </w:tcPr>
          <w:p>
            <w:pPr>
              <w:pStyle w:val="Compact"/>
              <w:jc w:val="left"/>
            </w:pPr>
            <w:r>
              <w:t xml:space="preserve">Optional (qualitative tail screen when plausible)</w:t>
            </w:r>
          </w:p>
        </w:tc>
        <w:tc>
          <w:tcPr>
            <w:vAlign w:val="top"/>
          </w:tcPr>
          <w:p>
            <w:pPr>
              <w:pStyle w:val="Compact"/>
              <w:jc w:val="left"/>
            </w:pPr>
            <w:r>
              <w:t xml:space="preserve">N/A</w:t>
            </w:r>
          </w:p>
        </w:tc>
      </w:tr>
      <w:tr>
        <w:tc>
          <w:tcPr>
            <w:shd w:val="clear" w:color="auto" w:fill="F7FBFE"/>
            <w:vAlign w:val="top"/>
          </w:tcPr>
          <w:p>
            <w:pPr>
              <w:pStyle w:val="Compact"/>
              <w:jc w:val="left"/>
            </w:pPr>
            <w:r>
              <w:t xml:space="preserve">Tier 2</w:t>
            </w:r>
          </w:p>
        </w:tc>
        <w:tc>
          <w:tcPr>
            <w:shd w:val="clear" w:color="auto" w:fill="F7FBFE"/>
            <w:vAlign w:val="top"/>
          </w:tcPr>
          <w:p>
            <w:pPr>
              <w:pStyle w:val="Compact"/>
              <w:jc w:val="left"/>
            </w:pPr>
            <w:r>
              <w:t xml:space="preserve">REQUIRED when catastrophe relevance plausible</w:t>
            </w:r>
          </w:p>
        </w:tc>
        <w:tc>
          <w:tcPr>
            <w:shd w:val="clear" w:color="auto" w:fill="F7FBFE"/>
            <w:vAlign w:val="top"/>
          </w:tcPr>
          <w:p>
            <w:pPr>
              <w:pStyle w:val="Compact"/>
              <w:jc w:val="left"/>
            </w:pPr>
            <w:r>
              <w:t xml:space="preserve">≥5 minimum</w:t>
            </w:r>
          </w:p>
        </w:tc>
      </w:tr>
      <w:tr>
        <w:tc>
          <w:tcPr>
            <w:vAlign w:val="top"/>
          </w:tcPr>
          <w:p>
            <w:pPr>
              <w:pStyle w:val="Compact"/>
              <w:jc w:val="left"/>
            </w:pPr>
            <w:r>
              <w:t xml:space="preserve">Tier 3</w:t>
            </w:r>
          </w:p>
        </w:tc>
        <w:tc>
          <w:tcPr>
            <w:vAlign w:val="top"/>
          </w:tcPr>
          <w:p>
            <w:pPr>
              <w:pStyle w:val="Compact"/>
              <w:jc w:val="left"/>
            </w:pPr>
            <w:r>
              <w:t xml:space="preserve">REQUIRED</w:t>
            </w:r>
          </w:p>
        </w:tc>
        <w:tc>
          <w:tcPr>
            <w:vAlign w:val="top"/>
          </w:tcPr>
          <w:p>
            <w:pPr>
              <w:pStyle w:val="Compact"/>
              <w:jc w:val="left"/>
            </w:pPr>
            <w:r>
              <w:t xml:space="preserve">≥20 minimum</w:t>
            </w:r>
          </w:p>
        </w:tc>
      </w:tr>
      <w:tr>
        <w:tc>
          <w:tcPr>
            <w:shd w:val="clear" w:color="auto" w:fill="F7FBFE"/>
            <w:vAlign w:val="top"/>
          </w:tcPr>
          <w:p>
            <w:pPr>
              <w:pStyle w:val="Compact"/>
              <w:jc w:val="left"/>
            </w:pPr>
            <w:r>
              <w:t xml:space="preserve">Tier 4</w:t>
            </w:r>
          </w:p>
        </w:tc>
        <w:tc>
          <w:tcPr>
            <w:shd w:val="clear" w:color="auto" w:fill="F7FBFE"/>
            <w:vAlign w:val="top"/>
          </w:tcPr>
          <w:p>
            <w:pPr>
              <w:pStyle w:val="Compact"/>
              <w:jc w:val="left"/>
            </w:pPr>
            <w:r>
              <w:t xml:space="preserve">Design target only (claim prohibited in this release line)</w:t>
            </w:r>
          </w:p>
        </w:tc>
        <w:tc>
          <w:tcPr>
            <w:shd w:val="clear" w:color="auto" w:fill="F7FBFE"/>
            <w:vAlign w:val="top"/>
          </w:tcPr>
          <w:p>
            <w:pPr>
              <w:pStyle w:val="Compact"/>
              <w:jc w:val="left"/>
            </w:pPr>
            <w:r>
              <w:t xml:space="preserve">N/A</w:t>
            </w:r>
          </w:p>
        </w:tc>
      </w:tr>
    </w:tbl>
    <w:bookmarkStart w:id="132" w:name="X6463f55c19217d83f4d2d9c1917010061b3d2eb"/>
    <w:p>
      <w:pPr>
        <w:pStyle w:val="Heading3"/>
      </w:pPr>
      <w:r>
        <w:rPr>
          <w:bCs/>
          <w:b/>
        </w:rPr>
        <w:t xml:space="preserve">8.1.1 Catastrophe relevance trigger (Normative)</w:t>
      </w:r>
    </w:p>
    <w:p>
      <w:pPr>
        <w:pStyle w:val="FirstParagraph"/>
      </w:pPr>
      <w:r>
        <w:t xml:space="preserve">Catastrophe relevance is plausible if any of the following are true:</w:t>
      </w:r>
    </w:p>
    <w:p>
      <w:pPr>
        <w:numPr>
          <w:ilvl w:val="0"/>
          <w:numId w:val="1067"/>
        </w:numPr>
        <w:pStyle w:val="Compact"/>
      </w:pPr>
      <w:r>
        <w:t xml:space="preserve">The decision materially affects any catastrophe cell in C_cat (Section 8.2), OR</w:t>
      </w:r>
    </w:p>
    <w:p>
      <w:pPr>
        <w:numPr>
          <w:ilvl w:val="0"/>
          <w:numId w:val="1068"/>
        </w:numPr>
        <w:pStyle w:val="Compact"/>
      </w:pPr>
      <w:r>
        <w:t xml:space="preserve">The decision has plausible pathways to tipping cascades (climate, bio, conflict, infrastructure, financial), OR</w:t>
      </w:r>
    </w:p>
    <w:p>
      <w:pPr>
        <w:numPr>
          <w:ilvl w:val="0"/>
          <w:numId w:val="1069"/>
        </w:numPr>
        <w:pStyle w:val="Compact"/>
      </w:pPr>
      <w:r>
        <w:t xml:space="preserve">The decision is materially irreversible or creates lock-in at Polity/CMIU/Biosphere scales, OR</w:t>
      </w:r>
    </w:p>
    <w:p>
      <w:pPr>
        <w:numPr>
          <w:ilvl w:val="0"/>
          <w:numId w:val="1070"/>
        </w:numPr>
        <w:pStyle w:val="Compact"/>
      </w:pPr>
      <w:r>
        <w:t xml:space="preserve">Credible challengers identify a plausible catastrophic failure mode even if decision owners prefer not to model it.</w:t>
      </w:r>
    </w:p>
    <w:p>
      <w:pPr>
        <w:pStyle w:val="FirstParagraph"/>
      </w:pPr>
      <w:r>
        <w:t xml:space="preserve">If triggered, TRC MUST be executed at the tier’s required rigor.</w:t>
      </w:r>
    </w:p>
    <w:p>
      <w:pPr>
        <w:pStyle w:val="BodyText"/>
      </w:pPr>
      <w:r>
        <w:rPr>
          <w:bCs/>
          <w:b/>
        </w:rPr>
        <w:t xml:space="preserve">TRC not-triggered state (Normative).</w:t>
      </w:r>
      <w:r>
        <w:t xml:space="preserve"> </w:t>
      </w:r>
      <w:r>
        <w:t xml:space="preserve">If a documented catastrophe-relevance assessment addresses every Section 8.1.1 trigger and finds none plausible within the declared decision and evidence boundary, the run records</w:t>
      </w:r>
      <w:r>
        <w:t xml:space="preserve"> </w:t>
      </w:r>
      <w:r>
        <w:rPr>
          <w:rStyle w:val="VerbatimChar"/>
        </w:rPr>
        <w:t xml:space="preserve">TRC_NOT_TRIGGERED</w:t>
      </w:r>
      <w:r>
        <w:t xml:space="preserve">. This is a pass-equivalent qualification state for cascade routing only. It MUST NOT be described as</w:t>
      </w:r>
      <w:r>
        <w:t xml:space="preserve"> </w:t>
      </w:r>
      <w:r>
        <w:rPr>
          <w:rStyle w:val="VerbatimChar"/>
        </w:rPr>
        <w:t xml:space="preserve">TRC_PASS</w:t>
      </w:r>
      <w:r>
        <w:t xml:space="preserve">, as a CVaR result, or as evidence that catastrophe is impossible. The assessment, evidence boundary, reviewer status, and reopen triggers MUST be recorded. New catastrophic, irreversible, lock-in, or ruin-relevant evidence reopens TRC before RLS.</w:t>
      </w:r>
    </w:p>
    <w:bookmarkEnd w:id="132"/>
    <w:bookmarkEnd w:id="133"/>
    <w:bookmarkStart w:id="134" w:name="Xa51b79218c139bf43f3b63b3335663465b433e7"/>
    <w:p>
      <w:pPr>
        <w:pStyle w:val="Heading2"/>
      </w:pPr>
      <w:r>
        <w:rPr>
          <w:bCs/>
          <w:b/>
        </w:rPr>
        <w:t xml:space="preserve">8.2 Catastrophe Cell Set C_cat (Normative)</w:t>
      </w:r>
    </w:p>
    <w:p>
      <w:pPr>
        <w:pStyle w:val="FirstParagraph"/>
      </w:pPr>
      <w:r>
        <w:t xml:space="preserve">Base catastrophe cell set:</w:t>
      </w:r>
    </w:p>
    <w:p>
      <w:pPr>
        <w:pStyle w:val="BodyText"/>
      </w:pPr>
      <w:r>
        <w:t xml:space="preserve">C_cat_base = {(6, Health), (6, Environment), (7, Environment)}</w:t>
      </w:r>
    </w:p>
    <w:p>
      <w:pPr>
        <w:pStyle w:val="BodyText"/>
      </w:pPr>
      <w:r>
        <w:t xml:space="preserve">These correspond to:</w:t>
      </w:r>
    </w:p>
    <w:p>
      <w:pPr>
        <w:numPr>
          <w:ilvl w:val="0"/>
          <w:numId w:val="1071"/>
        </w:numPr>
        <w:pStyle w:val="Compact"/>
      </w:pPr>
      <w:r>
        <w:t xml:space="preserve">Humanity / Global Coordination-Health: Global-scale health viability (pandemic mortality, mass disability, collapse of health capacity)</w:t>
      </w:r>
    </w:p>
    <w:p>
      <w:pPr>
        <w:numPr>
          <w:ilvl w:val="0"/>
          <w:numId w:val="1072"/>
        </w:numPr>
        <w:pStyle w:val="Compact"/>
      </w:pPr>
      <w:r>
        <w:t xml:space="preserve">Humanity / Global Coordination-Environment: Environment-as-civilization-condition (habitability, agricultural stability, climate-driven displacement)</w:t>
      </w:r>
    </w:p>
    <w:p>
      <w:pPr>
        <w:numPr>
          <w:ilvl w:val="0"/>
          <w:numId w:val="1073"/>
        </w:numPr>
        <w:pStyle w:val="Compact"/>
      </w:pPr>
      <w:r>
        <w:t xml:space="preserve">Biosphere-Environment: Earth-system integrity (planetary boundaries, biodiversity, biogeochemical stability)</w:t>
      </w:r>
    </w:p>
    <w:p>
      <w:pPr>
        <w:pStyle w:val="FirstParagraph"/>
      </w:pPr>
      <w:r>
        <w:t xml:space="preserve">The base set explicitly includes biosphere integrity and civilization-scale habitability conditions because “safe operating space” and “safe and just boundaries” analyses identify global environmental corridors as central determinants of long-run human and ecological viability (Rockström et al., 2009, 2023).</w:t>
      </w:r>
    </w:p>
    <w:p>
      <w:pPr>
        <w:pStyle w:val="BodyText"/>
      </w:pPr>
      <w:r>
        <w:t xml:space="preserve">Extensions: Tier 1-3 MAY extend C_cat only with explicit PCC justification and MUST apply the same set to all compared options.</w:t>
      </w:r>
    </w:p>
    <w:p>
      <w:pPr>
        <w:pStyle w:val="BodyText"/>
      </w:pPr>
      <w:r>
        <w:rPr>
          <w:bCs/>
          <w:b/>
        </w:rPr>
        <w:t xml:space="preserve">Non-dilution rule for catastrophe profiles (Normative).</w:t>
      </w:r>
      <w:r>
        <w:t xml:space="preserve"> </w:t>
      </w:r>
      <w:r>
        <w:t xml:space="preserve">Adding an extension MUST NOT lower the measured loss or improve the TRC disposition for an unchanged base catastrophe merely because normalized weight is spread across more cells. The base catastrophe profile and every triggered extension profile SHALL therefore be normalized and evaluated separately. Compute</w:t>
      </w:r>
      <w:r>
        <w:t xml:space="preserve"> </w:t>
      </w:r>
      <w:r>
        <w:rPr>
          <w:rStyle w:val="VerbatimChar"/>
        </w:rPr>
        <w:t xml:space="preserve">L_p(a,s)</w:t>
      </w:r>
      <w:r>
        <w:t xml:space="preserve"> </w:t>
      </w:r>
      <w:r>
        <w:t xml:space="preserve">and</w:t>
      </w:r>
      <w:r>
        <w:t xml:space="preserve"> </w:t>
      </w:r>
      <w:r>
        <w:rPr>
          <w:rStyle w:val="VerbatimChar"/>
        </w:rPr>
        <w:t xml:space="preserve">CVaR_alpha,p(a)</w:t>
      </w:r>
      <w:r>
        <w:t xml:space="preserve"> </w:t>
      </w:r>
      <w:r>
        <w:t xml:space="preserve">for each active profile</w:t>
      </w:r>
      <w:r>
        <w:t xml:space="preserve"> </w:t>
      </w:r>
      <w:r>
        <w:rPr>
          <w:rStyle w:val="VerbatimChar"/>
        </w:rPr>
        <w:t xml:space="preserve">p</w:t>
      </w:r>
      <w:r>
        <w:t xml:space="preserve">; ordinary TRC qualification requires every active profile to satisfy its governed corridor. A combined summary MAY be reported, but it cannot rescue a failed profile. Any alternative non-dilutive construction requires ex ante governance, proof that unchanged base losses cannot decrease when an extension is added, symmetric application across options, and PCC disclosure.</w:t>
      </w:r>
    </w:p>
    <w:p>
      <w:pPr>
        <w:pStyle w:val="BodyText"/>
      </w:pPr>
      <w:r>
        <w:t xml:space="preserve">Clarification (Normative). C_cat_base is the default habitability/civilization catastrophe proxy. It cleanly captures biosphere degradation and civilization-scale health/environment collapse. Governance lock-in, coercive surveillance, procedural collapse, information-ecosystem capture, or other agency-destroying catastrophes are catastrophe-relevant and SHALL NOT be treated as rhetorically covered by the base triplet alone. When any governance-lock-in trigger is plausible, including surveillance normalization, emergency-power persistence, due-process suspension, information-ecosystem capture, irreversible dependency lock-in, or concentrated arbitrary control over critical infrastructure, the run MUST activate the default governance-lock-in extension profile defined in Appendix D.1A, unless a stricter governed profile is declared in the PCC. The chosen profile MUST be applied symmetrically across all compared options and recorded in the PCC.</w:t>
      </w:r>
    </w:p>
    <w:p>
      <w:pPr>
        <w:pStyle w:val="BodyText"/>
      </w:pPr>
      <w:r>
        <w:t xml:space="preserve">WTSL-AIX / governance-lock-in tail category is mandatory when AI deployment or governance-lock-in triggers are plausible, including surveillance normalization, emergency-power persistence, due-process suspension, information-ecosystem capture, irreversible dependency lock-in, or concentrated arbitrary control. AI_DEPLOYMENT=YES is sufficient but not necessary.</w:t>
      </w:r>
    </w:p>
    <w:bookmarkEnd w:id="134"/>
    <w:bookmarkStart w:id="138" w:name="X325d5cbb75ec059f5d8a981c08f9c5d1f4a6f95"/>
    <w:p>
      <w:pPr>
        <w:pStyle w:val="Heading2"/>
      </w:pPr>
      <w:r>
        <w:rPr>
          <w:bCs/>
          <w:b/>
        </w:rPr>
        <w:t xml:space="preserve">8.3 Scenario Governance (Normative)</w:t>
      </w:r>
    </w:p>
    <w:p>
      <w:pPr>
        <w:pStyle w:val="FirstParagraph"/>
      </w:pPr>
      <w:r>
        <w:t xml:space="preserve">TRC is evaluated over a governed scenario set S with probabilities p_s such that p_s ≥ 0 and Σ_s p_s = 1.</w:t>
      </w:r>
    </w:p>
    <w:bookmarkStart w:id="135" w:name="Xf43b5ee6a21b89b50414133d9cf71a8b11115ca"/>
    <w:p>
      <w:pPr>
        <w:pStyle w:val="Heading3"/>
      </w:pPr>
      <w:r>
        <w:rPr>
          <w:bCs/>
          <w:b/>
        </w:rPr>
        <w:t xml:space="preserve">8.3.1 Mandatory Tail Scenario Categories (Normative)</w:t>
      </w:r>
    </w:p>
    <w:p>
      <w:pPr>
        <w:pStyle w:val="FirstParagraph"/>
      </w:pPr>
      <w:r>
        <w:t xml:space="preserve">The scenario set MUST include the following tail categories unless explicitly justified as not plausible for the decision context. Governance / lock-in catastrophe is a mandatory tail category if and only if the governance-lock-in extension profile in D.1A is active; otherwise it is recommended but not mandatory. When that profile is active, the scenario set MUST include at least one governance-lock-in tail category with category probability floor p_floor ≥ 0.02.</w:t>
      </w:r>
    </w:p>
    <w:p>
      <w:pPr>
        <w:numPr>
          <w:ilvl w:val="0"/>
          <w:numId w:val="1074"/>
        </w:numPr>
        <w:pStyle w:val="Compact"/>
      </w:pPr>
      <w:r>
        <w:t xml:space="preserve">Pandemic/biological disruption</w:t>
      </w:r>
    </w:p>
    <w:p>
      <w:pPr>
        <w:numPr>
          <w:ilvl w:val="0"/>
          <w:numId w:val="1075"/>
        </w:numPr>
        <w:pStyle w:val="Compact"/>
      </w:pPr>
      <w:r>
        <w:t xml:space="preserve">Climate tipping cascade</w:t>
      </w:r>
    </w:p>
    <w:p>
      <w:pPr>
        <w:numPr>
          <w:ilvl w:val="0"/>
          <w:numId w:val="1076"/>
        </w:numPr>
        <w:pStyle w:val="Compact"/>
      </w:pPr>
      <w:r>
        <w:t xml:space="preserve">Financial system collapse</w:t>
      </w:r>
    </w:p>
    <w:p>
      <w:pPr>
        <w:numPr>
          <w:ilvl w:val="0"/>
          <w:numId w:val="1077"/>
        </w:numPr>
        <w:pStyle w:val="Compact"/>
      </w:pPr>
      <w:r>
        <w:t xml:space="preserve">Major conflict escalation</w:t>
      </w:r>
    </w:p>
    <w:p>
      <w:pPr>
        <w:numPr>
          <w:ilvl w:val="0"/>
          <w:numId w:val="1078"/>
        </w:numPr>
        <w:pStyle w:val="Compact"/>
      </w:pPr>
      <w:r>
        <w:t xml:space="preserve">Critical infrastructure failure</w:t>
      </w:r>
    </w:p>
    <w:p>
      <w:pPr>
        <w:pStyle w:val="FirstParagraph"/>
      </w:pPr>
      <w:r>
        <w:t xml:space="preserve">Governance / lock-in catastrophe</w:t>
      </w:r>
    </w:p>
    <w:p>
      <w:pPr>
        <w:pStyle w:val="BodyText"/>
      </w:pPr>
      <w:r>
        <w:t xml:space="preserve">Minimum probability floor per category: p_floor ≥ 0.02</w:t>
      </w:r>
    </w:p>
    <w:p>
      <w:pPr>
        <w:pStyle w:val="BodyText"/>
      </w:pPr>
      <w:r>
        <w:t xml:space="preserve">This prevents “include but set near-zero probability” gaming.</w:t>
      </w:r>
    </w:p>
    <w:p>
      <w:pPr>
        <w:pStyle w:val="BodyText"/>
      </w:pPr>
      <w:r>
        <w:t xml:space="preserve">Probability-floor epistemic boundary. The p_floor value is an anti-omission governance prior, not a calibrated empirical frequency estimate. It prevents mandatory tail classes from being made invisible by arbitrary near-zero assignment and must be sensitivity-tested where decision-material.</w:t>
      </w:r>
    </w:p>
    <w:p>
      <w:pPr>
        <w:pStyle w:val="BodyText"/>
      </w:pPr>
      <w:r>
        <w:rPr>
          <w:bCs/>
          <w:b/>
        </w:rPr>
        <w:t xml:space="preserve">Scenario partition and dependence rule (Normative).</w:t>
      </w:r>
      <w:r>
        <w:t xml:space="preserve"> </w:t>
      </w:r>
      <w:r>
        <w:t xml:space="preserve">Tail categories are coverage labels, not automatically mutually exclusive events. The PCC MUST declare whether scenarios form a mutually exclusive partition, overlap, or belong to dependence clusters. Overlapping category floors MUST NOT be summed as though independent. Tier 3 and decision-material Tier 2 runs MUST either construct mutually exclusive scenarios, use bounded probability intervals/sets, or run a robust CVaR sensitivity over plausible probability assignments. Correlated compound scenarios and shared causal drivers MUST be tagged so probability mass is not double-counted and independence is not silently assumed.</w:t>
      </w:r>
    </w:p>
    <w:p>
      <w:pPr>
        <w:pStyle w:val="BodyText"/>
      </w:pPr>
      <w:r>
        <w:t xml:space="preserve">Rejected-scenario log. Tier 3 runs and high-stakes Tier 2 runs MUST record any material tail category or challenger scenario rejected as implausible, including the rejection rationale, evidence basis, reviewer status, and whether the rejection would change if the reality surface, probability floor, or time horizon changed.</w:t>
      </w:r>
    </w:p>
    <w:p>
      <w:pPr>
        <w:pStyle w:val="BodyText"/>
      </w:pPr>
      <w:r>
        <w:t xml:space="preserve">These mandatory tail categories are not intended as exhaustive; they are a minimal governance floor reflecting cross-domain systemic risk exposure in tightly coupled global systems, including climate-driven boundary cascades (Rockström et al., 2009, 2023; Steffen et al., 2015; IPCC, 2023).</w:t>
      </w:r>
    </w:p>
    <w:bookmarkEnd w:id="135"/>
    <w:bookmarkStart w:id="136" w:name="X77c5dbcfab993198cd47726e512e03cc82cd19d"/>
    <w:p>
      <w:pPr>
        <w:pStyle w:val="Heading3"/>
      </w:pPr>
      <w:r>
        <w:rPr>
          <w:bCs/>
          <w:b/>
        </w:rPr>
        <w:t xml:space="preserve">8.3.2 Implausibility test for exempting mandatory tail categories (Normative)</w:t>
      </w:r>
    </w:p>
    <w:p>
      <w:pPr>
        <w:pStyle w:val="FirstParagraph"/>
      </w:pPr>
      <w:r>
        <w:t xml:space="preserve">If a deployment wishes to exempt a mandatory tail category as “implausible,” the exemption requires:</w:t>
      </w:r>
    </w:p>
    <w:p>
      <w:pPr>
        <w:pStyle w:val="BodyText"/>
      </w:pPr>
      <w:r>
        <w:t xml:space="preserve">(i) Written justification in the PCC explaining why the category is implausible for this specific decision context</w:t>
      </w:r>
    </w:p>
    <w:p>
      <w:pPr>
        <w:pStyle w:val="BodyText"/>
      </w:pPr>
      <w:r>
        <w:t xml:space="preserve">(ii) Independent reviewer sign-off (Tier 3 required; Tier 2 recommended)</w:t>
      </w:r>
    </w:p>
    <w:p>
      <w:pPr>
        <w:pStyle w:val="BodyText"/>
      </w:pPr>
      <w:r>
        <w:t xml:space="preserve">(iii) Recording in PCC with audit flag MANDATORY_TAIL_CATEGORY_MISSING_WITH_JUSTIFICATION</w:t>
      </w:r>
    </w:p>
    <w:p>
      <w:pPr>
        <w:pStyle w:val="BodyText"/>
      </w:pPr>
      <w:r>
        <w:t xml:space="preserve">The burden of proof is on omission, not inclusion. This preserves UBE.</w:t>
      </w:r>
    </w:p>
    <w:bookmarkEnd w:id="136"/>
    <w:bookmarkStart w:id="137" w:name="X9e8fb8a5267de55e238d27a0171e8df071823ec"/>
    <w:p>
      <w:pPr>
        <w:pStyle w:val="Heading3"/>
      </w:pPr>
      <w:r>
        <w:rPr>
          <w:bCs/>
          <w:b/>
        </w:rPr>
        <w:t xml:space="preserve">8.3.3 Scenario set size minima (Normative)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Tier</w:t>
            </w:r>
          </w:p>
        </w:tc>
        <w:tc>
          <w:tcPr>
            <w:shd w:val="clear" w:color="auto" w:fill="D9EAF7"/>
            <w:vAlign w:val="center"/>
          </w:tcPr>
          <w:p>
            <w:pPr>
              <w:pStyle w:val="Compact"/>
              <w:jc w:val="left"/>
            </w:pPr>
            <w:r>
              <w:rPr>
                <w:bCs/>
                <w:b/>
                <w:color w:val="17365D"/>
              </w:rPr>
              <w:t xml:space="preserve">Minimum</w:t>
            </w:r>
          </w:p>
        </w:tc>
      </w:tr>
      <w:tr>
        <w:tc>
          <w:tcPr>
            <w:vAlign w:val="top"/>
          </w:tcPr>
          <w:p>
            <w:pPr>
              <w:pStyle w:val="Compact"/>
              <w:jc w:val="left"/>
            </w:pPr>
            <w:r>
              <w:t xml:space="preserve">Tier 2 (when TRC required)</w:t>
            </w:r>
          </w:p>
        </w:tc>
        <w:tc>
          <w:tcPr>
            <w:vAlign w:val="top"/>
          </w:tcPr>
          <w:p>
            <w:pPr>
              <w:pStyle w:val="Compact"/>
              <w:jc w:val="left"/>
            </w:pPr>
            <w:r>
              <w:t xml:space="preserve">≥5 minimum</w:t>
            </w:r>
          </w:p>
        </w:tc>
      </w:tr>
      <w:tr>
        <w:tc>
          <w:tcPr>
            <w:shd w:val="clear" w:color="auto" w:fill="F7FBFE"/>
            <w:vAlign w:val="top"/>
          </w:tcPr>
          <w:p>
            <w:pPr>
              <w:pStyle w:val="Compact"/>
              <w:jc w:val="left"/>
            </w:pPr>
            <w:r>
              <w:t xml:space="preserve">Tier 3</w:t>
            </w:r>
          </w:p>
        </w:tc>
        <w:tc>
          <w:tcPr>
            <w:shd w:val="clear" w:color="auto" w:fill="F7FBFE"/>
            <w:vAlign w:val="top"/>
          </w:tcPr>
          <w:p>
            <w:pPr>
              <w:pStyle w:val="Compact"/>
              <w:jc w:val="left"/>
            </w:pPr>
            <w:r>
              <w:t xml:space="preserve">≥20 minimum</w:t>
            </w:r>
          </w:p>
        </w:tc>
      </w:tr>
    </w:tbl>
    <w:p>
      <w:pPr>
        <w:pStyle w:val="BodyText"/>
      </w:pPr>
      <w:r>
        <w:t xml:space="preserve">If a tier cannot meet its minimum scenario count, the run MUST NOT claim tier compliance for TRC coverage and MUST record audit_flag SCENARIO_LIBRARY_MIN_EXCEPTION in the PCC, including written justification and a remediation plan to reach the minimum scenario count for the next comparable run.</w:t>
      </w:r>
    </w:p>
    <w:bookmarkEnd w:id="137"/>
    <w:bookmarkEnd w:id="138"/>
    <w:bookmarkStart w:id="140" w:name="Xc83375c8dd8ca8277448160bbacd27efbc0e7ca"/>
    <w:p>
      <w:pPr>
        <w:pStyle w:val="Heading2"/>
      </w:pPr>
      <w:r>
        <w:rPr>
          <w:bCs/>
          <w:b/>
        </w:rPr>
        <w:t xml:space="preserve">8.4 Loss Construction (Tier 1-3: Bounded-Impact TRC) (Normative)</w:t>
      </w:r>
    </w:p>
    <w:p>
      <w:pPr>
        <w:pStyle w:val="FirstParagraph"/>
      </w:pPr>
      <w:r>
        <w:t xml:space="preserve">Tier 1-3 TRC uses bounded-impact loss based on propagated Base-stream impacts in catastrophe cells.</w:t>
      </w:r>
    </w:p>
    <w:p>
      <w:pPr>
        <w:pStyle w:val="BodyText"/>
      </w:pPr>
      <w:r>
        <w:t xml:space="preserve">Domain constraint: All propagated impacts are bounded: I_prop_base,c(a|s) ∈ [-1, +1].</w:t>
      </w:r>
    </w:p>
    <w:p>
      <w:pPr>
        <w:pStyle w:val="BodyText"/>
      </w:pPr>
      <w:r>
        <w:t xml:space="preserve">For each scenario s, define scenario loss:</w:t>
      </w:r>
    </w:p>
    <w:p>
      <w:pPr>
        <w:pStyle w:val="BodyText"/>
      </w:pPr>
      <w:r>
        <w:t xml:space="preserve">L(a,s) = Σ_{c ∈ C_cat} ω_c × max(0, −I_prop_base,c(a|s))</w:t>
      </w:r>
    </w:p>
    <w:p>
      <w:pPr>
        <w:pStyle w:val="BodyText"/>
      </w:pPr>
      <w:r>
        <w:t xml:space="preserve">Normative stream binding (Design A): TRC MUST be computed from the Base stream (I_prop_base). TRC MUST NOT use Welfare-stream (sentience-weighted) impacts.</w:t>
      </w:r>
    </w:p>
    <w:p>
      <w:pPr>
        <w:pStyle w:val="BodyText"/>
      </w:pPr>
      <w:r>
        <w:t xml:space="preserve">Where:</w:t>
      </w:r>
    </w:p>
    <w:p>
      <w:pPr>
        <w:numPr>
          <w:ilvl w:val="0"/>
          <w:numId w:val="1079"/>
        </w:numPr>
        <w:pStyle w:val="Compact"/>
      </w:pPr>
      <w:r>
        <w:t xml:space="preserve">ω_c ≥ 0, Σ_{c ∈ C_cat} ω_c = 1 (catastrophe weights are normalized)</w:t>
      </w:r>
    </w:p>
    <w:p>
      <w:pPr>
        <w:numPr>
          <w:ilvl w:val="0"/>
          <w:numId w:val="1080"/>
        </w:numPr>
        <w:pStyle w:val="Compact"/>
      </w:pPr>
      <w:r>
        <w:t xml:space="preserve">max(0, x) returns x if x &gt; 0, otherwise 0 (only negative impacts contribute)</w:t>
      </w:r>
    </w:p>
    <w:p>
      <w:pPr>
        <w:numPr>
          <w:ilvl w:val="0"/>
          <w:numId w:val="1081"/>
        </w:numPr>
        <w:pStyle w:val="Compact"/>
      </w:pPr>
      <w:r>
        <w:t xml:space="preserve">I_prop_base,c(a|s) is the propagated impact in catastrophe cell c under scenario s</w:t>
      </w:r>
    </w:p>
    <w:p>
      <w:pPr>
        <w:pStyle w:val="FirstParagraph"/>
      </w:pPr>
      <w:r>
        <w:t xml:space="preserve">Default catastrophe weights (if not otherwise governed): Uniform weights over C_cat.</w:t>
      </w:r>
    </w:p>
    <w:p>
      <w:pPr>
        <w:pStyle w:val="BodyText"/>
      </w:pPr>
      <w:r>
        <w:t>Catastrophe-weight governance (Normative). Any non-default ω_c vector MUST be declared ex ante in the PCC, normalized within the active catastrophe profile, justified by a named evidence or governance source, and applied symmetrically across compared options and scenarios. It MUST NOT weaken the base-profile non-dilution rule, hide a material catastrophe cell, or convert an unchanged severe loss into a pass merely through weight spreading. Tier 3 and decision-material or high-stakes Tier 2 runs using non-default ω_c MUST report a uniform-weight counterfactual and any material sensitivity in loss, CVaR, severity-class disposition, or TRC status.</w:t>
      </w:r>
    </w:p>
    <w:p>
      <w:pPr>
        <w:pStyle w:val="BodyText"/>
      </w:pPr>
      <w:r>
        <w:t xml:space="preserve">Interpretation:</w:t>
      </w:r>
    </w:p>
    <w:p>
      <w:pPr>
        <w:numPr>
          <w:ilvl w:val="0"/>
          <w:numId w:val="1082"/>
        </w:numPr>
        <w:pStyle w:val="Compact"/>
      </w:pPr>
      <w:r>
        <w:t xml:space="preserve">Only negative impacts in catastrophe cells contribute to loss.</w:t>
      </w:r>
    </w:p>
    <w:p>
      <w:pPr>
        <w:numPr>
          <w:ilvl w:val="0"/>
          <w:numId w:val="1083"/>
        </w:numPr>
        <w:pStyle w:val="Compact"/>
      </w:pPr>
      <w:r>
        <w:t xml:space="preserve">Loss is bounded in [0,1] because weights are normalized and impacts lie in [-1,+1].</w:t>
      </w:r>
    </w:p>
    <w:p>
      <w:pPr>
        <w:numPr>
          <w:ilvl w:val="0"/>
          <w:numId w:val="1084"/>
        </w:numPr>
        <w:pStyle w:val="Compact"/>
      </w:pPr>
      <w:r>
        <w:t xml:space="preserve">Positive impacts in catastrophe cells (improvements) do not offset losses; they simply contribute zero to the loss function.</w:t>
      </w:r>
    </w:p>
    <w:p>
      <w:pPr>
        <w:pStyle w:val="FirstParagraph"/>
      </w:pPr>
      <w:r>
        <w:t xml:space="preserve">Example: If C_cat = {(6, Health), (6, Environment), (7, Environment)} with uniform weights (ω_c = 1/3 each), and under scenario s the propagated impacts are:</w:t>
      </w:r>
    </w:p>
    <w:p>
      <w:pPr>
        <w:numPr>
          <w:ilvl w:val="0"/>
          <w:numId w:val="1085"/>
        </w:numPr>
        <w:pStyle w:val="Compact"/>
      </w:pPr>
      <w:r>
        <w:t xml:space="preserve">I_prop_base(6,Health,a|s) = -0.30 → contributes 1/3 × 0.30 = 0.10</w:t>
      </w:r>
    </w:p>
    <w:p>
      <w:pPr>
        <w:numPr>
          <w:ilvl w:val="0"/>
          <w:numId w:val="1086"/>
        </w:numPr>
        <w:pStyle w:val="Compact"/>
      </w:pPr>
      <w:r>
        <w:t xml:space="preserve">I_prop_base(6,Environment,a|s) = +0.10 → contributes 1/3 × max(0, -0.10) = 0</w:t>
      </w:r>
    </w:p>
    <w:p>
      <w:pPr>
        <w:numPr>
          <w:ilvl w:val="0"/>
          <w:numId w:val="1087"/>
        </w:numPr>
        <w:pStyle w:val="Compact"/>
      </w:pPr>
      <w:r>
        <w:t xml:space="preserve">I_prop_base(7,Environment,a|s) = -0.60 → contributes 1/3 × 0.60 = 0.20</w:t>
      </w:r>
    </w:p>
    <w:p>
      <w:pPr>
        <w:pStyle w:val="FirstParagraph"/>
      </w:pPr>
      <w:r>
        <w:t xml:space="preserve">Then L(a,s) = 0.10 + 0 + 0.20 = 0.30</w:t>
      </w:r>
    </w:p>
    <w:bookmarkStart w:id="139" w:name="X7112169eeb9eac2e1373237a4a42fd235aeb882"/>
    <w:p>
      <w:pPr>
        <w:pStyle w:val="Heading3"/>
      </w:pPr>
      <w:r>
        <w:rPr>
          <w:bCs/>
          <w:b/>
        </w:rPr>
        <w:t xml:space="preserve">8.4A Catastrophe Severity-Class Overlay (Normative)</w:t>
      </w:r>
    </w:p>
    <w:p>
      <w:pPr>
        <w:pStyle w:val="FirstParagraph"/>
      </w:pPr>
      <w:r>
        <w:t xml:space="preserve">Bounded loss supports stable computation but can compress materially different catastrophe classes near the same ceiling. Every TRC scenario MUST therefore declare one severity class in addition to</w:t>
      </w:r>
      <w:r>
        <w:t xml:space="preserve"> </w:t>
      </w:r>
      <w:r>
        <w:rPr>
          <w:rStyle w:val="VerbatimChar"/>
        </w:rPr>
        <w:t xml:space="preserve">L(a,s)</w:t>
      </w:r>
      <w:r>
        <w:t xml:space="preserve">:</w:t>
      </w:r>
      <w:r>
        <w:t xml:space="preserve"> </w:t>
      </w:r>
      <w:r>
        <w:rPr>
          <w:rStyle w:val="VerbatimChar"/>
        </w:rPr>
        <w:t xml:space="preserve">C1_SEVERE</w:t>
      </w:r>
      <w:r>
        <w:t xml:space="preserve">,</w:t>
      </w:r>
      <w:r>
        <w:t xml:space="preserve"> </w:t>
      </w:r>
      <w:r>
        <w:rPr>
          <w:rStyle w:val="VerbatimChar"/>
        </w:rPr>
        <w:t xml:space="preserve">C2_SYSTEMIC</w:t>
      </w:r>
      <w:r>
        <w:t xml:space="preserve">,</w:t>
      </w:r>
      <w:r>
        <w:t xml:space="preserve"> </w:t>
      </w:r>
      <w:r>
        <w:rPr>
          <w:rStyle w:val="VerbatimChar"/>
        </w:rPr>
        <w:t xml:space="preserve">C3_CIVILIZATION_THREATENING</w:t>
      </w:r>
      <w:r>
        <w:t xml:space="preserve">, or</w:t>
      </w:r>
      <w:r>
        <w:t xml:space="preserve"> </w:t>
      </w:r>
      <w:r>
        <w:rPr>
          <w:rStyle w:val="VerbatimChar"/>
        </w:rPr>
        <w:t xml:space="preserve">C4_EXISTENTIAL</w:t>
      </w:r>
      <w:r>
        <w:t xml:space="preserve">. The class is evidence-governed and challengeable; it is not inferred from rhetoric or from the bounded loss number alone.</w:t>
      </w:r>
    </w:p>
    <w:p>
      <w:pPr>
        <w:numPr>
          <w:ilvl w:val="0"/>
          <w:numId w:val="1088"/>
        </w:numPr>
        <w:pStyle w:val="Compact"/>
      </w:pPr>
      <w:r>
        <w:rPr>
          <w:rStyle w:val="VerbatimChar"/>
        </w:rPr>
        <w:t xml:space="preserve">C1_SEVERE</w:t>
      </w:r>
      <w:r>
        <w:t xml:space="preserve">: large but bounded harm with functioning recovery institutions.</w:t>
      </w:r>
    </w:p>
    <w:p>
      <w:pPr>
        <w:numPr>
          <w:ilvl w:val="0"/>
          <w:numId w:val="1088"/>
        </w:numPr>
        <w:pStyle w:val="Compact"/>
      </w:pPr>
      <w:r>
        <w:rPr>
          <w:rStyle w:val="VerbatimChar"/>
        </w:rPr>
        <w:t xml:space="preserve">C2_SYSTEMIC</w:t>
      </w:r>
      <w:r>
        <w:t xml:space="preserve">: multi-system or cross-polity disruption with major recovery burden.</w:t>
      </w:r>
    </w:p>
    <w:p>
      <w:pPr>
        <w:numPr>
          <w:ilvl w:val="0"/>
          <w:numId w:val="1088"/>
        </w:numPr>
        <w:pStyle w:val="Compact"/>
      </w:pPr>
      <w:r>
        <w:rPr>
          <w:rStyle w:val="VerbatimChar"/>
        </w:rPr>
        <w:t xml:space="preserve">C3_CIVILIZATION_THREATENING</w:t>
      </w:r>
      <w:r>
        <w:t xml:space="preserve">: plausible loss of durable civilizational capacity, global coordination, or planetary habitability conditions.</w:t>
      </w:r>
    </w:p>
    <w:p>
      <w:pPr>
        <w:numPr>
          <w:ilvl w:val="0"/>
          <w:numId w:val="1088"/>
        </w:numPr>
        <w:pStyle w:val="Compact"/>
      </w:pPr>
      <w:r>
        <w:rPr>
          <w:rStyle w:val="VerbatimChar"/>
        </w:rPr>
        <w:t xml:space="preserve">C4_EXISTENTIAL</w:t>
      </w:r>
      <w:r>
        <w:t xml:space="preserve">: plausible permanent destruction of humanity or comparable foreclosure of future moral patients.</w:t>
      </w:r>
    </w:p>
    <w:p>
      <w:pPr>
        <w:pStyle w:val="FirstParagraph"/>
      </w:pPr>
      <w:r>
        <w:t xml:space="preserve">A governed profile MAY set class-specific probability caps or stricter corridors. Until such a profile is declared, any material</w:t>
      </w:r>
      <w:r>
        <w:t xml:space="preserve"> </w:t>
      </w:r>
      <w:r>
        <w:rPr>
          <w:rStyle w:val="VerbatimChar"/>
        </w:rPr>
        <w:t xml:space="preserve">C4_EXISTENTIAL</w:t>
      </w:r>
      <w:r>
        <w:t xml:space="preserve"> </w:t>
      </w:r>
      <w:r>
        <w:t xml:space="preserve">pathway prevents an ordinary TRC pass unless its conservative upper probability bound is shown to be below an explicitly governed existential-risk tolerance. A</w:t>
      </w:r>
      <w:r>
        <w:t xml:space="preserve"> </w:t>
      </w:r>
      <w:r>
        <w:rPr>
          <w:rStyle w:val="VerbatimChar"/>
        </w:rPr>
        <w:t xml:space="preserve">C3_CIVILIZATION_THREATENING</w:t>
      </w:r>
      <w:r>
        <w:t xml:space="preserve"> </w:t>
      </w:r>
      <w:r>
        <w:t xml:space="preserve">pathway requires independent challenge, class-specific monitoring/controls, and sensitivity to a stricter corridor. This is an overlay inside TRC, not a sixth gate, and it prevents a bounded scalar from erasing the qualitative difference between severe, systemic, civilization-threatening, and existential outcomes.</w:t>
      </w:r>
    </w:p>
    <w:bookmarkEnd w:id="139"/>
    <w:bookmarkEnd w:id="140"/>
    <w:bookmarkStart w:id="141" w:name="X98af315cbf3d2923aeaf1a152398444624e4148"/>
    <w:p>
      <w:pPr>
        <w:pStyle w:val="Heading2"/>
      </w:pPr>
      <w:r>
        <w:rPr>
          <w:bCs/>
          <w:b/>
        </w:rPr>
        <w:t xml:space="preserve">8.5 CVaR Computation (Normative)</w:t>
      </w:r>
    </w:p>
    <w:p>
      <w:pPr>
        <w:pStyle w:val="FirstParagraph"/>
      </w:pPr>
      <w:r>
        <w:t xml:space="preserve">Let L(a) be the random loss induced by scenarios s with probabilities p_s.</w:t>
      </w:r>
    </w:p>
    <w:p>
      <w:pPr>
        <w:pStyle w:val="BodyText"/>
      </w:pPr>
      <w:r>
        <w:t xml:space="preserve">Value-at-Risk: VaR_α[L(a)] = inf{z : P(L(a) ≤ z) ≥ α}</w:t>
      </w:r>
    </w:p>
    <w:p>
      <w:pPr>
        <w:pStyle w:val="BodyText"/>
      </w:pPr>
      <w:r>
        <w:t xml:space="preserve">CVaR operational definition (Tier 1-3). For RippleLogic Tier 1-3 discrete scenario libraries, CVaR_α[L(a)] is the probability-weighted average loss over the worst β = 1−α probability mass, computed by the canonical discrete algorithm in Appendix D.7.</w:t>
      </w:r>
    </w:p>
    <w:p>
      <w:pPr>
        <w:pStyle w:val="BodyText"/>
      </w:pPr>
      <w:r>
        <w:t xml:space="preserve">Continuous-case shorthand. In continuous loss distributions without probability mass at VaR, this corresponds to the familiar expression E[L(a) | L(a) ≥ VaR_α[L(a)]]. In discrete scenario sets with atoms at the VaR boundary, that shorthand is not controlling and MUST NOT override Appendix D.7.</w:t>
      </w:r>
    </w:p>
    <w:p>
      <w:pPr>
        <w:pStyle w:val="BodyText"/>
      </w:pPr>
      <w:r>
        <w:t xml:space="preserve">The Appendix D.7 discrete tail-mass algorithm is normative, audit-replayable, and controlling for all finite Tier 1-3 scenario sets, including partial mass at the boundary scenario when required.</w:t>
      </w:r>
    </w:p>
    <w:bookmarkEnd w:id="141"/>
    <w:bookmarkStart w:id="142" w:name="X3d1ab33649a0fb1a3701cf844e0a728c6868d81"/>
    <w:p>
      <w:pPr>
        <w:pStyle w:val="Heading2"/>
      </w:pPr>
      <w:r>
        <w:rPr>
          <w:bCs/>
          <w:b/>
        </w:rPr>
        <w:t xml:space="preserve">8.6 TRC Admissibility Predicate (Normative)</w:t>
      </w:r>
    </w:p>
    <w:p>
      <w:pPr>
        <w:pStyle w:val="FirstParagraph"/>
      </w:pPr>
      <w:r>
        <w:t xml:space="preserve">An option passes TRC if and only if:</w:t>
      </w:r>
    </w:p>
    <w:p>
      <w:pPr>
        <w:pStyle w:val="BodyText"/>
      </w:pPr>
      <w:r>
        <w:rPr>
          <w:rStyle w:val="VerbatimChar"/>
        </w:rPr>
        <w:t xml:space="preserve">CVaR_alpha[L(a)] &lt;= tau_TRC</w:t>
      </w:r>
      <w:r>
        <w:t xml:space="preserve">, and every active class-specific cap or tolerance under Section 8.4A is satisfied, with no unresolved material</w:t>
      </w:r>
      <w:r>
        <w:t xml:space="preserve"> </w:t>
      </w:r>
      <w:r>
        <w:rPr>
          <w:rStyle w:val="VerbatimChar"/>
        </w:rPr>
        <w:t xml:space="preserve">C3</w:t>
      </w:r>
      <w:r>
        <w:t xml:space="preserve"> </w:t>
      </w:r>
      <w:r>
        <w:t xml:space="preserve">or</w:t>
      </w:r>
      <w:r>
        <w:t xml:space="preserve"> </w:t>
      </w:r>
      <w:r>
        <w:rPr>
          <w:rStyle w:val="VerbatimChar"/>
        </w:rPr>
        <w:t xml:space="preserve">C4</w:t>
      </w:r>
      <w:r>
        <w:t xml:space="preserve"> </w:t>
      </w:r>
      <w:r>
        <w:t xml:space="preserve">field.</w:t>
      </w:r>
    </w:p>
    <w:p>
      <w:pPr>
        <w:pStyle w:val="BodyText"/>
      </w:pPr>
      <w:r>
        <w:t xml:space="preserve">Define:</w:t>
      </w:r>
    </w:p>
    <w:p>
      <w:pPr>
        <w:pStyle w:val="BodyText"/>
      </w:pPr>
      <w:r>
        <w:t xml:space="preserve">A_adm = {a ∈ A_NCRC : TRC(a) = TRUE}</w:t>
      </w:r>
    </w:p>
    <w:bookmarkEnd w:id="142"/>
    <w:bookmarkStart w:id="143" w:name="Xba143578307a83d114abbb24bda34e1e21f18b7"/>
    <w:p>
      <w:pPr>
        <w:pStyle w:val="Heading2"/>
      </w:pPr>
      <w:r>
        <w:rPr>
          <w:bCs/>
          <w:b/>
        </w:rPr>
        <w:t xml:space="preserve">8.7 Default TRC Parameters by Context (Normative Defaults)</w:t>
      </w:r>
    </w:p>
    <w:p>
      <w:pPr>
        <w:pStyle w:val="FirstParagraph"/>
      </w:pPr>
      <w:r>
        <w:t xml:space="preserve">These are defaults; governance may tighten them. Loosening requires explicit governance justification and PCC recording.</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Context</w:t>
            </w:r>
          </w:p>
        </w:tc>
        <w:tc>
          <w:tcPr>
            <w:shd w:val="clear" w:color="auto" w:fill="D9EAF7"/>
            <w:vAlign w:val="center"/>
          </w:tcPr>
          <w:p>
            <w:pPr>
              <w:pStyle w:val="Compact"/>
              <w:jc w:val="left"/>
            </w:pPr>
            <w:r>
              <w:rPr>
                <w:bCs/>
                <w:b/>
                <w:color w:val="17365D"/>
              </w:rPr>
              <w:t xml:space="preserve">α (tail level)</w:t>
            </w:r>
          </w:p>
        </w:tc>
        <w:tc>
          <w:tcPr>
            <w:shd w:val="clear" w:color="auto" w:fill="D9EAF7"/>
            <w:vAlign w:val="center"/>
          </w:tcPr>
          <w:p>
            <w:pPr>
              <w:pStyle w:val="Compact"/>
              <w:jc w:val="left"/>
            </w:pPr>
            <w:r>
              <w:rPr>
                <w:bCs/>
                <w:b/>
                <w:color w:val="17365D"/>
              </w:rPr>
              <w:t xml:space="preserve">τ_TRC (corridor threshold)</w:t>
            </w:r>
          </w:p>
        </w:tc>
      </w:tr>
      <w:tr>
        <w:tc>
          <w:tcPr>
            <w:vAlign w:val="top"/>
          </w:tcPr>
          <w:p>
            <w:pPr>
              <w:pStyle w:val="Compact"/>
              <w:jc w:val="left"/>
            </w:pPr>
            <w:r>
              <w:t xml:space="preserve">Personal</w:t>
            </w:r>
          </w:p>
        </w:tc>
        <w:tc>
          <w:tcPr>
            <w:vAlign w:val="top"/>
          </w:tcPr>
          <w:p>
            <w:pPr>
              <w:pStyle w:val="Compact"/>
              <w:jc w:val="left"/>
            </w:pPr>
            <w:r>
              <w:t xml:space="preserve">0.90</w:t>
            </w:r>
          </w:p>
        </w:tc>
        <w:tc>
          <w:tcPr>
            <w:vAlign w:val="top"/>
          </w:tcPr>
          <w:p>
            <w:pPr>
              <w:pStyle w:val="Compact"/>
              <w:jc w:val="left"/>
            </w:pPr>
            <w:r>
              <w:t xml:space="preserve">0.30</w:t>
            </w:r>
          </w:p>
        </w:tc>
      </w:tr>
      <w:tr>
        <w:tc>
          <w:tcPr>
            <w:shd w:val="clear" w:color="auto" w:fill="F7FBFE"/>
            <w:vAlign w:val="top"/>
          </w:tcPr>
          <w:p>
            <w:pPr>
              <w:pStyle w:val="Compact"/>
              <w:jc w:val="left"/>
            </w:pPr>
            <w:r>
              <w:t xml:space="preserve">Organizational</w:t>
            </w:r>
          </w:p>
        </w:tc>
        <w:tc>
          <w:tcPr>
            <w:shd w:val="clear" w:color="auto" w:fill="F7FBFE"/>
            <w:vAlign w:val="top"/>
          </w:tcPr>
          <w:p>
            <w:pPr>
              <w:pStyle w:val="Compact"/>
              <w:jc w:val="left"/>
            </w:pPr>
            <w:r>
              <w:t xml:space="preserve">0.95</w:t>
            </w:r>
          </w:p>
        </w:tc>
        <w:tc>
          <w:tcPr>
            <w:shd w:val="clear" w:color="auto" w:fill="F7FBFE"/>
            <w:vAlign w:val="top"/>
          </w:tcPr>
          <w:p>
            <w:pPr>
              <w:pStyle w:val="Compact"/>
              <w:jc w:val="left"/>
            </w:pPr>
            <w:r>
              <w:t xml:space="preserve">0.20</w:t>
            </w:r>
          </w:p>
        </w:tc>
      </w:tr>
      <w:tr>
        <w:tc>
          <w:tcPr>
            <w:vAlign w:val="top"/>
          </w:tcPr>
          <w:p>
            <w:pPr>
              <w:pStyle w:val="Compact"/>
              <w:jc w:val="left"/>
            </w:pPr>
            <w:r>
              <w:t xml:space="preserve">Reversible policy</w:t>
            </w:r>
          </w:p>
        </w:tc>
        <w:tc>
          <w:tcPr>
            <w:vAlign w:val="top"/>
          </w:tcPr>
          <w:p>
            <w:pPr>
              <w:pStyle w:val="Compact"/>
              <w:jc w:val="left"/>
            </w:pPr>
            <w:r>
              <w:t xml:space="preserve">0.95</w:t>
            </w:r>
          </w:p>
        </w:tc>
        <w:tc>
          <w:tcPr>
            <w:vAlign w:val="top"/>
          </w:tcPr>
          <w:p>
            <w:pPr>
              <w:pStyle w:val="Compact"/>
              <w:jc w:val="left"/>
            </w:pPr>
            <w:r>
              <w:t xml:space="preserve">0.15</w:t>
            </w:r>
          </w:p>
        </w:tc>
      </w:tr>
      <w:tr>
        <w:tc>
          <w:tcPr>
            <w:shd w:val="clear" w:color="auto" w:fill="F7FBFE"/>
            <w:vAlign w:val="top"/>
          </w:tcPr>
          <w:p>
            <w:pPr>
              <w:pStyle w:val="Compact"/>
              <w:jc w:val="left"/>
            </w:pPr>
            <w:r>
              <w:t xml:space="preserve">Irreversible policy</w:t>
            </w:r>
          </w:p>
        </w:tc>
        <w:tc>
          <w:tcPr>
            <w:shd w:val="clear" w:color="auto" w:fill="F7FBFE"/>
            <w:vAlign w:val="top"/>
          </w:tcPr>
          <w:p>
            <w:pPr>
              <w:pStyle w:val="Compact"/>
              <w:jc w:val="left"/>
            </w:pPr>
            <w:r>
              <w:t xml:space="preserve">0.99</w:t>
            </w:r>
          </w:p>
        </w:tc>
        <w:tc>
          <w:tcPr>
            <w:shd w:val="clear" w:color="auto" w:fill="F7FBFE"/>
            <w:vAlign w:val="top"/>
          </w:tcPr>
          <w:p>
            <w:pPr>
              <w:pStyle w:val="Compact"/>
              <w:jc w:val="left"/>
            </w:pPr>
            <w:r>
              <w:t xml:space="preserve">0.10</w:t>
            </w:r>
          </w:p>
        </w:tc>
      </w:tr>
      <w:tr>
        <w:tc>
          <w:tcPr>
            <w:vAlign w:val="top"/>
          </w:tcPr>
          <w:p>
            <w:pPr>
              <w:pStyle w:val="Compact"/>
              <w:jc w:val="left"/>
            </w:pPr>
            <w:r>
              <w:t xml:space="preserve">Existential risk</w:t>
            </w:r>
          </w:p>
        </w:tc>
        <w:tc>
          <w:tcPr>
            <w:vAlign w:val="top"/>
          </w:tcPr>
          <w:p>
            <w:pPr>
              <w:pStyle w:val="Compact"/>
              <w:jc w:val="left"/>
            </w:pPr>
            <w:r>
              <w:t xml:space="preserve">0.999</w:t>
            </w:r>
          </w:p>
        </w:tc>
        <w:tc>
          <w:tcPr>
            <w:vAlign w:val="top"/>
          </w:tcPr>
          <w:p>
            <w:pPr>
              <w:pStyle w:val="Compact"/>
              <w:jc w:val="left"/>
            </w:pPr>
            <w:r>
              <w:t xml:space="preserve">0.05</w:t>
            </w:r>
          </w:p>
        </w:tc>
      </w:tr>
    </w:tbl>
    <w:p>
      <w:pPr>
        <w:pStyle w:val="BodyText"/>
      </w:pPr>
      <w:r>
        <w:rPr>
          <w:bCs/>
          <w:b/>
        </w:rPr>
        <w:t xml:space="preserve">High-alpha effective-maximum disclosure (Normative clarification).</w:t>
      </w:r>
      <w:r>
        <w:t xml:space="preserve"> </w:t>
      </w:r>
      <w:r>
        <w:t xml:space="preserve">With discrete scenarios,</w:t>
      </w:r>
      <w:r>
        <w:t xml:space="preserve"> </w:t>
      </w:r>
      <w:r>
        <w:rPr>
          <w:rStyle w:val="VerbatimChar"/>
        </w:rPr>
        <w:t xml:space="preserve">CVaR_α</w:t>
      </w:r>
      <w:r>
        <w:t xml:space="preserve"> </w:t>
      </w:r>
      <w:r>
        <w:t xml:space="preserve">equals the worst modeled loss whenever the worst-loss scenario probability is at least the tail mass</w:t>
      </w:r>
      <w:r>
        <w:t xml:space="preserve"> </w:t>
      </w:r>
      <w:r>
        <w:rPr>
          <w:rStyle w:val="VerbatimChar"/>
        </w:rPr>
        <w:t xml:space="preserve">1-α</w:t>
      </w:r>
      <w:r>
        <w:t xml:space="preserve">. Under the mandatory scenario probability floor, this will commonly occur for</w:t>
      </w:r>
      <w:r>
        <w:t xml:space="preserve"> </w:t>
      </w:r>
      <w:r>
        <w:rPr>
          <w:rStyle w:val="VerbatimChar"/>
        </w:rPr>
        <w:t xml:space="preserve">α=0.99</w:t>
      </w:r>
      <w:r>
        <w:t xml:space="preserve"> </w:t>
      </w:r>
      <w:r>
        <w:t xml:space="preserve">or</w:t>
      </w:r>
      <w:r>
        <w:t xml:space="preserve"> </w:t>
      </w:r>
      <w:r>
        <w:rPr>
          <w:rStyle w:val="VerbatimChar"/>
        </w:rPr>
        <w:t xml:space="preserve">0.999</w:t>
      </w:r>
      <w:r>
        <w:t xml:space="preserve">. This is an intended conservative limit, not an averaging result. The PCC MUST report the effective tail support, whether CVaR is numerically identical to the modeled maximum loss, and the consequence of that equivalence for the TRC result. A maximum-equivalent CVaR remains bounded by the declared scenario library and does not establish that every catastrophic pathway has been identified.</w:t>
      </w:r>
    </w:p>
    <w:p>
      <w:pPr>
        <w:pStyle w:val="BodyText"/>
      </w:pPr>
      <w:r>
        <w:rPr>
          <w:b/>
        </w:rPr>
        <w:t>Low-alpha corridor interpretation (Informative clarification).</w:t>
      </w:r>
      <w:r>
        <w:t xml:space="preserve"> In lower-stakes contexts such as the Personal default, the scalar CVaR corridor can be permissive for a very-low-probability severe modeled loss at the mandatory probability floor. The Section 8.4A severity-class overlay remains a separate conjunctive backstop: a material C3/C4 pathway does not become an ordinary pass merely because the scalar corridor passes. Where the overlay, rather than the scalar corridor, controls disposition, the PCC SHOULD say so explicitly. This clarification changes no alpha, tau_TRC, p_floor, or severity-class rule.</w:t>
      </w:r>
    </w:p>
    <w:bookmarkEnd w:id="143"/>
    <w:bookmarkStart w:id="144" w:name="X6021c0437d0eb899b8c36399e8820a9d781f80f"/>
    <w:p>
      <w:pPr>
        <w:pStyle w:val="Heading2"/>
      </w:pPr>
      <w:r>
        <w:rPr>
          <w:bCs/>
          <w:b/>
        </w:rPr>
        <w:t xml:space="preserve">8.8 Tail Emergency Mode (Normative; replaces automatic TRC fallback)</w:t>
      </w:r>
    </w:p>
    <w:p>
      <w:pPr>
        <w:pStyle w:val="FirstParagraph"/>
      </w:pPr>
      <w:r>
        <w:t xml:space="preserve">If A_NCRC is non-empty but no rights-admissible option passes TRC, the ordinary selectable set is empty. The default response is redesign, delay, escalation, no-action review, or refusal. A least-CVaR option MUST NOT be automatically promoted into ordinary selection.</w:t>
      </w:r>
    </w:p>
    <w:p>
      <w:pPr>
        <w:pStyle w:val="BodyText"/>
      </w:pPr>
      <w:r>
        <w:t xml:space="preserve">Tail Emergency Mode MAY be invoked only when the PCC demonstrates all of the following:</w:t>
      </w:r>
    </w:p>
    <w:p>
      <w:pPr>
        <w:numPr>
          <w:ilvl w:val="0"/>
          <w:numId w:val="1089"/>
        </w:numPr>
        <w:pStyle w:val="Compact"/>
      </w:pPr>
      <w:r>
        <w:t xml:space="preserve">redesign and materially safer alternatives have been actively attempted;</w:t>
      </w:r>
    </w:p>
    <w:p>
      <w:pPr>
        <w:numPr>
          <w:ilvl w:val="0"/>
          <w:numId w:val="1089"/>
        </w:numPr>
        <w:pStyle w:val="Compact"/>
      </w:pPr>
      <w:r>
        <w:t xml:space="preserve">delay, refusal, or no-action is unavailable or is evidenced to create equal or greater ruin exposure;</w:t>
      </w:r>
    </w:p>
    <w:p>
      <w:pPr>
        <w:numPr>
          <w:ilvl w:val="0"/>
          <w:numId w:val="1089"/>
        </w:numPr>
        <w:pStyle w:val="Compact"/>
      </w:pPr>
      <w:r>
        <w:t xml:space="preserve">an independent challenger has reviewed the emergency claim and proposed alternatives;</w:t>
      </w:r>
    </w:p>
    <w:p>
      <w:pPr>
        <w:numPr>
          <w:ilvl w:val="0"/>
          <w:numId w:val="1089"/>
        </w:numPr>
        <w:pStyle w:val="Compact"/>
      </w:pPr>
      <w:r>
        <w:t xml:space="preserve">a governed absolute maximum exposure τ_TRC_max has been declared and the provisional option does not exceed it;</w:t>
      </w:r>
    </w:p>
    <w:p>
      <w:pPr>
        <w:numPr>
          <w:ilvl w:val="0"/>
          <w:numId w:val="1089"/>
        </w:numPr>
        <w:pStyle w:val="Compact"/>
      </w:pPr>
      <w:r>
        <w:t xml:space="preserve">the action is time-bounded, scope-bounded, reversible where possible, and paired with mitigation, monitoring, shutoff, remedy/redress, and explicit exit criteria;</w:t>
      </w:r>
    </w:p>
    <w:p>
      <w:pPr>
        <w:numPr>
          <w:ilvl w:val="0"/>
          <w:numId w:val="1089"/>
        </w:numPr>
        <w:pStyle w:val="Compact"/>
      </w:pPr>
      <w:r>
        <w:t xml:space="preserve">one-tier-higher approval and lawful authority are recorded; and</w:t>
      </w:r>
    </w:p>
    <w:p>
      <w:pPr>
        <w:numPr>
          <w:ilvl w:val="0"/>
          <w:numId w:val="1089"/>
        </w:numPr>
        <w:pStyle w:val="Compact"/>
      </w:pPr>
      <w:r>
        <w:t xml:space="preserve">the decision will be reopened on a declared review cadence or immediately when a safer option becomes available.</w:t>
      </w:r>
    </w:p>
    <w:p>
      <w:pPr>
        <w:pStyle w:val="FirstParagraph"/>
      </w:pPr>
      <w:r>
        <w:t xml:space="preserve">Within the emergency candidate set that satisfies these conditions, choose the provisional option with minimum CVaR_alpha. Record TAIL_EMERGENCY_MODE_INVOKED, the CVaR deficit above τ_TRC, the absolute-cap margin, the necessity evidence, challenger record, controls, burden bearers, and return-to-normal trigger.</w:t>
      </w:r>
    </w:p>
    <w:p>
      <w:pPr>
        <w:pStyle w:val="BodyText"/>
      </w:pPr>
      <w:r>
        <w:t xml:space="preserve">The result is TAIL_EMERGENCY_PROVISIONAL_ACTION. It is not TRC_PASS, SELECT, aligned, safe, or ordinarily admissible. Ordinary RLS ranking is prohibited in Tail Emergency Mode.</w:t>
      </w:r>
    </w:p>
    <w:p>
      <w:pPr>
        <w:pStyle w:val="BodyText"/>
      </w:pPr>
      <w:r>
        <w:t xml:space="preserve">If no candidate remains below τ_TRC_max, RippleLogic MUST refuse the stronger action claim unless a separately authorized rights-and-tail emergency protocol with stricter public-law or domain controls governs the case. If both NCRC and TRC fail for every option, Section 7.5 rights priority governs first, while the Tail Emergency conditions in this section remain binding for any option that also exceeds the ruin corridor.</w:t>
      </w:r>
    </w:p>
    <w:bookmarkEnd w:id="144"/>
    <w:bookmarkStart w:id="145" w:name="Xeb3759f5c80a01f807c55a12a4e0bc6b4c4af2d"/>
    <w:p>
      <w:pPr>
        <w:pStyle w:val="Heading2"/>
      </w:pPr>
      <w:r>
        <w:rPr>
          <w:bCs/>
          <w:b/>
        </w:rPr>
        <w:t xml:space="preserve">8.9 Anti-Gaming Requirements for TRC (Normative)</w:t>
      </w:r>
    </w:p>
    <w:p>
      <w:pPr>
        <w:numPr>
          <w:ilvl w:val="0"/>
          <w:numId w:val="1090"/>
        </w:numPr>
        <w:pStyle w:val="Compact"/>
      </w:pPr>
      <w:r>
        <w:t xml:space="preserve">Mandatory tail categories cannot be omitted without explicit implausibility justification per Section 8.3.2.</w:t>
      </w:r>
    </w:p>
    <w:p>
      <w:pPr>
        <w:numPr>
          <w:ilvl w:val="0"/>
          <w:numId w:val="1091"/>
        </w:numPr>
        <w:pStyle w:val="Compact"/>
      </w:pPr>
      <w:r>
        <w:t xml:space="preserve">Probability floors apply per category; they cannot be silently violated.</w:t>
      </w:r>
    </w:p>
    <w:p>
      <w:pPr>
        <w:numPr>
          <w:ilvl w:val="0"/>
          <w:numId w:val="1092"/>
        </w:numPr>
        <w:pStyle w:val="Compact"/>
      </w:pPr>
      <w:r>
        <w:t xml:space="preserve">Scenario sets must be comparable across options (same S, same p_s).</w:t>
      </w:r>
    </w:p>
    <w:p>
      <w:pPr>
        <w:numPr>
          <w:ilvl w:val="0"/>
          <w:numId w:val="1093"/>
        </w:numPr>
        <w:pStyle w:val="Compact"/>
      </w:pPr>
      <w:r>
        <w:t xml:space="preserve">PCC must record scenario provenance and how probabilities were assigned.</w:t>
      </w:r>
    </w:p>
    <w:p>
      <w:pPr>
        <w:numPr>
          <w:ilvl w:val="0"/>
          <w:numId w:val="1094"/>
        </w:numPr>
        <w:pStyle w:val="Compact"/>
      </w:pPr>
      <w:r>
        <w:t xml:space="preserve">Tier 2-3: if probabilities are highly uncertain, the PCC SHOULD include sensitivity over p_s (Tier 3 required).</w:t>
      </w:r>
    </w:p>
    <w:bookmarkEnd w:id="145"/>
    <w:bookmarkEnd w:id="146"/>
    <w:bookmarkStart w:id="167" w:name="X7e1ae06708f919bccd5193fe67cf34d1788df76"/>
    <w:p>
      <w:pPr>
        <w:pStyle w:val="Heading1"/>
      </w:pPr>
      <w:bookmarkStart w:id="774" w:name="mg_toc_010"/>
      <w:r>
        <w:rPr>
          <w:bCs/>
          <w:b/>
        </w:rPr>
        <w:t xml:space="preserve">SECTION 9: CSV GATE: CONTAINMENT AND STRUCTURAL VIABILITY</w:t>
      </w:r>
      <w:bookmarkEnd w:id="774"/>
    </w:p>
    <w:bookmarkStart w:id="147" w:name="Xc9ee422cc94d8c9046ad347e279739d2edf883d"/>
    <w:p>
      <w:pPr>
        <w:pStyle w:val="Heading2"/>
      </w:pPr>
      <w:r>
        <w:rPr>
          <w:bCs/>
          <w:b/>
        </w:rPr>
        <w:t xml:space="preserve">9.0 Purpose and UBE Rationale (Normative)</w:t>
      </w:r>
    </w:p>
    <w:p>
      <w:pPr>
        <w:pStyle w:val="FirstParagraph"/>
      </w:pPr>
      <w:r>
        <w:t xml:space="preserve">CSV means Containment and Structural Viability. CSV is the strengthened fourth public level in the five-level RippleLogic cascade inside the MathGov framework:</w:t>
      </w:r>
    </w:p>
    <w:p>
      <w:pPr>
        <w:pStyle w:val="BodyText"/>
      </w:pPr>
      <w:r>
        <w:t xml:space="preserve">RG -&gt; RF -&gt; TRC -&gt; CSV -&gt; RLS</w:t>
      </w:r>
    </w:p>
    <w:p>
      <w:pPr>
        <w:pStyle w:val="BodyText"/>
      </w:pPr>
      <w:r>
        <w:t xml:space="preserve">Public-language mnemonic:</w:t>
      </w:r>
    </w:p>
    <w:p>
      <w:pPr>
        <w:pStyle w:val="BodyText"/>
      </w:pPr>
      <w:r>
        <w:t xml:space="preserve">Ground -&gt; Protect -&gt; Bound -&gt; Contain/Verify -&gt; Score</w:t>
      </w:r>
    </w:p>
    <w:p>
      <w:pPr>
        <w:pStyle w:val="BodyText"/>
      </w:pPr>
      <w:r>
        <w:t xml:space="preserve">CSV prevents a core failure mode under Union-Based Reality: a local option can look beneficial for a sub-union while quietly degrading the larger system, capacity, relation, ecological support, institutional trust, or future choice-space that makes the benefit possible. Under Union-Based Ethics, such “gains” are not counted as system-level improvement when they materially degrade, hollow out, overload, or exploit their containing systems beyond tolerance.</w:t>
      </w:r>
    </w:p>
    <w:p>
      <w:pPr>
        <w:pStyle w:val="BodyText"/>
      </w:pPr>
      <w:r>
        <w:t xml:space="preserve">CSV is therefore the selectability gate applied after NCRC and TRC and before final RLS ranking. CSV is not a sixth public level. It is the upgraded fourth level, replacing the older public label “Containment” with the more complete label “Containment and Structural Viability.” Structural Viability is no longer merely a quiet subcheck; it is explicitly visible inside CSV.</w:t>
      </w:r>
    </w:p>
    <w:p>
      <w:pPr>
        <w:pStyle w:val="BodyText"/>
      </w:pPr>
      <w:r>
        <w:t xml:space="preserve">Core question:</w:t>
      </w:r>
    </w:p>
    <w:p>
      <w:pPr>
        <w:pStyle w:val="BodyText"/>
      </w:pPr>
      <w:r>
        <w:t xml:space="preserve">Can this option deliver its claimed good without secretly breaking, hollowing, overloading, exploiting, or depending on the systems that make the good possible?</w:t>
      </w:r>
    </w:p>
    <w:p>
      <w:pPr>
        <w:pStyle w:val="BodyText"/>
      </w:pPr>
      <w:r>
        <w:t xml:space="preserve">Plain-language rule:</w:t>
      </w:r>
    </w:p>
    <w:p>
      <w:pPr>
        <w:pStyle w:val="BodyText"/>
      </w:pPr>
      <w:r>
        <w:t xml:space="preserve">CSV is not a purity filter. CSV is a reality-integrity filter.</w:t>
      </w:r>
    </w:p>
    <w:bookmarkEnd w:id="147"/>
    <w:bookmarkStart w:id="148" w:name="X2c80a2a8322d83f3702ef9213c8daaaeb346648"/>
    <w:p>
      <w:pPr>
        <w:pStyle w:val="Heading2"/>
      </w:pPr>
      <w:r>
        <w:rPr>
          <w:bCs/>
          <w:b/>
        </w:rPr>
        <w:t xml:space="preserve">9.1 CSV Non-Purity Rule (Normative)</w:t>
      </w:r>
    </w:p>
    <w:p>
      <w:pPr>
        <w:pStyle w:val="FirstParagraph"/>
      </w:pPr>
      <w:r>
        <w:t xml:space="preserve">A negative ripple is not automatically a CSV failure. Every real action carries some cost, burden, risk, or tradeoff. CSV MUST distinguish between detected harm, material residual harm, conditionable harm, redesign-trigger harm, and gate-failing harm.</w:t>
      </w:r>
    </w:p>
    <w:p>
      <w:pPr>
        <w:pStyle w:val="BodyText"/>
      </w:pPr>
      <w:r>
        <w:t xml:space="preserve">CSV SHALL NOT demand zero harm. CSV SHALL demand that harms are not hidden, unbounded, structurally degrading, rights-adjacent without review, irreversible without authorization, dependency-producing without transition, or unjustly externalized onto affected unions.</w:t>
      </w:r>
    </w:p>
    <w:p>
      <w:pPr>
        <w:pStyle w:val="BodyText"/>
      </w:pPr>
      <w:r>
        <w:t xml:space="preserve">Status categories: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Status</w:t>
            </w:r>
          </w:p>
        </w:tc>
        <w:tc>
          <w:tcPr>
            <w:shd w:val="clear" w:color="auto" w:fill="D9EAF7"/>
            <w:vAlign w:val="center"/>
          </w:tcPr>
          <w:p>
            <w:pPr>
              <w:pStyle w:val="Compact"/>
              <w:jc w:val="left"/>
            </w:pPr>
            <w:r>
              <w:rPr>
                <w:bCs/>
                <w:b/>
                <w:color w:val="17365D"/>
              </w:rPr>
              <w:t xml:space="preserve">Meaning</w:t>
            </w:r>
          </w:p>
        </w:tc>
        <w:tc>
          <w:tcPr>
            <w:shd w:val="clear" w:color="auto" w:fill="D9EAF7"/>
            <w:vAlign w:val="center"/>
          </w:tcPr>
          <w:p>
            <w:pPr>
              <w:pStyle w:val="Compact"/>
              <w:jc w:val="left"/>
            </w:pPr>
            <w:r>
              <w:rPr>
                <w:bCs/>
                <w:b/>
                <w:color w:val="17365D"/>
              </w:rPr>
              <w:t xml:space="preserve">Result</w:t>
            </w:r>
          </w:p>
        </w:tc>
      </w:tr>
      <w:tr>
        <w:tc>
          <w:tcPr>
            <w:vAlign w:val="top"/>
          </w:tcPr>
          <w:p>
            <w:pPr>
              <w:pStyle w:val="Compact"/>
              <w:jc w:val="left"/>
            </w:pPr>
            <w:r>
              <w:t xml:space="preserve">DETECTED_HARM</w:t>
            </w:r>
          </w:p>
        </w:tc>
        <w:tc>
          <w:tcPr>
            <w:vAlign w:val="top"/>
          </w:tcPr>
          <w:p>
            <w:pPr>
              <w:pStyle w:val="Compact"/>
              <w:jc w:val="left"/>
            </w:pPr>
            <w:r>
              <w:t xml:space="preserve">A negative effect exists.</w:t>
            </w:r>
          </w:p>
        </w:tc>
        <w:tc>
          <w:tcPr>
            <w:vAlign w:val="top"/>
          </w:tcPr>
          <w:p>
            <w:pPr>
              <w:pStyle w:val="Compact"/>
              <w:jc w:val="left"/>
            </w:pPr>
            <w:r>
              <w:t xml:space="preserve">Must be recorded and routed to the correct layer.</w:t>
            </w:r>
          </w:p>
        </w:tc>
      </w:tr>
      <w:tr>
        <w:tc>
          <w:tcPr>
            <w:shd w:val="clear" w:color="auto" w:fill="F7FBFE"/>
            <w:vAlign w:val="top"/>
          </w:tcPr>
          <w:p>
            <w:pPr>
              <w:pStyle w:val="Compact"/>
              <w:jc w:val="left"/>
            </w:pPr>
            <w:r>
              <w:t xml:space="preserve">RESIDUAL_HARM</w:t>
            </w:r>
          </w:p>
        </w:tc>
        <w:tc>
          <w:tcPr>
            <w:shd w:val="clear" w:color="auto" w:fill="F7FBFE"/>
            <w:vAlign w:val="top"/>
          </w:tcPr>
          <w:p>
            <w:pPr>
              <w:pStyle w:val="Compact"/>
              <w:jc w:val="left"/>
            </w:pPr>
            <w:r>
              <w:t xml:space="preserve">Harm is material but bounded, visible, and below CSV failure threshold.</w:t>
            </w:r>
          </w:p>
        </w:tc>
        <w:tc>
          <w:tcPr>
            <w:shd w:val="clear" w:color="auto" w:fill="F7FBFE"/>
            <w:vAlign w:val="top"/>
          </w:tcPr>
          <w:p>
            <w:pPr>
              <w:pStyle w:val="Compact"/>
              <w:jc w:val="left"/>
            </w:pPr>
            <w:r>
              <w:t xml:space="preserve">Carries into RLS as a welfare cost.</w:t>
            </w:r>
          </w:p>
        </w:tc>
      </w:tr>
      <w:tr>
        <w:tc>
          <w:tcPr>
            <w:vAlign w:val="top"/>
          </w:tcPr>
          <w:p>
            <w:pPr>
              <w:pStyle w:val="Compact"/>
              <w:jc w:val="left"/>
            </w:pPr>
            <w:r>
              <w:t xml:space="preserve">CONDITIONABLE_HARM</w:t>
            </w:r>
          </w:p>
        </w:tc>
        <w:tc>
          <w:tcPr>
            <w:vAlign w:val="top"/>
          </w:tcPr>
          <w:p>
            <w:pPr>
              <w:pStyle w:val="Compact"/>
              <w:jc w:val="left"/>
            </w:pPr>
            <w:r>
              <w:t xml:space="preserve">Harm is acceptable only with controls.</w:t>
            </w:r>
          </w:p>
        </w:tc>
        <w:tc>
          <w:tcPr>
            <w:vAlign w:val="top"/>
          </w:tcPr>
          <w:p>
            <w:pPr>
              <w:pStyle w:val="Compact"/>
              <w:jc w:val="left"/>
            </w:pPr>
            <w:r>
              <w:t xml:space="preserve">CSV_PASS_WITH_CONTROLS if controls are binding.</w:t>
            </w:r>
          </w:p>
        </w:tc>
      </w:tr>
      <w:tr>
        <w:tc>
          <w:tcPr>
            <w:shd w:val="clear" w:color="auto" w:fill="F7FBFE"/>
            <w:vAlign w:val="top"/>
          </w:tcPr>
          <w:p>
            <w:pPr>
              <w:pStyle w:val="Compact"/>
              <w:jc w:val="left"/>
            </w:pPr>
            <w:r>
              <w:t xml:space="preserve">REDESIGN_TRIGGER</w:t>
            </w:r>
          </w:p>
        </w:tc>
        <w:tc>
          <w:tcPr>
            <w:shd w:val="clear" w:color="auto" w:fill="F7FBFE"/>
            <w:vAlign w:val="top"/>
          </w:tcPr>
          <w:p>
            <w:pPr>
              <w:pStyle w:val="Compact"/>
              <w:jc w:val="left"/>
            </w:pPr>
            <w:r>
              <w:t xml:space="preserve">Harm is too high as specified but plausibly fixable.</w:t>
            </w:r>
          </w:p>
        </w:tc>
        <w:tc>
          <w:tcPr>
            <w:shd w:val="clear" w:color="auto" w:fill="F7FBFE"/>
            <w:vAlign w:val="top"/>
          </w:tcPr>
          <w:p>
            <w:pPr>
              <w:pStyle w:val="Compact"/>
              <w:jc w:val="left"/>
            </w:pPr>
            <w:r>
              <w:t xml:space="preserve">CSV_REDESIGN_REQUIRED; option is not selectable as specified.</w:t>
            </w:r>
          </w:p>
        </w:tc>
      </w:tr>
      <w:tr>
        <w:tc>
          <w:tcPr>
            <w:vAlign w:val="top"/>
          </w:tcPr>
          <w:p>
            <w:pPr>
              <w:pStyle w:val="Compact"/>
              <w:jc w:val="left"/>
            </w:pPr>
            <w:r>
              <w:t xml:space="preserve">CSV_FAILURE</w:t>
            </w:r>
          </w:p>
        </w:tc>
        <w:tc>
          <w:tcPr>
            <w:vAlign w:val="top"/>
          </w:tcPr>
          <w:p>
            <w:pPr>
              <w:pStyle w:val="Compact"/>
              <w:jc w:val="left"/>
            </w:pPr>
            <w:r>
              <w:t xml:space="preserve">Harm is uncontained, structurally degrading, non-viable, unjustly externalized, or lock-in producing beyond tolerance.</w:t>
            </w:r>
          </w:p>
        </w:tc>
        <w:tc>
          <w:tcPr>
            <w:vAlign w:val="top"/>
          </w:tcPr>
          <w:p>
            <w:pPr>
              <w:pStyle w:val="Compact"/>
              <w:jc w:val="left"/>
            </w:pPr>
            <w:r>
              <w:t xml:space="preserve">CSV_FAIL; option is not selectable.</w:t>
            </w:r>
          </w:p>
        </w:tc>
      </w:tr>
    </w:tbl>
    <w:p>
      <w:pPr>
        <w:pStyle w:val="BodyText"/>
      </w:pPr>
      <w:r>
        <w:t xml:space="preserve">Normative consequence:</w:t>
      </w:r>
    </w:p>
    <w:p>
      <w:pPr>
        <w:pStyle w:val="BodyText"/>
      </w:pPr>
      <w:r>
        <w:t xml:space="preserve">RLS may rank ordinary residual tradeoffs among selectable options. RLS MUST NOT rescue an option that fails CSV.</w:t>
      </w:r>
    </w:p>
    <w:bookmarkEnd w:id="148"/>
    <w:bookmarkStart w:id="150" w:name="Xc84095801be3de05d5499ff7548fbfe44494423"/>
    <w:p>
      <w:pPr>
        <w:pStyle w:val="Heading2"/>
      </w:pPr>
      <w:r>
        <w:rPr>
          <w:bCs/>
          <w:b/>
        </w:rPr>
        <w:t xml:space="preserve">9.2 CSV Status Ladder (Normative)</w:t>
      </w:r>
    </w:p>
    <w:p>
      <w:pPr>
        <w:pStyle w:val="FirstParagraph"/>
      </w:pPr>
      <w:r>
        <w:t xml:space="preserve">CSV outputs one of the following status values: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CSV status</w:t>
            </w:r>
          </w:p>
        </w:tc>
        <w:tc>
          <w:tcPr>
            <w:shd w:val="clear" w:color="auto" w:fill="D9EAF7"/>
            <w:vAlign w:val="center"/>
          </w:tcPr>
          <w:p>
            <w:pPr>
              <w:pStyle w:val="Compact"/>
              <w:jc w:val="left"/>
            </w:pPr>
            <w:r>
              <w:rPr>
                <w:bCs/>
                <w:b/>
                <w:color w:val="17365D"/>
              </w:rPr>
              <w:t xml:space="preserve">Meaning</w:t>
            </w:r>
          </w:p>
        </w:tc>
        <w:tc>
          <w:tcPr>
            <w:shd w:val="clear" w:color="auto" w:fill="D9EAF7"/>
            <w:vAlign w:val="center"/>
          </w:tcPr>
          <w:p>
            <w:pPr>
              <w:pStyle w:val="Compact"/>
              <w:jc w:val="left"/>
            </w:pPr>
            <w:r>
              <w:rPr>
                <w:bCs/>
                <w:b/>
                <w:color w:val="17365D"/>
              </w:rPr>
              <w:t xml:space="preserve">Selection consequence</w:t>
            </w:r>
          </w:p>
        </w:tc>
      </w:tr>
      <w:tr>
        <w:tc>
          <w:tcPr>
            <w:vAlign w:val="top"/>
          </w:tcPr>
          <w:p>
            <w:pPr>
              <w:pStyle w:val="Compact"/>
              <w:jc w:val="left"/>
            </w:pPr>
            <w:r>
              <w:t xml:space="preserve">CSV_PASS</w:t>
            </w:r>
          </w:p>
        </w:tc>
        <w:tc>
          <w:tcPr>
            <w:vAlign w:val="top"/>
          </w:tcPr>
          <w:p>
            <w:pPr>
              <w:pStyle w:val="Compact"/>
              <w:jc w:val="left"/>
            </w:pPr>
            <w:r>
              <w:t xml:space="preserve">Harms are contained, structural viability is adequate, and residual burdens may be carried into RLS.</w:t>
            </w:r>
          </w:p>
        </w:tc>
        <w:tc>
          <w:tcPr>
            <w:vAlign w:val="top"/>
          </w:tcPr>
          <w:p>
            <w:pPr>
              <w:pStyle w:val="Compact"/>
              <w:jc w:val="left"/>
            </w:pPr>
            <w:r>
              <w:t xml:space="preserve">Option may proceed to RLS if NCRC and TRC passed.</w:t>
            </w:r>
          </w:p>
        </w:tc>
      </w:tr>
      <w:tr>
        <w:tc>
          <w:tcPr>
            <w:shd w:val="clear" w:color="auto" w:fill="F7FBFE"/>
            <w:vAlign w:val="top"/>
          </w:tcPr>
          <w:p>
            <w:pPr>
              <w:pStyle w:val="Compact"/>
              <w:jc w:val="left"/>
            </w:pPr>
            <w:r>
              <w:t xml:space="preserve">CSV_PASS_WITH_CONTROLS</w:t>
            </w:r>
          </w:p>
        </w:tc>
        <w:tc>
          <w:tcPr>
            <w:shd w:val="clear" w:color="auto" w:fill="F7FBFE"/>
            <w:vAlign w:val="top"/>
          </w:tcPr>
          <w:p>
            <w:pPr>
              <w:pStyle w:val="Compact"/>
              <w:jc w:val="left"/>
            </w:pPr>
            <w:r>
              <w:t xml:space="preserve">Option is selectable only if declared controls, mitigations, monitoring, or limits are binding.</w:t>
            </w:r>
          </w:p>
        </w:tc>
        <w:tc>
          <w:tcPr>
            <w:shd w:val="clear" w:color="auto" w:fill="F7FBFE"/>
            <w:vAlign w:val="top"/>
          </w:tcPr>
          <w:p>
            <w:pPr>
              <w:pStyle w:val="Compact"/>
              <w:jc w:val="left"/>
            </w:pPr>
            <w:r>
              <w:t xml:space="preserve">Option may proceed to RLS as the controlled version only.</w:t>
            </w:r>
          </w:p>
        </w:tc>
      </w:tr>
      <w:tr>
        <w:tc>
          <w:tcPr>
            <w:vAlign w:val="top"/>
          </w:tcPr>
          <w:p>
            <w:pPr>
              <w:pStyle w:val="Compact"/>
              <w:jc w:val="left"/>
            </w:pPr>
            <w:r>
              <w:t xml:space="preserve">CSV_REDESIGN_REQUIRED</w:t>
            </w:r>
          </w:p>
        </w:tc>
        <w:tc>
          <w:tcPr>
            <w:vAlign w:val="top"/>
          </w:tcPr>
          <w:p>
            <w:pPr>
              <w:pStyle w:val="Compact"/>
              <w:jc w:val="left"/>
            </w:pPr>
            <w:r>
              <w:t xml:space="preserve">Option is not selectable as specified, but a redesigned version may be evaluated.</w:t>
            </w:r>
          </w:p>
        </w:tc>
        <w:tc>
          <w:tcPr>
            <w:vAlign w:val="top"/>
          </w:tcPr>
          <w:p>
            <w:pPr>
              <w:pStyle w:val="Compact"/>
              <w:jc w:val="left"/>
            </w:pPr>
            <w:r>
              <w:t xml:space="preserve">Original option excluded; redesigned option may re-enter RG/cascade.</w:t>
            </w:r>
          </w:p>
        </w:tc>
      </w:tr>
      <w:tr>
        <w:tc>
          <w:tcPr>
            <w:shd w:val="clear" w:color="auto" w:fill="F7FBFE"/>
            <w:vAlign w:val="top"/>
          </w:tcPr>
          <w:p>
            <w:pPr>
              <w:pStyle w:val="Compact"/>
              <w:jc w:val="left"/>
            </w:pPr>
            <w:r>
              <w:t xml:space="preserve">CSV_ESCALATE</w:t>
            </w:r>
          </w:p>
        </w:tc>
        <w:tc>
          <w:tcPr>
            <w:shd w:val="clear" w:color="auto" w:fill="F7FBFE"/>
            <w:vAlign w:val="top"/>
          </w:tcPr>
          <w:p>
            <w:pPr>
              <w:pStyle w:val="Compact"/>
              <w:jc w:val="left"/>
            </w:pPr>
            <w:r>
              <w:t xml:space="preserve">Stakes, uncertainty, missing evidence, or governance sensitivity require higher review.</w:t>
            </w:r>
          </w:p>
        </w:tc>
        <w:tc>
          <w:tcPr>
            <w:shd w:val="clear" w:color="auto" w:fill="F7FBFE"/>
            <w:vAlign w:val="top"/>
          </w:tcPr>
          <w:p>
            <w:pPr>
              <w:pStyle w:val="Compact"/>
              <w:jc w:val="left"/>
            </w:pPr>
            <w:r>
              <w:t xml:space="preserve">No final selection until escalation is resolved.</w:t>
            </w:r>
          </w:p>
        </w:tc>
      </w:tr>
      <w:tr>
        <w:tc>
          <w:tcPr>
            <w:vAlign w:val="top"/>
          </w:tcPr>
          <w:p>
            <w:pPr>
              <w:pStyle w:val="Compact"/>
              <w:jc w:val="left"/>
            </w:pPr>
            <w:r>
              <w:t xml:space="preserve">CSV_FAIL</w:t>
            </w:r>
          </w:p>
        </w:tc>
        <w:tc>
          <w:tcPr>
            <w:vAlign w:val="top"/>
          </w:tcPr>
          <w:p>
            <w:pPr>
              <w:pStyle w:val="Compact"/>
              <w:jc w:val="left"/>
            </w:pPr>
            <w:r>
              <w:t xml:space="preserve">Option unacceptably damages, hollows, overloads, exploits, or depends on containing systems beyond tolerance, or is structurally non-viable.</w:t>
            </w:r>
          </w:p>
        </w:tc>
        <w:tc>
          <w:tcPr>
            <w:vAlign w:val="top"/>
          </w:tcPr>
          <w:p>
            <w:pPr>
              <w:pStyle w:val="Compact"/>
              <w:jc w:val="left"/>
            </w:pPr>
            <w:r>
              <w:t xml:space="preserve">Option is not selectable.</w:t>
            </w:r>
          </w:p>
        </w:tc>
      </w:tr>
      <w:tr>
        <w:tc>
          <w:tcPr>
            <w:shd w:val="clear" w:color="auto" w:fill="F7FBFE"/>
            <w:vAlign w:val="top"/>
          </w:tcPr>
          <w:p>
            <w:pPr>
              <w:pStyle w:val="Compact"/>
              <w:jc w:val="left"/>
            </w:pPr>
            <w:r>
              <w:t xml:space="preserve">CSV_EMERGENCY_PROVISIONAL</w:t>
            </w:r>
          </w:p>
        </w:tc>
        <w:tc>
          <w:tcPr>
            <w:shd w:val="clear" w:color="auto" w:fill="F7FBFE"/>
            <w:vAlign w:val="top"/>
          </w:tcPr>
          <w:p>
            <w:pPr>
              <w:pStyle w:val="Compact"/>
              <w:jc w:val="left"/>
            </w:pPr>
            <w:r>
              <w:t xml:space="preserve">Temporary selection under necessity where no better feasible option currently exists and strict emergency controls are declared.</w:t>
            </w:r>
          </w:p>
        </w:tc>
        <w:tc>
          <w:tcPr>
            <w:shd w:val="clear" w:color="auto" w:fill="F7FBFE"/>
            <w:vAlign w:val="top"/>
          </w:tcPr>
          <w:p>
            <w:pPr>
              <w:pStyle w:val="Compact"/>
              <w:jc w:val="left"/>
            </w:pPr>
            <w:r>
              <w:t xml:space="preserve">Time-bounded provisional selection only; no unqualified alignment claim.</w:t>
            </w:r>
          </w:p>
        </w:tc>
      </w:tr>
      <w:tr>
        <w:tc>
          <w:tcPr>
            <w:vAlign w:val="top"/>
          </w:tcPr>
          <w:p>
            <w:pPr>
              <w:pStyle w:val="Compact"/>
              <w:jc w:val="left"/>
            </w:pPr>
            <w:r>
              <w:t xml:space="preserve">CSV_NOT_MATERIAL</w:t>
            </w:r>
          </w:p>
        </w:tc>
        <w:tc>
          <w:tcPr>
            <w:vAlign w:val="top"/>
          </w:tcPr>
          <w:p>
            <w:pPr>
              <w:pStyle w:val="Compact"/>
              <w:jc w:val="left"/>
            </w:pPr>
            <w:r>
              <w:t xml:space="preserve">CSV burden is not material for this run, with rationale.</w:t>
            </w:r>
          </w:p>
        </w:tc>
        <w:tc>
          <w:tcPr>
            <w:vAlign w:val="top"/>
          </w:tcPr>
          <w:p>
            <w:pPr>
              <w:pStyle w:val="Compact"/>
              <w:jc w:val="left"/>
            </w:pPr>
            <w:r>
              <w:t xml:space="preserve">Option may proceed if other gates pass, but rationale is recorded.</w:t>
            </w:r>
          </w:p>
        </w:tc>
      </w:tr>
    </w:tbl>
    <w:p>
      <w:pPr>
        <w:pStyle w:val="BodyText"/>
      </w:pPr>
      <w:r>
        <w:t xml:space="preserve">A CSV_PASS_WITH_CONTROLS is a pass only for the controlled option. If controls are removed, expire, fail, or are materially altered, CSV MUST be rerun.</w:t>
      </w:r>
    </w:p>
    <w:p>
      <w:pPr>
        <w:pStyle w:val="BodyText"/>
      </w:pPr>
      <w:r>
        <w:t xml:space="preserve">A CSV_EMERGENCY_PROVISIONAL disposition MUST include a time limit, harm cap, monitoring plan, review trigger, and transition or remediation plan. It MUST NOT be marketed as full alignment, ordinary selectability, deployment certification, or Tier 4 validation.</w:t>
      </w:r>
    </w:p>
    <w:bookmarkStart w:id="149" w:name="X1acd77b6a48bf1f0d84af89a1f78a086e5cc248"/>
    <w:p>
      <w:pPr>
        <w:pStyle w:val="Heading3"/>
      </w:pPr>
      <w:r>
        <w:rPr>
          <w:bCs/>
          <w:b/>
        </w:rPr>
        <w:t xml:space="preserve">9.2A CSV status resolver guide (Normative for Tier 3; recommended for Tier 2)</w:t>
      </w:r>
    </w:p>
    <w:p>
      <w:pPr>
        <w:pStyle w:val="FirstParagraph"/>
      </w:pPr>
      <w:r>
        <w:t xml:space="preserve">The following resolver constrains how evidence and diagnostics map into CSV statuses. It does not eliminate reviewer judgment, but reviewer judgment must be recorded against these routing rules.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Evidence / diagnostic condition</w:t>
            </w:r>
          </w:p>
        </w:tc>
        <w:tc>
          <w:tcPr>
            <w:shd w:val="clear" w:color="auto" w:fill="D9EAF7"/>
            <w:vAlign w:val="center"/>
          </w:tcPr>
          <w:p>
            <w:pPr>
              <w:pStyle w:val="Compact"/>
              <w:jc w:val="left"/>
            </w:pPr>
            <w:r>
              <w:rPr>
                <w:bCs/>
                <w:b/>
                <w:color w:val="17365D"/>
              </w:rPr>
              <w:t xml:space="preserve">Required CSV routing</w:t>
            </w:r>
          </w:p>
        </w:tc>
      </w:tr>
      <w:tr>
        <w:tc>
          <w:tcPr>
            <w:vAlign w:val="top"/>
          </w:tcPr>
          <w:p>
            <w:pPr>
              <w:pStyle w:val="Compact"/>
              <w:jc w:val="left"/>
            </w:pPr>
            <w:r>
              <w:t xml:space="preserve">Any material CSV diagnostic is level 4, or the option creates uncontained, structurally degrading, unjustly externalized, non-viable, hidden, lock-in-producing, unmonitored, or beyond-tolerance harm</w:t>
            </w:r>
          </w:p>
        </w:tc>
        <w:tc>
          <w:tcPr>
            <w:vAlign w:val="top"/>
          </w:tcPr>
          <w:p>
            <w:pPr>
              <w:pStyle w:val="Compact"/>
              <w:jc w:val="left"/>
            </w:pPr>
            <w:r>
              <w:t xml:space="preserve">CSV_FAIL</w:t>
            </w:r>
          </w:p>
        </w:tc>
      </w:tr>
      <w:tr>
        <w:tc>
          <w:tcPr>
            <w:shd w:val="clear" w:color="auto" w:fill="F7FBFE"/>
            <w:vAlign w:val="top"/>
          </w:tcPr>
          <w:p>
            <w:pPr>
              <w:pStyle w:val="Compact"/>
              <w:jc w:val="left"/>
            </w:pPr>
            <w:r>
              <w:t xml:space="preserve">Any Structural Viability subcheck materially fails and the failure is not time-bounded, controlled, or redesignable</w:t>
            </w:r>
          </w:p>
        </w:tc>
        <w:tc>
          <w:tcPr>
            <w:shd w:val="clear" w:color="auto" w:fill="F7FBFE"/>
            <w:vAlign w:val="top"/>
          </w:tcPr>
          <w:p>
            <w:pPr>
              <w:pStyle w:val="Compact"/>
              <w:jc w:val="left"/>
            </w:pPr>
            <w:r>
              <w:t xml:space="preserve">CSV_FAIL</w:t>
            </w:r>
          </w:p>
        </w:tc>
      </w:tr>
      <w:tr>
        <w:tc>
          <w:tcPr>
            <w:vAlign w:val="top"/>
          </w:tcPr>
          <w:p>
            <w:pPr>
              <w:pStyle w:val="Compact"/>
              <w:jc w:val="left"/>
            </w:pPr>
            <w:r>
              <w:t xml:space="preserve">Any Structural Viability subcheck materially fails but a plausible redesigned option could repair it</w:t>
            </w:r>
          </w:p>
        </w:tc>
        <w:tc>
          <w:tcPr>
            <w:vAlign w:val="top"/>
          </w:tcPr>
          <w:p>
            <w:pPr>
              <w:pStyle w:val="Compact"/>
              <w:jc w:val="left"/>
            </w:pPr>
            <w:r>
              <w:t xml:space="preserve">CSV_REDESIGN_REQUIRED</w:t>
            </w:r>
          </w:p>
        </w:tc>
      </w:tr>
      <w:tr>
        <w:tc>
          <w:tcPr>
            <w:shd w:val="clear" w:color="auto" w:fill="F7FBFE"/>
            <w:vAlign w:val="top"/>
          </w:tcPr>
          <w:p>
            <w:pPr>
              <w:pStyle w:val="Compact"/>
              <w:jc w:val="left"/>
            </w:pPr>
            <w:r>
              <w:t xml:space="preserve">Gate-material CSV evidence is missing, stale, contested, or insufficient to support selectability</w:t>
            </w:r>
          </w:p>
        </w:tc>
        <w:tc>
          <w:tcPr>
            <w:shd w:val="clear" w:color="auto" w:fill="F7FBFE"/>
            <w:vAlign w:val="top"/>
          </w:tcPr>
          <w:p>
            <w:pPr>
              <w:pStyle w:val="Compact"/>
              <w:jc w:val="left"/>
            </w:pPr>
            <w:r>
              <w:t xml:space="preserve">CSV_ESCALATE, claim-narrowing, or refusal of the stronger selection claim</w:t>
            </w:r>
          </w:p>
        </w:tc>
      </w:tr>
      <w:tr>
        <w:tc>
          <w:tcPr>
            <w:vAlign w:val="top"/>
          </w:tcPr>
          <w:p>
            <w:pPr>
              <w:pStyle w:val="Compact"/>
              <w:jc w:val="left"/>
            </w:pPr>
            <w:r>
              <w:t xml:space="preserve">Any material diagnostic is level 3</w:t>
            </w:r>
          </w:p>
        </w:tc>
        <w:tc>
          <w:tcPr>
            <w:vAlign w:val="top"/>
          </w:tcPr>
          <w:p>
            <w:pPr>
              <w:pStyle w:val="Compact"/>
              <w:jc w:val="left"/>
            </w:pPr>
            <w:r>
              <w:t xml:space="preserve">CSV_REDESIGN_REQUIRED or CSV_ESCALATE, with rationale</w:t>
            </w:r>
          </w:p>
        </w:tc>
      </w:tr>
      <w:tr>
        <w:tc>
          <w:tcPr>
            <w:shd w:val="clear" w:color="auto" w:fill="F7FBFE"/>
            <w:vAlign w:val="top"/>
          </w:tcPr>
          <w:p>
            <w:pPr>
              <w:pStyle w:val="Compact"/>
              <w:jc w:val="left"/>
            </w:pPr>
            <w:r>
              <w:t xml:space="preserve">A material diagnostic is level 2 and binding controls, owners, monitoring, review triggers, and failure consequences are declared</w:t>
            </w:r>
          </w:p>
        </w:tc>
        <w:tc>
          <w:tcPr>
            <w:shd w:val="clear" w:color="auto" w:fill="F7FBFE"/>
            <w:vAlign w:val="top"/>
          </w:tcPr>
          <w:p>
            <w:pPr>
              <w:pStyle w:val="Compact"/>
              <w:jc w:val="left"/>
            </w:pPr>
            <w:r>
              <w:t xml:space="preserve">CSV_PASS_WITH_CONTROLS</w:t>
            </w:r>
          </w:p>
        </w:tc>
      </w:tr>
      <w:tr>
        <w:tc>
          <w:tcPr>
            <w:vAlign w:val="top"/>
          </w:tcPr>
          <w:p>
            <w:pPr>
              <w:pStyle w:val="Compact"/>
              <w:jc w:val="left"/>
            </w:pPr>
            <w:r>
              <w:t xml:space="preserve">A material diagnostic is level 2 without binding controls</w:t>
            </w:r>
          </w:p>
        </w:tc>
        <w:tc>
          <w:tcPr>
            <w:vAlign w:val="top"/>
          </w:tcPr>
          <w:p>
            <w:pPr>
              <w:pStyle w:val="Compact"/>
              <w:jc w:val="left"/>
            </w:pPr>
            <w:r>
              <w:t xml:space="preserve">CSV_REDESIGN_REQUIRED</w:t>
            </w:r>
          </w:p>
        </w:tc>
      </w:tr>
      <w:tr>
        <w:tc>
          <w:tcPr>
            <w:shd w:val="clear" w:color="auto" w:fill="F7FBFE"/>
            <w:vAlign w:val="top"/>
          </w:tcPr>
          <w:p>
            <w:pPr>
              <w:pStyle w:val="Compact"/>
              <w:jc w:val="left"/>
            </w:pPr>
            <w:r>
              <w:t xml:space="preserve">All material diagnostics are level 0-1 and structural viability subchecks pass</w:t>
            </w:r>
          </w:p>
        </w:tc>
        <w:tc>
          <w:tcPr>
            <w:shd w:val="clear" w:color="auto" w:fill="F7FBFE"/>
            <w:vAlign w:val="top"/>
          </w:tcPr>
          <w:p>
            <w:pPr>
              <w:pStyle w:val="Compact"/>
              <w:jc w:val="left"/>
            </w:pPr>
            <w:r>
              <w:t xml:space="preserve">CSV_PASS</w:t>
            </w:r>
          </w:p>
        </w:tc>
      </w:tr>
      <w:tr>
        <w:tc>
          <w:tcPr>
            <w:vAlign w:val="top"/>
          </w:tcPr>
          <w:p>
            <w:pPr>
              <w:pStyle w:val="Compact"/>
              <w:jc w:val="left"/>
            </w:pPr>
            <w:r>
              <w:t xml:space="preserve">CSV burden is genuinely not material to the declared claim boundary and the PCC records why</w:t>
            </w:r>
          </w:p>
        </w:tc>
        <w:tc>
          <w:tcPr>
            <w:vAlign w:val="top"/>
          </w:tcPr>
          <w:p>
            <w:pPr>
              <w:pStyle w:val="Compact"/>
              <w:jc w:val="left"/>
            </w:pPr>
            <w:r>
              <w:t xml:space="preserve">CSV_NOT_MATERIAL</w:t>
            </w:r>
          </w:p>
        </w:tc>
      </w:tr>
      <w:tr>
        <w:tc>
          <w:tcPr>
            <w:shd w:val="clear" w:color="auto" w:fill="F7FBFE"/>
            <w:vAlign w:val="top"/>
          </w:tcPr>
          <w:p>
            <w:pPr>
              <w:pStyle w:val="Compact"/>
              <w:jc w:val="left"/>
            </w:pPr>
            <w:r>
              <w:t xml:space="preserve">Necessity is documented, no better feasible option is available, controls are time-bounded, harm caps are declared, monitoring is active, and a transition/remediation path exists</w:t>
            </w:r>
          </w:p>
        </w:tc>
        <w:tc>
          <w:tcPr>
            <w:shd w:val="clear" w:color="auto" w:fill="F7FBFE"/>
            <w:vAlign w:val="top"/>
          </w:tcPr>
          <w:p>
            <w:pPr>
              <w:pStyle w:val="Compact"/>
              <w:jc w:val="left"/>
            </w:pPr>
            <w:r>
              <w:t xml:space="preserve">CSV_EMERGENCY_PROVISIONAL</w:t>
            </w:r>
          </w:p>
        </w:tc>
      </w:tr>
    </w:tbl>
    <w:p>
      <w:pPr>
        <w:pStyle w:val="BodyText"/>
      </w:pPr>
      <w:r>
        <w:t xml:space="preserve">CSV maturity boundary. CSV may be binding in Tier 3 run-level conformance using declared provisional structural indicators, but this does not imply cross-domain validated UCI/HOI measurement, ProofPack readiness, or machine-verifiable structural truth. UCI/HOI remain diagnostics unless and until separate validation artifacts establish stronger measurement status.</w:t>
      </w:r>
    </w:p>
    <w:bookmarkEnd w:id="149"/>
    <w:bookmarkEnd w:id="150"/>
    <w:bookmarkStart w:id="156" w:name="Xe800e8e91f04a9ee60f4f900a6798e34c4b4dad"/>
    <w:p>
      <w:pPr>
        <w:pStyle w:val="Heading2"/>
      </w:pPr>
      <w:r>
        <w:rPr>
          <w:bCs/>
          <w:b/>
        </w:rPr>
        <w:t xml:space="preserve">9.3 CSV Core Tools (Normative)</w:t>
      </w:r>
    </w:p>
    <w:p>
      <w:pPr>
        <w:pStyle w:val="FirstParagraph"/>
      </w:pPr>
      <w:r>
        <w:t xml:space="preserve">CSV uses five core tools. Implementations MAY add domain-specific tools, but MUST preserve the five core functions when material.</w:t>
      </w:r>
    </w:p>
    <w:bookmarkStart w:id="151" w:name="X3808165072122f4c72920e17c5df4323a5c88d4"/>
    <w:p>
      <w:pPr>
        <w:pStyle w:val="Heading3"/>
      </w:pPr>
      <w:r>
        <w:rPr>
          <w:bCs/>
          <w:b/>
        </w:rPr>
        <w:t xml:space="preserve">9.3.1 Containing-System Map</w:t>
      </w:r>
    </w:p>
    <w:p>
      <w:pPr>
        <w:pStyle w:val="FirstParagraph"/>
      </w:pPr>
      <w:r>
        <w:t xml:space="preserve">Identify the systems that hold, sustain, receive, or absorb the option’s consequences. Relevant systems MAY include persons, households, communities, organizations, institutions, infrastructure, ecology, attention, trust, labor capacity, knowledge systems, public legitimacy, supply chains, financial reserves, legal authority, and future option-space.</w:t>
      </w:r>
    </w:p>
    <w:p>
      <w:pPr>
        <w:pStyle w:val="BodyText"/>
      </w:pPr>
      <w:r>
        <w:t xml:space="preserve">Minimum questions:</w:t>
      </w:r>
    </w:p>
    <w:p>
      <w:pPr>
        <w:numPr>
          <w:ilvl w:val="0"/>
          <w:numId w:val="1095"/>
        </w:numPr>
        <w:pStyle w:val="Compact"/>
      </w:pPr>
      <w:r>
        <w:t xml:space="preserve">What local good is the option claiming?</w:t>
      </w:r>
    </w:p>
    <w:p>
      <w:pPr>
        <w:numPr>
          <w:ilvl w:val="0"/>
          <w:numId w:val="1095"/>
        </w:numPr>
        <w:pStyle w:val="Compact"/>
      </w:pPr>
      <w:r>
        <w:t xml:space="preserve">Which union receives the local gain?</w:t>
      </w:r>
    </w:p>
    <w:p>
      <w:pPr>
        <w:numPr>
          <w:ilvl w:val="0"/>
          <w:numId w:val="1095"/>
        </w:numPr>
        <w:pStyle w:val="Compact"/>
      </w:pPr>
      <w:r>
        <w:t xml:space="preserve">Which larger unions contain or sustain that gain?</w:t>
      </w:r>
    </w:p>
    <w:p>
      <w:pPr>
        <w:numPr>
          <w:ilvl w:val="0"/>
          <w:numId w:val="1095"/>
        </w:numPr>
        <w:pStyle w:val="Compact"/>
      </w:pPr>
      <w:r>
        <w:t xml:space="preserve">What capacities, relations, resources, and ecological supports does the option depend on?</w:t>
      </w:r>
    </w:p>
    <w:p>
      <w:pPr>
        <w:numPr>
          <w:ilvl w:val="0"/>
          <w:numId w:val="1095"/>
        </w:numPr>
        <w:pStyle w:val="Compact"/>
      </w:pPr>
      <w:r>
        <w:t xml:space="preserve">What systems receive spillover costs?</w:t>
      </w:r>
    </w:p>
    <w:p>
      <w:pPr>
        <w:numPr>
          <w:ilvl w:val="0"/>
          <w:numId w:val="1095"/>
        </w:numPr>
        <w:pStyle w:val="Compact"/>
      </w:pPr>
      <w:r>
        <w:t xml:space="preserve">Which affected groups can contest, consent, or recover?</w:t>
      </w:r>
    </w:p>
    <w:bookmarkEnd w:id="151"/>
    <w:bookmarkStart w:id="152" w:name="X550d4e761e6c8483d4ea2b28b39204626a08629"/>
    <w:p>
      <w:pPr>
        <w:pStyle w:val="Heading3"/>
      </w:pPr>
      <w:r>
        <w:rPr>
          <w:bCs/>
          <w:b/>
        </w:rPr>
        <w:t xml:space="preserve">9.3.2 Structural Viability Check</w:t>
      </w:r>
    </w:p>
    <w:p>
      <w:pPr>
        <w:pStyle w:val="FirstParagraph"/>
      </w:pPr>
      <w:r>
        <w:t xml:space="preserve">Structural Viability asks whether the option can actually stand in the declared reality surface. Ethical attractiveness is not enough. A desirable option may be a design target while still failing current execution viability.</w:t>
      </w:r>
    </w:p>
    <w:p>
      <w:pPr>
        <w:pStyle w:val="BodyText"/>
      </w:pPr>
      <w:r>
        <w:t xml:space="preserve">Minimum subchecks: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Code</w:t>
            </w:r>
          </w:p>
        </w:tc>
        <w:tc>
          <w:tcPr>
            <w:shd w:val="clear" w:color="auto" w:fill="D9EAF7"/>
            <w:vAlign w:val="center"/>
          </w:tcPr>
          <w:p>
            <w:pPr>
              <w:pStyle w:val="Compact"/>
              <w:jc w:val="left"/>
            </w:pPr>
            <w:r>
              <w:rPr>
                <w:bCs/>
                <w:b/>
                <w:color w:val="17365D"/>
              </w:rPr>
              <w:t xml:space="preserve">Subcheck</w:t>
            </w:r>
          </w:p>
        </w:tc>
        <w:tc>
          <w:tcPr>
            <w:shd w:val="clear" w:color="auto" w:fill="D9EAF7"/>
            <w:vAlign w:val="center"/>
          </w:tcPr>
          <w:p>
            <w:pPr>
              <w:pStyle w:val="Compact"/>
              <w:jc w:val="left"/>
            </w:pPr>
            <w:r>
              <w:rPr>
                <w:bCs/>
                <w:b/>
                <w:color w:val="17365D"/>
              </w:rPr>
              <w:t xml:space="preserve">Question</w:t>
            </w:r>
          </w:p>
        </w:tc>
      </w:tr>
      <w:tr>
        <w:tc>
          <w:tcPr>
            <w:vAlign w:val="top"/>
          </w:tcPr>
          <w:p>
            <w:pPr>
              <w:pStyle w:val="Compact"/>
              <w:jc w:val="left"/>
            </w:pPr>
            <w:r>
              <w:t xml:space="preserve">SV-1</w:t>
            </w:r>
          </w:p>
        </w:tc>
        <w:tc>
          <w:tcPr>
            <w:vAlign w:val="top"/>
          </w:tcPr>
          <w:p>
            <w:pPr>
              <w:pStyle w:val="Compact"/>
              <w:jc w:val="left"/>
            </w:pPr>
            <w:r>
              <w:t xml:space="preserve">Resource closure</w:t>
            </w:r>
          </w:p>
        </w:tc>
        <w:tc>
          <w:tcPr>
            <w:vAlign w:val="top"/>
          </w:tcPr>
          <w:p>
            <w:pPr>
              <w:pStyle w:val="Compact"/>
              <w:jc w:val="left"/>
            </w:pPr>
            <w:r>
              <w:t xml:space="preserve">Are budget, time, people, compute, energy, materials, attention, and authority sufficient?</w:t>
            </w:r>
          </w:p>
        </w:tc>
      </w:tr>
      <w:tr>
        <w:tc>
          <w:tcPr>
            <w:shd w:val="clear" w:color="auto" w:fill="F7FBFE"/>
            <w:vAlign w:val="top"/>
          </w:tcPr>
          <w:p>
            <w:pPr>
              <w:pStyle w:val="Compact"/>
              <w:jc w:val="left"/>
            </w:pPr>
            <w:r>
              <w:t xml:space="preserve">SV-2</w:t>
            </w:r>
          </w:p>
        </w:tc>
        <w:tc>
          <w:tcPr>
            <w:shd w:val="clear" w:color="auto" w:fill="F7FBFE"/>
            <w:vAlign w:val="top"/>
          </w:tcPr>
          <w:p>
            <w:pPr>
              <w:pStyle w:val="Compact"/>
              <w:jc w:val="left"/>
            </w:pPr>
            <w:r>
              <w:t xml:space="preserve">Dependency closure</w:t>
            </w:r>
          </w:p>
        </w:tc>
        <w:tc>
          <w:tcPr>
            <w:shd w:val="clear" w:color="auto" w:fill="F7FBFE"/>
            <w:vAlign w:val="top"/>
          </w:tcPr>
          <w:p>
            <w:pPr>
              <w:pStyle w:val="Compact"/>
              <w:jc w:val="left"/>
            </w:pPr>
            <w:r>
              <w:t xml:space="preserve">Are prerequisites satisfied or assigned to credible owners and timelines?</w:t>
            </w:r>
          </w:p>
        </w:tc>
      </w:tr>
      <w:tr>
        <w:tc>
          <w:tcPr>
            <w:vAlign w:val="top"/>
          </w:tcPr>
          <w:p>
            <w:pPr>
              <w:pStyle w:val="Compact"/>
              <w:jc w:val="left"/>
            </w:pPr>
            <w:r>
              <w:t xml:space="preserve">SV-3</w:t>
            </w:r>
          </w:p>
        </w:tc>
        <w:tc>
          <w:tcPr>
            <w:vAlign w:val="top"/>
          </w:tcPr>
          <w:p>
            <w:pPr>
              <w:pStyle w:val="Compact"/>
              <w:jc w:val="left"/>
            </w:pPr>
            <w:r>
              <w:t xml:space="preserve">Reversibility / endpoint coherence</w:t>
            </w:r>
          </w:p>
        </w:tc>
        <w:tc>
          <w:tcPr>
            <w:vAlign w:val="top"/>
          </w:tcPr>
          <w:p>
            <w:pPr>
              <w:pStyle w:val="Compact"/>
              <w:jc w:val="left"/>
            </w:pPr>
            <w:r>
              <w:t xml:space="preserve">Is rollback, endpoint, or irreversibility status declared and coherent?</w:t>
            </w:r>
          </w:p>
        </w:tc>
      </w:tr>
      <w:tr>
        <w:tc>
          <w:tcPr>
            <w:shd w:val="clear" w:color="auto" w:fill="F7FBFE"/>
            <w:vAlign w:val="top"/>
          </w:tcPr>
          <w:p>
            <w:pPr>
              <w:pStyle w:val="Compact"/>
              <w:jc w:val="left"/>
            </w:pPr>
            <w:r>
              <w:t xml:space="preserve">SV-4</w:t>
            </w:r>
          </w:p>
        </w:tc>
        <w:tc>
          <w:tcPr>
            <w:shd w:val="clear" w:color="auto" w:fill="F7FBFE"/>
            <w:vAlign w:val="top"/>
          </w:tcPr>
          <w:p>
            <w:pPr>
              <w:pStyle w:val="Compact"/>
              <w:jc w:val="left"/>
            </w:pPr>
            <w:r>
              <w:t xml:space="preserve">Capacity non-exceedance</w:t>
            </w:r>
          </w:p>
        </w:tc>
        <w:tc>
          <w:tcPr>
            <w:shd w:val="clear" w:color="auto" w:fill="F7FBFE"/>
            <w:vAlign w:val="top"/>
          </w:tcPr>
          <w:p>
            <w:pPr>
              <w:pStyle w:val="Compact"/>
              <w:jc w:val="left"/>
            </w:pPr>
            <w:r>
              <w:t xml:space="preserve">Does execution stay within operational, institutional, technical, and enforcement capacity?</w:t>
            </w:r>
          </w:p>
        </w:tc>
      </w:tr>
      <w:tr>
        <w:tc>
          <w:tcPr>
            <w:vAlign w:val="top"/>
          </w:tcPr>
          <w:p>
            <w:pPr>
              <w:pStyle w:val="Compact"/>
              <w:jc w:val="left"/>
            </w:pPr>
            <w:r>
              <w:t xml:space="preserve">SV-5</w:t>
            </w:r>
          </w:p>
        </w:tc>
        <w:tc>
          <w:tcPr>
            <w:vAlign w:val="top"/>
          </w:tcPr>
          <w:p>
            <w:pPr>
              <w:pStyle w:val="Compact"/>
              <w:jc w:val="left"/>
            </w:pPr>
            <w:r>
              <w:t xml:space="preserve">Internal non-contradiction</w:t>
            </w:r>
          </w:p>
        </w:tc>
        <w:tc>
          <w:tcPr>
            <w:vAlign w:val="top"/>
          </w:tcPr>
          <w:p>
            <w:pPr>
              <w:pStyle w:val="Compact"/>
              <w:jc w:val="left"/>
            </w:pPr>
            <w:r>
              <w:t xml:space="preserve">Does the option avoid mutually incompatible requirements or declare a grounded reconciliation mechanism?</w:t>
            </w:r>
          </w:p>
        </w:tc>
      </w:tr>
    </w:tbl>
    <w:p>
      <w:pPr>
        <w:pStyle w:val="BodyText"/>
      </w:pPr>
      <w:r>
        <w:t xml:space="preserve">An option with material SVC failure is not selectable for current execution, regardless of RLS rank.</w:t>
      </w:r>
    </w:p>
    <w:bookmarkEnd w:id="152"/>
    <w:bookmarkStart w:id="153" w:name="X219135b840305be90c9cee25256185e6e7afe67"/>
    <w:p>
      <w:pPr>
        <w:pStyle w:val="Heading3"/>
      </w:pPr>
      <w:r>
        <w:rPr>
          <w:bCs/>
          <w:b/>
        </w:rPr>
        <w:t xml:space="preserve">9.3.3 Externality Containment Ledger</w:t>
      </w:r>
    </w:p>
    <w:p>
      <w:pPr>
        <w:pStyle w:val="FirstParagraph"/>
      </w:pPr>
      <w:r>
        <w:t xml:space="preserve">CSV MUST make spillovers visible. For material runs, the PCC SHOULD include an ExternalityContainmentLedger with at least: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Field</w:t>
            </w:r>
          </w:p>
        </w:tc>
        <w:tc>
          <w:tcPr>
            <w:shd w:val="clear" w:color="auto" w:fill="D9EAF7"/>
            <w:vAlign w:val="center"/>
          </w:tcPr>
          <w:p>
            <w:pPr>
              <w:pStyle w:val="Compact"/>
              <w:jc w:val="left"/>
            </w:pPr>
            <w:r>
              <w:rPr>
                <w:bCs/>
                <w:b/>
                <w:color w:val="17365D"/>
              </w:rPr>
              <w:t xml:space="preserve">Required content</w:t>
            </w:r>
          </w:p>
        </w:tc>
      </w:tr>
      <w:tr>
        <w:tc>
          <w:tcPr>
            <w:vAlign w:val="top"/>
          </w:tcPr>
          <w:p>
            <w:pPr>
              <w:pStyle w:val="Compact"/>
              <w:jc w:val="left"/>
            </w:pPr>
            <w:r>
              <w:t xml:space="preserve">Spillover</w:t>
            </w:r>
          </w:p>
        </w:tc>
        <w:tc>
          <w:tcPr>
            <w:vAlign w:val="top"/>
          </w:tcPr>
          <w:p>
            <w:pPr>
              <w:pStyle w:val="Compact"/>
              <w:jc w:val="left"/>
            </w:pPr>
            <w:r>
              <w:t xml:space="preserve">Smoke, noise, labor burden, dependency, extraction, attention harm, ecological stress, etc.</w:t>
            </w:r>
          </w:p>
        </w:tc>
      </w:tr>
      <w:tr>
        <w:tc>
          <w:tcPr>
            <w:shd w:val="clear" w:color="auto" w:fill="F7FBFE"/>
            <w:vAlign w:val="top"/>
          </w:tcPr>
          <w:p>
            <w:pPr>
              <w:pStyle w:val="Compact"/>
              <w:jc w:val="left"/>
            </w:pPr>
            <w:r>
              <w:t xml:space="preserve">Receiver</w:t>
            </w:r>
          </w:p>
        </w:tc>
        <w:tc>
          <w:tcPr>
            <w:shd w:val="clear" w:color="auto" w:fill="F7FBFE"/>
            <w:vAlign w:val="top"/>
          </w:tcPr>
          <w:p>
            <w:pPr>
              <w:pStyle w:val="Compact"/>
              <w:jc w:val="left"/>
            </w:pPr>
            <w:r>
              <w:t xml:space="preserve">Which union, subgroup, system, or future condition receives the burden.</w:t>
            </w:r>
          </w:p>
        </w:tc>
      </w:tr>
      <w:tr>
        <w:tc>
          <w:tcPr>
            <w:vAlign w:val="top"/>
          </w:tcPr>
          <w:p>
            <w:pPr>
              <w:pStyle w:val="Compact"/>
              <w:jc w:val="left"/>
            </w:pPr>
            <w:r>
              <w:t xml:space="preserve">Severity</w:t>
            </w:r>
          </w:p>
        </w:tc>
        <w:tc>
          <w:tcPr>
            <w:vAlign w:val="top"/>
          </w:tcPr>
          <w:p>
            <w:pPr>
              <w:pStyle w:val="Compact"/>
              <w:jc w:val="left"/>
            </w:pPr>
            <w:r>
              <w:t xml:space="preserve">Normalized severity or qualitative tier.</w:t>
            </w:r>
          </w:p>
        </w:tc>
      </w:tr>
      <w:tr>
        <w:tc>
          <w:tcPr>
            <w:shd w:val="clear" w:color="auto" w:fill="F7FBFE"/>
            <w:vAlign w:val="top"/>
          </w:tcPr>
          <w:p>
            <w:pPr>
              <w:pStyle w:val="Compact"/>
              <w:jc w:val="left"/>
            </w:pPr>
            <w:r>
              <w:t xml:space="preserve">Duration</w:t>
            </w:r>
          </w:p>
        </w:tc>
        <w:tc>
          <w:tcPr>
            <w:shd w:val="clear" w:color="auto" w:fill="F7FBFE"/>
            <w:vAlign w:val="top"/>
          </w:tcPr>
          <w:p>
            <w:pPr>
              <w:pStyle w:val="Compact"/>
              <w:jc w:val="left"/>
            </w:pPr>
            <w:r>
              <w:t xml:space="preserve">Acute, temporary, recurring, chronic, permanent, or irreversible.</w:t>
            </w:r>
          </w:p>
        </w:tc>
      </w:tr>
      <w:tr>
        <w:tc>
          <w:tcPr>
            <w:vAlign w:val="top"/>
          </w:tcPr>
          <w:p>
            <w:pPr>
              <w:pStyle w:val="Compact"/>
              <w:jc w:val="left"/>
            </w:pPr>
            <w:r>
              <w:t xml:space="preserve">Mitigation</w:t>
            </w:r>
          </w:p>
        </w:tc>
        <w:tc>
          <w:tcPr>
            <w:vAlign w:val="top"/>
          </w:tcPr>
          <w:p>
            <w:pPr>
              <w:pStyle w:val="Compact"/>
              <w:jc w:val="left"/>
            </w:pPr>
            <w:r>
              <w:t xml:space="preserve">Controls, design changes, monitoring, compensation, substitution, or remediation.</w:t>
            </w:r>
          </w:p>
        </w:tc>
      </w:tr>
      <w:tr>
        <w:tc>
          <w:tcPr>
            <w:shd w:val="clear" w:color="auto" w:fill="F7FBFE"/>
            <w:vAlign w:val="top"/>
          </w:tcPr>
          <w:p>
            <w:pPr>
              <w:pStyle w:val="Compact"/>
              <w:jc w:val="left"/>
            </w:pPr>
            <w:r>
              <w:t xml:space="preserve">Residual</w:t>
            </w:r>
          </w:p>
        </w:tc>
        <w:tc>
          <w:tcPr>
            <w:shd w:val="clear" w:color="auto" w:fill="F7FBFE"/>
            <w:vAlign w:val="top"/>
          </w:tcPr>
          <w:p>
            <w:pPr>
              <w:pStyle w:val="Compact"/>
              <w:jc w:val="left"/>
            </w:pPr>
            <w:r>
              <w:t xml:space="preserve">What burden remains after mitigation.</w:t>
            </w:r>
          </w:p>
        </w:tc>
      </w:tr>
      <w:tr>
        <w:tc>
          <w:tcPr>
            <w:vAlign w:val="top"/>
          </w:tcPr>
          <w:p>
            <w:pPr>
              <w:pStyle w:val="Compact"/>
              <w:jc w:val="left"/>
            </w:pPr>
            <w:r>
              <w:t xml:space="preserve">Routing</w:t>
            </w:r>
          </w:p>
        </w:tc>
        <w:tc>
          <w:tcPr>
            <w:vAlign w:val="top"/>
          </w:tcPr>
          <w:p>
            <w:pPr>
              <w:pStyle w:val="Compact"/>
              <w:jc w:val="left"/>
            </w:pPr>
            <w:r>
              <w:t xml:space="preserve">NCRC, TRC, CSV, RLS, monitoring, or escalation.</w:t>
            </w:r>
          </w:p>
        </w:tc>
      </w:tr>
    </w:tbl>
    <w:p>
      <w:pPr>
        <w:pStyle w:val="BodyText"/>
      </w:pPr>
      <w:r>
        <w:t xml:space="preserve">Unrecorded material externalities are not neutral. They create CSV uncertainty and may trigger CSV_ESCALATE or CSV_REDESIGN_REQUIRED.</w:t>
      </w:r>
    </w:p>
    <w:bookmarkEnd w:id="153"/>
    <w:bookmarkStart w:id="154" w:name="X1478d5fa521686b99d469f5ea96de4412935338"/>
    <w:p>
      <w:pPr>
        <w:pStyle w:val="Heading3"/>
      </w:pPr>
      <w:r>
        <w:rPr>
          <w:bCs/>
          <w:b/>
        </w:rPr>
        <w:t xml:space="preserve">9.3.4 Substitution Ladder</w:t>
      </w:r>
    </w:p>
    <w:p>
      <w:pPr>
        <w:pStyle w:val="FirstParagraph"/>
      </w:pPr>
      <w:r>
        <w:t xml:space="preserve">CSV MUST ask whether a less harmful feasible alternative exists. The ladder is not a requirement to choose the ideal option immediately; it is a discipline against convenience-based harm.</w:t>
      </w:r>
    </w:p>
    <w:p>
      <w:pPr>
        <w:pStyle w:val="BodyText"/>
      </w:pPr>
      <w:r>
        <w:t xml:space="preserve">Default substitution ladder:</w:t>
      </w:r>
    </w:p>
    <w:p>
      <w:pPr>
        <w:numPr>
          <w:ilvl w:val="0"/>
          <w:numId w:val="1096"/>
        </w:numPr>
        <w:pStyle w:val="Compact"/>
      </w:pPr>
      <w:r>
        <w:t xml:space="preserve">Avoid the harmful need.</w:t>
      </w:r>
    </w:p>
    <w:p>
      <w:pPr>
        <w:numPr>
          <w:ilvl w:val="0"/>
          <w:numId w:val="1096"/>
        </w:numPr>
        <w:pStyle w:val="Compact"/>
      </w:pPr>
      <w:r>
        <w:t xml:space="preserve">Reduce the demand.</w:t>
      </w:r>
    </w:p>
    <w:p>
      <w:pPr>
        <w:numPr>
          <w:ilvl w:val="0"/>
          <w:numId w:val="1096"/>
        </w:numPr>
        <w:pStyle w:val="Compact"/>
      </w:pPr>
      <w:r>
        <w:t xml:space="preserve">Use low-harm alternative.</w:t>
      </w:r>
    </w:p>
    <w:p>
      <w:pPr>
        <w:numPr>
          <w:ilvl w:val="0"/>
          <w:numId w:val="1096"/>
        </w:numPr>
        <w:pStyle w:val="Compact"/>
      </w:pPr>
      <w:r>
        <w:t xml:space="preserve">Use hybrid/backup alternative.</w:t>
      </w:r>
    </w:p>
    <w:p>
      <w:pPr>
        <w:numPr>
          <w:ilvl w:val="0"/>
          <w:numId w:val="1096"/>
        </w:numPr>
        <w:pStyle w:val="Compact"/>
      </w:pPr>
      <w:r>
        <w:t xml:space="preserve">Use higher-harm option only with controls.</w:t>
      </w:r>
    </w:p>
    <w:p>
      <w:pPr>
        <w:numPr>
          <w:ilvl w:val="0"/>
          <w:numId w:val="1096"/>
        </w:numPr>
        <w:pStyle w:val="Compact"/>
      </w:pPr>
      <w:r>
        <w:t xml:space="preserve">Use emergency provisional option only under necessity and review.</w:t>
      </w:r>
    </w:p>
    <w:p>
      <w:pPr>
        <w:numPr>
          <w:ilvl w:val="0"/>
          <w:numId w:val="1096"/>
        </w:numPr>
        <w:pStyle w:val="Compact"/>
      </w:pPr>
      <w:r>
        <w:t xml:space="preserve">Reject or redesign if harms cannot be contained.</w:t>
      </w:r>
    </w:p>
    <w:p>
      <w:pPr>
        <w:pStyle w:val="FirstParagraph"/>
      </w:pPr>
      <w:r>
        <w:t xml:space="preserve">If a materially cleaner and feasible alternative exists, choosing a more harmful option for convenience, profit, or status SHOULD trigger CSV_REDESIGN_REQUIRED or a high residual RLS penalty, depending on severity.</w:t>
      </w:r>
    </w:p>
    <w:bookmarkEnd w:id="154"/>
    <w:bookmarkStart w:id="155" w:name="X46bed7eb289fa7d5042e09391844af73b2eeceb"/>
    <w:p>
      <w:pPr>
        <w:pStyle w:val="Heading3"/>
      </w:pPr>
      <w:r>
        <w:rPr>
          <w:bCs/>
          <w:b/>
        </w:rPr>
        <w:t xml:space="preserve">9.3.5 Necessity Corridor</w:t>
      </w:r>
    </w:p>
    <w:p>
      <w:pPr>
        <w:pStyle w:val="FirstParagraph"/>
      </w:pPr>
      <w:r>
        <w:t xml:space="preserve">A harmful option MAY receive CSV_PASS_WITH_CONTROLS or CSV_EMERGENCY_PROVISIONAL only when it satisfies the necessity corridor:</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Corridor condition</w:t>
            </w:r>
          </w:p>
        </w:tc>
        <w:tc>
          <w:tcPr>
            <w:shd w:val="clear" w:color="auto" w:fill="D9EAF7"/>
            <w:vAlign w:val="center"/>
          </w:tcPr>
          <w:p>
            <w:pPr>
              <w:pStyle w:val="Compact"/>
              <w:jc w:val="left"/>
            </w:pPr>
            <w:r>
              <w:rPr>
                <w:bCs/>
                <w:b/>
                <w:color w:val="17365D"/>
              </w:rPr>
              <w:t xml:space="preserve">Requirement</w:t>
            </w:r>
          </w:p>
        </w:tc>
      </w:tr>
      <w:tr>
        <w:tc>
          <w:tcPr>
            <w:vAlign w:val="top"/>
          </w:tcPr>
          <w:p>
            <w:pPr>
              <w:pStyle w:val="Compact"/>
              <w:jc w:val="left"/>
            </w:pPr>
            <w:r>
              <w:t xml:space="preserve">Necessity</w:t>
            </w:r>
          </w:p>
        </w:tc>
        <w:tc>
          <w:tcPr>
            <w:vAlign w:val="top"/>
          </w:tcPr>
          <w:p>
            <w:pPr>
              <w:pStyle w:val="Compact"/>
              <w:jc w:val="left"/>
            </w:pPr>
            <w:r>
              <w:t xml:space="preserve">The option serves a real need, not mere convenience.</w:t>
            </w:r>
          </w:p>
        </w:tc>
      </w:tr>
      <w:tr>
        <w:tc>
          <w:tcPr>
            <w:shd w:val="clear" w:color="auto" w:fill="F7FBFE"/>
            <w:vAlign w:val="top"/>
          </w:tcPr>
          <w:p>
            <w:pPr>
              <w:pStyle w:val="Compact"/>
              <w:jc w:val="left"/>
            </w:pPr>
            <w:r>
              <w:t xml:space="preserve">No better feasible alternative now</w:t>
            </w:r>
          </w:p>
        </w:tc>
        <w:tc>
          <w:tcPr>
            <w:shd w:val="clear" w:color="auto" w:fill="F7FBFE"/>
            <w:vAlign w:val="top"/>
          </w:tcPr>
          <w:p>
            <w:pPr>
              <w:pStyle w:val="Compact"/>
              <w:jc w:val="left"/>
            </w:pPr>
            <w:r>
              <w:t xml:space="preserve">Cleaner or safer options are unavailable, unaffordable, disproportionate, or not timely under the declared reality surface.</w:t>
            </w:r>
          </w:p>
        </w:tc>
      </w:tr>
      <w:tr>
        <w:tc>
          <w:tcPr>
            <w:vAlign w:val="top"/>
          </w:tcPr>
          <w:p>
            <w:pPr>
              <w:pStyle w:val="Compact"/>
              <w:jc w:val="left"/>
            </w:pPr>
            <w:r>
              <w:t xml:space="preserve">Boundedness</w:t>
            </w:r>
          </w:p>
        </w:tc>
        <w:tc>
          <w:tcPr>
            <w:vAlign w:val="top"/>
          </w:tcPr>
          <w:p>
            <w:pPr>
              <w:pStyle w:val="Compact"/>
              <w:jc w:val="left"/>
            </w:pPr>
            <w:r>
              <w:t xml:space="preserve">Harm is limited in time, space, exposure, scale, and recurrence.</w:t>
            </w:r>
          </w:p>
        </w:tc>
      </w:tr>
      <w:tr>
        <w:tc>
          <w:tcPr>
            <w:shd w:val="clear" w:color="auto" w:fill="F7FBFE"/>
            <w:vAlign w:val="top"/>
          </w:tcPr>
          <w:p>
            <w:pPr>
              <w:pStyle w:val="Compact"/>
              <w:jc w:val="left"/>
            </w:pPr>
            <w:r>
              <w:t xml:space="preserve">Mitigation</w:t>
            </w:r>
          </w:p>
        </w:tc>
        <w:tc>
          <w:tcPr>
            <w:shd w:val="clear" w:color="auto" w:fill="F7FBFE"/>
            <w:vAlign w:val="top"/>
          </w:tcPr>
          <w:p>
            <w:pPr>
              <w:pStyle w:val="Compact"/>
              <w:jc w:val="left"/>
            </w:pPr>
            <w:r>
              <w:t xml:space="preserve">Controls reduce harm materially.</w:t>
            </w:r>
          </w:p>
        </w:tc>
      </w:tr>
      <w:tr>
        <w:tc>
          <w:tcPr>
            <w:vAlign w:val="top"/>
          </w:tcPr>
          <w:p>
            <w:pPr>
              <w:pStyle w:val="Compact"/>
              <w:jc w:val="left"/>
            </w:pPr>
            <w:r>
              <w:t xml:space="preserve">Transparency</w:t>
            </w:r>
          </w:p>
        </w:tc>
        <w:tc>
          <w:tcPr>
            <w:vAlign w:val="top"/>
          </w:tcPr>
          <w:p>
            <w:pPr>
              <w:pStyle w:val="Compact"/>
              <w:jc w:val="left"/>
            </w:pPr>
            <w:r>
              <w:t xml:space="preserve">The harm is not hidden, greenwashed, or falsely described.</w:t>
            </w:r>
          </w:p>
        </w:tc>
      </w:tr>
      <w:tr>
        <w:tc>
          <w:tcPr>
            <w:shd w:val="clear" w:color="auto" w:fill="F7FBFE"/>
            <w:vAlign w:val="top"/>
          </w:tcPr>
          <w:p>
            <w:pPr>
              <w:pStyle w:val="Compact"/>
              <w:jc w:val="left"/>
            </w:pPr>
            <w:r>
              <w:t xml:space="preserve">Reversibility / exit</w:t>
            </w:r>
          </w:p>
        </w:tc>
        <w:tc>
          <w:tcPr>
            <w:shd w:val="clear" w:color="auto" w:fill="F7FBFE"/>
            <w:vAlign w:val="top"/>
          </w:tcPr>
          <w:p>
            <w:pPr>
              <w:pStyle w:val="Compact"/>
              <w:jc w:val="left"/>
            </w:pPr>
            <w:r>
              <w:t xml:space="preserve">The option does not create avoidable lock-in.</w:t>
            </w:r>
          </w:p>
        </w:tc>
      </w:tr>
      <w:tr>
        <w:tc>
          <w:tcPr>
            <w:vAlign w:val="top"/>
          </w:tcPr>
          <w:p>
            <w:pPr>
              <w:pStyle w:val="Compact"/>
              <w:jc w:val="left"/>
            </w:pPr>
            <w:r>
              <w:t xml:space="preserve">Transition</w:t>
            </w:r>
          </w:p>
        </w:tc>
        <w:tc>
          <w:tcPr>
            <w:vAlign w:val="top"/>
          </w:tcPr>
          <w:p>
            <w:pPr>
              <w:pStyle w:val="Compact"/>
              <w:jc w:val="left"/>
            </w:pPr>
            <w:r>
              <w:t xml:space="preserve">A path to a cleaner, safer, or more viable option is declared where material.</w:t>
            </w:r>
          </w:p>
        </w:tc>
      </w:tr>
      <w:tr>
        <w:tc>
          <w:tcPr>
            <w:shd w:val="clear" w:color="auto" w:fill="F7FBFE"/>
            <w:vAlign w:val="top"/>
          </w:tcPr>
          <w:p>
            <w:pPr>
              <w:pStyle w:val="Compact"/>
              <w:jc w:val="left"/>
            </w:pPr>
            <w:r>
              <w:t xml:space="preserve">Review</w:t>
            </w:r>
          </w:p>
        </w:tc>
        <w:tc>
          <w:tcPr>
            <w:shd w:val="clear" w:color="auto" w:fill="F7FBFE"/>
            <w:vAlign w:val="top"/>
          </w:tcPr>
          <w:p>
            <w:pPr>
              <w:pStyle w:val="Compact"/>
              <w:jc w:val="left"/>
            </w:pPr>
            <w:r>
              <w:t xml:space="preserve">Monitoring and re-evaluation triggers are declared.</w:t>
            </w:r>
          </w:p>
        </w:tc>
      </w:tr>
    </w:tbl>
    <w:p>
      <w:pPr>
        <w:pStyle w:val="BodyText"/>
      </w:pPr>
      <w:r>
        <w:t xml:space="preserve">The necessity corridor prevents CSV from becoming impossible purity ethics while preserving its ability to block structural laundering.</w:t>
      </w:r>
    </w:p>
    <w:bookmarkEnd w:id="155"/>
    <w:bookmarkEnd w:id="156"/>
    <w:bookmarkStart w:id="157" w:name="X0e249cf9d93b7660f71807b00968fccc95da3f6"/>
    <w:p>
      <w:pPr>
        <w:pStyle w:val="Heading2"/>
      </w:pPr>
      <w:r>
        <w:rPr>
          <w:bCs/>
          <w:b/>
        </w:rPr>
        <w:t xml:space="preserve">9.4 CSV Diagnostic Concern Scale (Normative guidance)</w:t>
      </w:r>
    </w:p>
    <w:p>
      <w:pPr>
        <w:pStyle w:val="FirstParagraph"/>
      </w:pPr>
      <w:r>
        <w:t xml:space="preserve">CSV MAY use internal diagnostic concern levels. These levels are not an RLS score and MUST NOT be treated as final welfare ranking.</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Level</w:t>
            </w:r>
          </w:p>
        </w:tc>
        <w:tc>
          <w:tcPr>
            <w:shd w:val="clear" w:color="auto" w:fill="D9EAF7"/>
            <w:vAlign w:val="center"/>
          </w:tcPr>
          <w:p>
            <w:pPr>
              <w:pStyle w:val="Compact"/>
              <w:jc w:val="left"/>
            </w:pPr>
            <w:r>
              <w:rPr>
                <w:bCs/>
                <w:b/>
                <w:color w:val="17365D"/>
              </w:rPr>
              <w:t xml:space="preserve">Meaning</w:t>
            </w:r>
          </w:p>
        </w:tc>
        <w:tc>
          <w:tcPr>
            <w:shd w:val="clear" w:color="auto" w:fill="D9EAF7"/>
            <w:vAlign w:val="center"/>
          </w:tcPr>
          <w:p>
            <w:pPr>
              <w:pStyle w:val="Compact"/>
              <w:jc w:val="left"/>
            </w:pPr>
            <w:r>
              <w:rPr>
                <w:bCs/>
                <w:b/>
                <w:color w:val="17365D"/>
              </w:rPr>
              <w:t xml:space="preserve">Default disposition</w:t>
            </w:r>
          </w:p>
        </w:tc>
      </w:tr>
      <w:tr>
        <w:tc>
          <w:tcPr>
            <w:vAlign w:val="top"/>
          </w:tcPr>
          <w:p>
            <w:pPr>
              <w:pStyle w:val="Compact"/>
              <w:jc w:val="left"/>
            </w:pPr>
            <w:r>
              <w:t xml:space="preserve">0</w:t>
            </w:r>
          </w:p>
        </w:tc>
        <w:tc>
          <w:tcPr>
            <w:vAlign w:val="top"/>
          </w:tcPr>
          <w:p>
            <w:pPr>
              <w:pStyle w:val="Compact"/>
              <w:jc w:val="left"/>
            </w:pPr>
            <w:r>
              <w:t xml:space="preserve">No material CSV concern.</w:t>
            </w:r>
          </w:p>
        </w:tc>
        <w:tc>
          <w:tcPr>
            <w:vAlign w:val="top"/>
          </w:tcPr>
          <w:p>
            <w:pPr>
              <w:pStyle w:val="Compact"/>
              <w:jc w:val="left"/>
            </w:pPr>
            <w:r>
              <w:t xml:space="preserve">CSV_PASS.</w:t>
            </w:r>
          </w:p>
        </w:tc>
      </w:tr>
      <w:tr>
        <w:tc>
          <w:tcPr>
            <w:shd w:val="clear" w:color="auto" w:fill="F7FBFE"/>
            <w:vAlign w:val="top"/>
          </w:tcPr>
          <w:p>
            <w:pPr>
              <w:pStyle w:val="Compact"/>
              <w:jc w:val="left"/>
            </w:pPr>
            <w:r>
              <w:t xml:space="preserve">1</w:t>
            </w:r>
          </w:p>
        </w:tc>
        <w:tc>
          <w:tcPr>
            <w:shd w:val="clear" w:color="auto" w:fill="F7FBFE"/>
            <w:vAlign w:val="top"/>
          </w:tcPr>
          <w:p>
            <w:pPr>
              <w:pStyle w:val="Compact"/>
              <w:jc w:val="left"/>
            </w:pPr>
            <w:r>
              <w:t xml:space="preserve">Minor residual concern.</w:t>
            </w:r>
          </w:p>
        </w:tc>
        <w:tc>
          <w:tcPr>
            <w:shd w:val="clear" w:color="auto" w:fill="F7FBFE"/>
            <w:vAlign w:val="top"/>
          </w:tcPr>
          <w:p>
            <w:pPr>
              <w:pStyle w:val="Compact"/>
              <w:jc w:val="left"/>
            </w:pPr>
            <w:r>
              <w:t xml:space="preserve">Carry to RLS and monitoring.</w:t>
            </w:r>
          </w:p>
        </w:tc>
      </w:tr>
      <w:tr>
        <w:tc>
          <w:tcPr>
            <w:vAlign w:val="top"/>
          </w:tcPr>
          <w:p>
            <w:pPr>
              <w:pStyle w:val="Compact"/>
              <w:jc w:val="left"/>
            </w:pPr>
            <w:r>
              <w:t xml:space="preserve">2</w:t>
            </w:r>
          </w:p>
        </w:tc>
        <w:tc>
          <w:tcPr>
            <w:vAlign w:val="top"/>
          </w:tcPr>
          <w:p>
            <w:pPr>
              <w:pStyle w:val="Compact"/>
              <w:jc w:val="left"/>
            </w:pPr>
            <w:r>
              <w:t xml:space="preserve">Material concern requiring controls.</w:t>
            </w:r>
          </w:p>
        </w:tc>
        <w:tc>
          <w:tcPr>
            <w:vAlign w:val="top"/>
          </w:tcPr>
          <w:p>
            <w:pPr>
              <w:pStyle w:val="Compact"/>
              <w:jc w:val="left"/>
            </w:pPr>
            <w:r>
              <w:t xml:space="preserve">CSV_PASS_WITH_CONTROLS if controls are binding.</w:t>
            </w:r>
          </w:p>
        </w:tc>
      </w:tr>
      <w:tr>
        <w:tc>
          <w:tcPr>
            <w:shd w:val="clear" w:color="auto" w:fill="F7FBFE"/>
            <w:vAlign w:val="top"/>
          </w:tcPr>
          <w:p>
            <w:pPr>
              <w:pStyle w:val="Compact"/>
              <w:jc w:val="left"/>
            </w:pPr>
            <w:r>
              <w:t xml:space="preserve">3</w:t>
            </w:r>
          </w:p>
        </w:tc>
        <w:tc>
          <w:tcPr>
            <w:shd w:val="clear" w:color="auto" w:fill="F7FBFE"/>
            <w:vAlign w:val="top"/>
          </w:tcPr>
          <w:p>
            <w:pPr>
              <w:pStyle w:val="Compact"/>
              <w:jc w:val="left"/>
            </w:pPr>
            <w:r>
              <w:t xml:space="preserve">Serious concern requiring redesign or higher review.</w:t>
            </w:r>
          </w:p>
        </w:tc>
        <w:tc>
          <w:tcPr>
            <w:shd w:val="clear" w:color="auto" w:fill="F7FBFE"/>
            <w:vAlign w:val="top"/>
          </w:tcPr>
          <w:p>
            <w:pPr>
              <w:pStyle w:val="Compact"/>
              <w:jc w:val="left"/>
            </w:pPr>
            <w:r>
              <w:t xml:space="preserve">CSV_REDESIGN_REQUIRED or CSV_ESCALATE.</w:t>
            </w:r>
          </w:p>
        </w:tc>
      </w:tr>
      <w:tr>
        <w:tc>
          <w:tcPr>
            <w:vAlign w:val="top"/>
          </w:tcPr>
          <w:p>
            <w:pPr>
              <w:pStyle w:val="Compact"/>
              <w:jc w:val="left"/>
            </w:pPr>
            <w:r>
              <w:t xml:space="preserve">4</w:t>
            </w:r>
          </w:p>
        </w:tc>
        <w:tc>
          <w:tcPr>
            <w:vAlign w:val="top"/>
          </w:tcPr>
          <w:p>
            <w:pPr>
              <w:pStyle w:val="Compact"/>
              <w:jc w:val="left"/>
            </w:pPr>
            <w:r>
              <w:t xml:space="preserve">Gate-failing concern.</w:t>
            </w:r>
          </w:p>
        </w:tc>
        <w:tc>
          <w:tcPr>
            <w:vAlign w:val="top"/>
          </w:tcPr>
          <w:p>
            <w:pPr>
              <w:pStyle w:val="Compact"/>
              <w:jc w:val="left"/>
            </w:pPr>
            <w:r>
              <w:t xml:space="preserve">CSV_FAIL.</w:t>
            </w:r>
          </w:p>
        </w:tc>
      </w:tr>
    </w:tbl>
    <w:p>
      <w:pPr>
        <w:pStyle w:val="BodyText"/>
      </w:pPr>
      <w:r>
        <w:t xml:space="preserve">Suggested diagnostic dimensions:</w:t>
      </w:r>
    </w:p>
    <w:p>
      <w:pPr>
        <w:numPr>
          <w:ilvl w:val="0"/>
          <w:numId w:val="1097"/>
        </w:numPr>
        <w:pStyle w:val="Compact"/>
      </w:pPr>
      <w:r>
        <w:t xml:space="preserve">Containment integrity</w:t>
      </w:r>
    </w:p>
    <w:p>
      <w:pPr>
        <w:numPr>
          <w:ilvl w:val="0"/>
          <w:numId w:val="1097"/>
        </w:numPr>
        <w:pStyle w:val="Compact"/>
      </w:pPr>
      <w:r>
        <w:t xml:space="preserve">Structural viability</w:t>
      </w:r>
    </w:p>
    <w:p>
      <w:pPr>
        <w:numPr>
          <w:ilvl w:val="0"/>
          <w:numId w:val="1097"/>
        </w:numPr>
        <w:pStyle w:val="Compact"/>
      </w:pPr>
      <w:r>
        <w:t xml:space="preserve">Hollowing risk</w:t>
      </w:r>
    </w:p>
    <w:p>
      <w:pPr>
        <w:numPr>
          <w:ilvl w:val="0"/>
          <w:numId w:val="1097"/>
        </w:numPr>
        <w:pStyle w:val="Compact"/>
      </w:pPr>
      <w:r>
        <w:t xml:space="preserve">Dependency or lock-in risk</w:t>
      </w:r>
    </w:p>
    <w:p>
      <w:pPr>
        <w:numPr>
          <w:ilvl w:val="0"/>
          <w:numId w:val="1097"/>
        </w:numPr>
        <w:pStyle w:val="Compact"/>
      </w:pPr>
      <w:r>
        <w:t xml:space="preserve">Substitution pressure</w:t>
      </w:r>
    </w:p>
    <w:p>
      <w:pPr>
        <w:numPr>
          <w:ilvl w:val="0"/>
          <w:numId w:val="1097"/>
        </w:numPr>
        <w:pStyle w:val="Compact"/>
      </w:pPr>
      <w:r>
        <w:t xml:space="preserve">Mitigation adequacy</w:t>
      </w:r>
    </w:p>
    <w:p>
      <w:pPr>
        <w:numPr>
          <w:ilvl w:val="0"/>
          <w:numId w:val="1097"/>
        </w:numPr>
        <w:pStyle w:val="Compact"/>
      </w:pPr>
      <w:r>
        <w:t xml:space="preserve">Monitoring adequacy</w:t>
      </w:r>
    </w:p>
    <w:p>
      <w:pPr>
        <w:numPr>
          <w:ilvl w:val="0"/>
          <w:numId w:val="1097"/>
        </w:numPr>
        <w:pStyle w:val="Compact"/>
      </w:pPr>
      <w:r>
        <w:t xml:space="preserve">Reversibility / exit</w:t>
      </w:r>
    </w:p>
    <w:p>
      <w:pPr>
        <w:numPr>
          <w:ilvl w:val="0"/>
          <w:numId w:val="1097"/>
        </w:numPr>
        <w:pStyle w:val="Compact"/>
      </w:pPr>
      <w:r>
        <w:t xml:space="preserve">Accumulation risk</w:t>
      </w:r>
    </w:p>
    <w:p>
      <w:pPr>
        <w:numPr>
          <w:ilvl w:val="0"/>
          <w:numId w:val="1097"/>
        </w:numPr>
        <w:pStyle w:val="Compact"/>
      </w:pPr>
      <w:r>
        <w:t xml:space="preserve">Governance or legitimacy stress</w:t>
      </w:r>
    </w:p>
    <w:p>
      <w:pPr>
        <w:pStyle w:val="FirstParagraph"/>
      </w:pPr>
      <w:r>
        <w:t xml:space="preserve">Default status rule:</w:t>
      </w:r>
    </w:p>
    <w:p>
      <w:pPr>
        <w:pStyle w:val="BodyText"/>
      </w:pPr>
      <w:r>
        <w:t xml:space="preserve">If any material diagnostic = 4, CSV_FAIL. If any material diagnostic = 3, CSV_REDESIGN_REQUIRED or CSV_ESCALATE. If any material diagnostic = 2, CSV_PASS_WITH_CONTROLS only if controls are binding and auditable. If all material diagnostics are 0 or 1, CSV_PASS and residuals carry to RLS.</w:t>
      </w:r>
    </w:p>
    <w:bookmarkEnd w:id="157"/>
    <w:bookmarkStart w:id="158" w:name="Xc988c8e5aada4f5d492ae6b5e9d15962f19e365"/>
    <w:p>
      <w:pPr>
        <w:pStyle w:val="Heading2"/>
      </w:pPr>
      <w:r>
        <w:rPr>
          <w:bCs/>
          <w:b/>
        </w:rPr>
        <w:t xml:space="preserve">9.5 Formal CSV Predicate (Normative)</w:t>
      </w:r>
    </w:p>
    <w:p>
      <w:pPr>
        <w:pStyle w:val="FirstParagraph"/>
      </w:pPr>
      <w:r>
        <w:t xml:space="preserve">Let A_adm be the set of options that pass NCRC and TRC, subject to Reality Grounding supporting the claim boundary.</w:t>
      </w:r>
    </w:p>
    <w:p>
      <w:pPr>
        <w:pStyle w:val="BodyText"/>
      </w:pPr>
      <w:r>
        <w:t xml:space="preserve">For each option a in A_adm, compute CSV_status(a).</w:t>
      </w:r>
    </w:p>
    <w:p>
      <w:pPr>
        <w:pStyle w:val="BodyText"/>
      </w:pPr>
      <w:r>
        <w:t xml:space="preserve">Default selectable set:</w:t>
      </w:r>
    </w:p>
    <w:p>
      <w:pPr>
        <w:pStyle w:val="BodyText"/>
      </w:pPr>
      <w:r>
        <w:t xml:space="preserve">A_sel = {a in A_adm : CSV_status(a) in {CSV_PASS, CSV_PASS_WITH_CONTROLS, CSV_NOT_MATERIAL}}</w:t>
      </w:r>
    </w:p>
    <w:p>
      <w:pPr>
        <w:pStyle w:val="BodyText"/>
      </w:pPr>
      <w:r>
        <w:t xml:space="preserve">Emergency provisional options are not ordinary members of A_sel. A CSV_EMERGENCY_PROVISIONAL option may be temporarily selected only through emergency protocol, with explicit time limit, harm cap, mitigation, review, and no full alignment claim.</w:t>
      </w:r>
    </w:p>
    <w:p>
      <w:pPr>
        <w:pStyle w:val="BodyText"/>
      </w:pPr>
      <w:r>
        <w:t xml:space="preserve">CSV_NOT_MATERIAL is pass-equivalent only for the declared claim boundary after the PCC records the rationale that no material CSV burden is present. It MUST NOT be used to waive Structural Viability subchecks when execution feasibility, resource closure, dependency closure, reversibility, operational capacity, or internal coherence is material. In high-stakes or execution-bearing runs, CSV_NOT_MATERIAL may apply to the containment-integrity dimension while Structural Viability remains separately required where execution feasibility is material. If later evidence makes CSV material, CSV MUST be rerun.</w:t>
      </w:r>
    </w:p>
    <w:p>
      <w:pPr>
        <w:pStyle w:val="BodyText"/>
      </w:pPr>
      <w:r>
        <w:t xml:space="preserve">RLS is applied only to A_sel, except where emergency protocol explicitly invokes fallback comparison.</w:t>
      </w:r>
    </w:p>
    <w:bookmarkEnd w:id="158"/>
    <w:bookmarkStart w:id="159" w:name="Xb31e192922d91f5db27d3355849b17997b22136"/>
    <w:p>
      <w:pPr>
        <w:pStyle w:val="Heading2"/>
      </w:pPr>
      <w:r>
        <w:rPr>
          <w:bCs/>
          <w:b/>
        </w:rPr>
        <w:t xml:space="preserve">9.6 UCI, HOI, and Structural Diagnostic Placement (Normative)</w:t>
      </w:r>
    </w:p>
    <w:p>
      <w:pPr>
        <w:pStyle w:val="FirstParagraph"/>
      </w:pPr>
      <w:r>
        <w:t xml:space="preserve">CSV is the authority layer for cross-scale structural integrity. UCI, HOI, Adaptive Reserve, and related structural indicators are diagnostic instruments. When such indicators are material to whether an option degrades a containing union, hollows out capacity, creates dependency, or undermines structural viability, they are evaluated inside CSV before RLS.</w:t>
      </w:r>
    </w:p>
    <w:p>
      <w:pPr>
        <w:pStyle w:val="BodyText"/>
      </w:pPr>
      <w:r>
        <w:t xml:space="preserve">UCI/HOI are not public cascade stages. They are not separate gates by default. They are structural diagnostics inside CSV when material, and residual tie-break or monitoring signals only after options are already selectable and RLS is tied, close, uncertainty-overlapped, or non-decisive.</w:t>
      </w:r>
    </w:p>
    <w:p>
      <w:pPr>
        <w:pStyle w:val="BodyText"/>
      </w:pPr>
      <w:r>
        <w:t xml:space="preserve">If UCI/HOI or equivalent structural diagnostic evidence is required for a CSV determination and unavailable, the implementation SHALL record CSV_STRUCTURAL_DIAGNOSTIC_UNAVAILABLE or the more specific CSV_UCI_HOI_UNAVAILABLE flag. A run with unresolved material diagnostic unavailability SHALL NOT claim an unqualified CSV pass or Tier 3 CSV conformance.</w:t>
      </w:r>
    </w:p>
    <w:bookmarkEnd w:id="159"/>
    <w:bookmarkStart w:id="160" w:name="X63d95cdf22047d45bf1ad7fe07abcf236f9d99c"/>
    <w:p>
      <w:pPr>
        <w:pStyle w:val="Heading2"/>
      </w:pPr>
      <w:r>
        <w:rPr>
          <w:bCs/>
          <w:b/>
        </w:rPr>
        <w:t xml:space="preserve">9.7 CSV Fail Conditions (Normative)</w:t>
      </w:r>
    </w:p>
    <w:p>
      <w:pPr>
        <w:pStyle w:val="FirstParagraph"/>
      </w:pPr>
      <w:r>
        <w:t xml:space="preserve">CSV MUST fail, redesign, or escalate an option when any of the following are material and unresolved:</w:t>
      </w:r>
    </w:p>
    <w:p>
      <w:pPr>
        <w:numPr>
          <w:ilvl w:val="0"/>
          <w:numId w:val="1098"/>
        </w:numPr>
        <w:pStyle w:val="Compact"/>
      </w:pPr>
      <w:r>
        <w:t xml:space="preserve">Container destruction: the option damages the system that makes the claimed benefit possible.</w:t>
      </w:r>
    </w:p>
    <w:p>
      <w:pPr>
        <w:numPr>
          <w:ilvl w:val="0"/>
          <w:numId w:val="1098"/>
        </w:numPr>
        <w:pStyle w:val="Compact"/>
      </w:pPr>
      <w:r>
        <w:t xml:space="preserve">Forced externalization: the option works by pushing burden onto people, ecosystems, or future agents who cannot consent, contest, or recover.</w:t>
      </w:r>
    </w:p>
    <w:p>
      <w:pPr>
        <w:numPr>
          <w:ilvl w:val="0"/>
          <w:numId w:val="1098"/>
        </w:numPr>
        <w:pStyle w:val="Compact"/>
      </w:pPr>
      <w:r>
        <w:t xml:space="preserve">Structural non-viability: the option cannot execute under real resource, dependency, capacity, authority, or contradiction constraints.</w:t>
      </w:r>
    </w:p>
    <w:p>
      <w:pPr>
        <w:numPr>
          <w:ilvl w:val="0"/>
          <w:numId w:val="1098"/>
        </w:numPr>
        <w:pStyle w:val="Compact"/>
      </w:pPr>
      <w:r>
        <w:t xml:space="preserve">Hollowing: the option improves surface metrics while weakening the deeper capacity the metric was meant to serve.</w:t>
      </w:r>
    </w:p>
    <w:p>
      <w:pPr>
        <w:numPr>
          <w:ilvl w:val="0"/>
          <w:numId w:val="1098"/>
        </w:numPr>
        <w:pStyle w:val="Compact"/>
      </w:pPr>
      <w:r>
        <w:t xml:space="preserve">Lock-in or dependency: the option creates avoidable dependency that makes better futures harder.</w:t>
      </w:r>
    </w:p>
    <w:p>
      <w:pPr>
        <w:numPr>
          <w:ilvl w:val="0"/>
          <w:numId w:val="1098"/>
        </w:numPr>
        <w:pStyle w:val="Compact"/>
      </w:pPr>
      <w:r>
        <w:t xml:space="preserve">Unbounded accumulation: individually small harms scale into systemic degradation when repeated.</w:t>
      </w:r>
    </w:p>
    <w:p>
      <w:pPr>
        <w:numPr>
          <w:ilvl w:val="0"/>
          <w:numId w:val="1098"/>
        </w:numPr>
        <w:pStyle w:val="Compact"/>
      </w:pPr>
      <w:r>
        <w:t xml:space="preserve">Unmonitored invisible harm: material harms exist without monitoring, audit, review, or feedback path.</w:t>
      </w:r>
    </w:p>
    <w:p>
      <w:pPr>
        <w:numPr>
          <w:ilvl w:val="0"/>
          <w:numId w:val="1098"/>
        </w:numPr>
        <w:pStyle w:val="Compact"/>
      </w:pPr>
      <w:r>
        <w:t xml:space="preserve">Better feasible alternative ignored: a much cleaner or safer feasible option exists, but the harmful option is chosen for convenience, status, or profit.</w:t>
      </w:r>
    </w:p>
    <w:bookmarkEnd w:id="160"/>
    <w:bookmarkStart w:id="163" w:name="X3db7f0b59b3cfb1329f59173fa2d579eb0b98a8"/>
    <w:p>
      <w:pPr>
        <w:pStyle w:val="Heading2"/>
      </w:pPr>
      <w:r>
        <w:rPr>
          <w:bCs/>
          <w:b/>
        </w:rPr>
        <w:t xml:space="preserve">9.8 CSV Pass Conditions (Normative)</w:t>
      </w:r>
    </w:p>
    <w:p>
      <w:pPr>
        <w:pStyle w:val="FirstParagraph"/>
      </w:pPr>
      <w:r>
        <w:t xml:space="preserve">CSV MAY pass an option when harms are visible, rights floors are intact, tail risk is bounded, containment burden is limited, structural viability is real, externalities are mitigated, residual harms are carried into RLS, monitoring exists where needed, lock-in is avoided or justified, better alternatives are unavailable or disproportionate, and transition or review plans exist where material.</w:t>
      </w:r>
    </w:p>
    <w:p>
      <w:pPr>
        <w:pStyle w:val="BodyText"/>
      </w:pPr>
      <w:r>
        <w:t xml:space="preserve">Plain-language test:</w:t>
      </w:r>
    </w:p>
    <w:p>
      <w:pPr>
        <w:pStyle w:val="BodyText"/>
      </w:pPr>
      <w:r>
        <w:t xml:space="preserve">Harm does not equal fail. Hidden, unbounded, unjust, irreversible, or structurally degrading harm equals fail, redesign, escalation, or emergency provisional treatment.</w:t>
      </w:r>
    </w:p>
    <w:bookmarkStart w:id="161" w:name="X075d575f72fd2348658bf0d0f5382ec33000aad"/>
    <w:p>
      <w:pPr>
        <w:pStyle w:val="Heading3"/>
      </w:pPr>
      <w:r>
        <w:rPr>
          <w:bCs/>
          <w:b/>
        </w:rPr>
        <w:t xml:space="preserve">9.8A Binding-control and obligation-integrity condition (Normative)</w:t>
      </w:r>
    </w:p>
    <w:p>
      <w:pPr>
        <w:pStyle w:val="FirstParagraph"/>
      </w:pPr>
      <w:r>
        <w:t xml:space="preserve">A CSV_PASS_WITH_CONTROLS is claimable only when every selectability-material control satisfies Section 4.10A. Controls that are promised, unowned, under-resourced, unmonitored, consequence-free, dependent on silent carrier compensation, or alterable without governed change control SHALL NOT upgrade CSV status. If carrier nonperformance, control expiry, or unauthorized control modification would leave a material harm uncontained, the option must be redesigned, escalated, suspended, or failed according to severity and available alternatives.</w:t>
      </w:r>
    </w:p>
    <w:bookmarkEnd w:id="161"/>
    <w:bookmarkStart w:id="162" w:name="X1e3bf8403768a78f1879819cef0e6a824d01cbd"/>
    <w:p>
      <w:pPr>
        <w:pStyle w:val="Heading3"/>
      </w:pPr>
      <w:r>
        <w:rPr>
          <w:bCs/>
          <w:b/>
        </w:rPr>
        <w:t xml:space="preserve">9.8B Human-compensation-load diagnostic (Normative when triggered)</w:t>
      </w:r>
    </w:p>
    <w:p>
      <w:pPr>
        <w:pStyle w:val="FirstParagraph"/>
      </w:pPr>
      <w:r>
        <w:t xml:space="preserve">CSV SHALL test hidden human compensation when current performance, proposed automation, scaling, outsourcing, or role removal could conceal a dependency on undocumented judgment or recovery work. A bounded and supported human contribution may remain part of a viable design. A material, unrecorded, involuntary, saturated, single-carrier, or non-substitutable compensation burden requires binding controls, capacity restoration, documentation, redistribution, redesign, escalation, or failure. This diagnostic remains inside CSV and does not create a new gate or presume that all human adaptation is undesirable.</w:t>
      </w:r>
    </w:p>
    <w:bookmarkEnd w:id="162"/>
    <w:bookmarkEnd w:id="163"/>
    <w:bookmarkStart w:id="164" w:name="X6c0cd97793cb0cc7558404d52070197c02f412c"/>
    <w:p>
      <w:pPr>
        <w:pStyle w:val="Heading2"/>
      </w:pPr>
      <w:r>
        <w:rPr>
          <w:bCs/>
          <w:b/>
        </w:rPr>
        <w:t xml:space="preserve">9.9 Worked Normative Example: Backup Diesel Generator (Informative but Canon-Guiding)</w:t>
      </w:r>
    </w:p>
    <w:p>
      <w:pPr>
        <w:pStyle w:val="FirstParagraph"/>
      </w:pPr>
      <w:r>
        <w:t xml:space="preserve">A small organic cafe may need a backup diesel generator during power cuts. The generator produces smoke, noise, local air pollution, and emissions. Without it, the cafe may lose food, income, jobs, community function, and operational continuity.</w:t>
      </w:r>
    </w:p>
    <w:p>
      <w:pPr>
        <w:pStyle w:val="BodyText"/>
      </w:pPr>
      <w:r>
        <w:t xml:space="preserve">CSV MUST NOT treat this as an automatic fail merely because harm exists. CSV MUST also not allow the cafe’s local survival benefit to hide uncontained harm.</w:t>
      </w:r>
    </w:p>
    <w:p>
      <w:pPr>
        <w:pStyle w:val="BodyText"/>
      </w:pPr>
      <w:r>
        <w:t xml:space="preserve">Illustrative dispositions: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Generator condition</w:t>
            </w:r>
          </w:p>
        </w:tc>
        <w:tc>
          <w:tcPr>
            <w:shd w:val="clear" w:color="auto" w:fill="D9EAF7"/>
            <w:vAlign w:val="center"/>
          </w:tcPr>
          <w:p>
            <w:pPr>
              <w:pStyle w:val="Compact"/>
              <w:jc w:val="left"/>
            </w:pPr>
            <w:r>
              <w:rPr>
                <w:bCs/>
                <w:b/>
                <w:color w:val="17365D"/>
              </w:rPr>
              <w:t xml:space="preserve">CSV disposition</w:t>
            </w:r>
          </w:p>
        </w:tc>
        <w:tc>
          <w:tcPr>
            <w:shd w:val="clear" w:color="auto" w:fill="D9EAF7"/>
            <w:vAlign w:val="center"/>
          </w:tcPr>
          <w:p>
            <w:pPr>
              <w:pStyle w:val="Compact"/>
              <w:jc w:val="left"/>
            </w:pPr>
            <w:r>
              <w:rPr>
                <w:bCs/>
                <w:b/>
                <w:color w:val="17365D"/>
              </w:rPr>
              <w:t xml:space="preserve">Rationale</w:t>
            </w:r>
          </w:p>
        </w:tc>
      </w:tr>
      <w:tr>
        <w:tc>
          <w:tcPr>
            <w:vAlign w:val="top"/>
          </w:tcPr>
          <w:p>
            <w:pPr>
              <w:pStyle w:val="Compact"/>
              <w:jc w:val="left"/>
            </w:pPr>
            <w:r>
              <w:t xml:space="preserve">Generator used indoors, near air intakes, or near vulnerable people without controls.</w:t>
            </w:r>
          </w:p>
        </w:tc>
        <w:tc>
          <w:tcPr>
            <w:vAlign w:val="top"/>
          </w:tcPr>
          <w:p>
            <w:pPr>
              <w:pStyle w:val="Compact"/>
              <w:jc w:val="left"/>
            </w:pPr>
            <w:r>
              <w:t xml:space="preserve">CSV_FAIL or NCRC escalation.</w:t>
            </w:r>
          </w:p>
        </w:tc>
        <w:tc>
          <w:tcPr>
            <w:vAlign w:val="top"/>
          </w:tcPr>
          <w:p>
            <w:pPr>
              <w:pStyle w:val="Compact"/>
              <w:jc w:val="left"/>
            </w:pPr>
            <w:r>
              <w:t xml:space="preserve">Serious health/safety exposure and containment breach.</w:t>
            </w:r>
          </w:p>
        </w:tc>
      </w:tr>
      <w:tr>
        <w:tc>
          <w:tcPr>
            <w:shd w:val="clear" w:color="auto" w:fill="F7FBFE"/>
            <w:vAlign w:val="top"/>
          </w:tcPr>
          <w:p>
            <w:pPr>
              <w:pStyle w:val="Compact"/>
              <w:jc w:val="left"/>
            </w:pPr>
            <w:r>
              <w:t xml:space="preserve">Outdoor generator, frequent use, no mitigation, no review, no transition.</w:t>
            </w:r>
          </w:p>
        </w:tc>
        <w:tc>
          <w:tcPr>
            <w:shd w:val="clear" w:color="auto" w:fill="F7FBFE"/>
            <w:vAlign w:val="top"/>
          </w:tcPr>
          <w:p>
            <w:pPr>
              <w:pStyle w:val="Compact"/>
              <w:jc w:val="left"/>
            </w:pPr>
            <w:r>
              <w:t xml:space="preserve">CSV_REDESIGN_REQUIRED.</w:t>
            </w:r>
          </w:p>
        </w:tc>
        <w:tc>
          <w:tcPr>
            <w:shd w:val="clear" w:color="auto" w:fill="F7FBFE"/>
            <w:vAlign w:val="top"/>
          </w:tcPr>
          <w:p>
            <w:pPr>
              <w:pStyle w:val="Compact"/>
              <w:jc w:val="left"/>
            </w:pPr>
            <w:r>
              <w:t xml:space="preserve">Harm is visible but insufficiently contained.</w:t>
            </w:r>
          </w:p>
        </w:tc>
      </w:tr>
      <w:tr>
        <w:tc>
          <w:tcPr>
            <w:vAlign w:val="top"/>
          </w:tcPr>
          <w:p>
            <w:pPr>
              <w:pStyle w:val="Compact"/>
              <w:jc w:val="left"/>
            </w:pPr>
            <w:r>
              <w:t xml:space="preserve">Outdoor generator, limited outages, exhaust away from people, maintenance, fuel controls, noise limits, and transition plan.</w:t>
            </w:r>
          </w:p>
        </w:tc>
        <w:tc>
          <w:tcPr>
            <w:vAlign w:val="top"/>
          </w:tcPr>
          <w:p>
            <w:pPr>
              <w:pStyle w:val="Compact"/>
              <w:jc w:val="left"/>
            </w:pPr>
            <w:r>
              <w:t xml:space="preserve">CSV_PASS_WITH_CONTROLS.</w:t>
            </w:r>
          </w:p>
        </w:tc>
        <w:tc>
          <w:tcPr>
            <w:vAlign w:val="top"/>
          </w:tcPr>
          <w:p>
            <w:pPr>
              <w:pStyle w:val="Compact"/>
              <w:jc w:val="left"/>
            </w:pPr>
            <w:r>
              <w:t xml:space="preserve">Harm is bounded, necessary, mitigated, transparent, and reviewable.</w:t>
            </w:r>
          </w:p>
        </w:tc>
      </w:tr>
      <w:tr>
        <w:tc>
          <w:tcPr>
            <w:shd w:val="clear" w:color="auto" w:fill="F7FBFE"/>
            <w:vAlign w:val="top"/>
          </w:tcPr>
          <w:p>
            <w:pPr>
              <w:pStyle w:val="Compact"/>
              <w:jc w:val="left"/>
            </w:pPr>
            <w:r>
              <w:t xml:space="preserve">Battery/inverter feasible now.</w:t>
            </w:r>
          </w:p>
        </w:tc>
        <w:tc>
          <w:tcPr>
            <w:shd w:val="clear" w:color="auto" w:fill="F7FBFE"/>
            <w:vAlign w:val="top"/>
          </w:tcPr>
          <w:p>
            <w:pPr>
              <w:pStyle w:val="Compact"/>
              <w:jc w:val="left"/>
            </w:pPr>
            <w:r>
              <w:t xml:space="preserve">CSV_PASS; likely higher RLS.</w:t>
            </w:r>
          </w:p>
        </w:tc>
        <w:tc>
          <w:tcPr>
            <w:shd w:val="clear" w:color="auto" w:fill="F7FBFE"/>
            <w:vAlign w:val="top"/>
          </w:tcPr>
          <w:p>
            <w:pPr>
              <w:pStyle w:val="Compact"/>
              <w:jc w:val="left"/>
            </w:pPr>
            <w:r>
              <w:t xml:space="preserve">Lower containment burden.</w:t>
            </w:r>
          </w:p>
        </w:tc>
      </w:tr>
      <w:tr>
        <w:tc>
          <w:tcPr>
            <w:vAlign w:val="top"/>
          </w:tcPr>
          <w:p>
            <w:pPr>
              <w:pStyle w:val="Compact"/>
              <w:jc w:val="left"/>
            </w:pPr>
            <w:r>
              <w:t xml:space="preserve">Solar + battery + emergency diesel only.</w:t>
            </w:r>
          </w:p>
        </w:tc>
        <w:tc>
          <w:tcPr>
            <w:vAlign w:val="top"/>
          </w:tcPr>
          <w:p>
            <w:pPr>
              <w:pStyle w:val="Compact"/>
              <w:jc w:val="left"/>
            </w:pPr>
            <w:r>
              <w:t xml:space="preserve">CSV_PASS; likely stronger RLS if feasible.</w:t>
            </w:r>
          </w:p>
        </w:tc>
        <w:tc>
          <w:tcPr>
            <w:vAlign w:val="top"/>
          </w:tcPr>
          <w:p>
            <w:pPr>
              <w:pStyle w:val="Compact"/>
              <w:jc w:val="left"/>
            </w:pPr>
            <w:r>
              <w:t xml:space="preserve">Better resilience/environment balance.</w:t>
            </w:r>
          </w:p>
        </w:tc>
      </w:tr>
      <w:tr>
        <w:tc>
          <w:tcPr>
            <w:shd w:val="clear" w:color="auto" w:fill="F7FBFE"/>
            <w:vAlign w:val="top"/>
          </w:tcPr>
          <w:p>
            <w:pPr>
              <w:pStyle w:val="Compact"/>
              <w:jc w:val="left"/>
            </w:pPr>
            <w:r>
              <w:t xml:space="preserve">Closing during outages.</w:t>
            </w:r>
          </w:p>
        </w:tc>
        <w:tc>
          <w:tcPr>
            <w:shd w:val="clear" w:color="auto" w:fill="F7FBFE"/>
            <w:vAlign w:val="top"/>
          </w:tcPr>
          <w:p>
            <w:pPr>
              <w:pStyle w:val="Compact"/>
              <w:jc w:val="left"/>
            </w:pPr>
            <w:r>
              <w:t xml:space="preserve">CSV_PASS but RLS context-dependent.</w:t>
            </w:r>
          </w:p>
        </w:tc>
        <w:tc>
          <w:tcPr>
            <w:shd w:val="clear" w:color="auto" w:fill="F7FBFE"/>
            <w:vAlign w:val="top"/>
          </w:tcPr>
          <w:p>
            <w:pPr>
              <w:pStyle w:val="Compact"/>
              <w:jc w:val="left"/>
            </w:pPr>
            <w:r>
              <w:t xml:space="preserve">Avoids smoke but may harm livelihood, waste food, and reduce community function.</w:t>
            </w:r>
          </w:p>
        </w:tc>
      </w:tr>
    </w:tbl>
    <w:p>
      <w:pPr>
        <w:pStyle w:val="BodyText"/>
      </w:pPr>
      <w:r>
        <w:t xml:space="preserve">Canonical lesson:</w:t>
      </w:r>
    </w:p>
    <w:p>
      <w:pPr>
        <w:pStyle w:val="BodyText"/>
      </w:pPr>
      <w:r>
        <w:t xml:space="preserve">CSV is not “diesel bad, therefore fail.” CSV is “diesel carries a containment burden; if necessary, bounded, mitigated, transparent, monitored, and transitional, it may conditionally pass and be ranked against cleaner options by RLS.”</w:t>
      </w:r>
    </w:p>
    <w:bookmarkEnd w:id="164"/>
    <w:bookmarkStart w:id="165" w:name="X7bf1ff993c8da6e1606c8f13fa310d01b89956e"/>
    <w:p>
      <w:pPr>
        <w:pStyle w:val="Heading2"/>
      </w:pPr>
      <w:r>
        <w:rPr>
          <w:bCs/>
          <w:b/>
        </w:rPr>
        <w:t xml:space="preserve">9.10 RLS Relationship (Normative)</w:t>
      </w:r>
    </w:p>
    <w:p>
      <w:pPr>
        <w:pStyle w:val="FirstParagraph"/>
      </w:pPr>
      <w:r>
        <w:t xml:space="preserve">RLS ranks only options that survive RG claim support, the Rights Floor (formal NCRC), TRC, and CSV. RLS SHOULD penalize residual harms carried from CSV, including pollution, dependency, lock-in risk, ecological burden, social trust loss, and meaning/agency degradation.</w:t>
      </w:r>
    </w:p>
    <w:p>
      <w:pPr>
        <w:pStyle w:val="BodyText"/>
      </w:pPr>
      <w:r>
        <w:t xml:space="preserve">RLS MUST NOT rescue CSV failure. CSV protects the doorway into ranking; RLS ranks what may legitimately enter.</w:t>
      </w:r>
    </w:p>
    <w:bookmarkEnd w:id="165"/>
    <w:bookmarkStart w:id="166" w:name="X03c31f72cdb2b6f1dfc6370104861bcdc56ef91"/>
    <w:p>
      <w:pPr>
        <w:pStyle w:val="Heading2"/>
      </w:pPr>
      <w:r>
        <w:rPr>
          <w:bCs/>
          <w:b/>
        </w:rPr>
        <w:t xml:space="preserve">9.11 CSV Parameter Governance and Escalation (Normative)</w:t>
      </w:r>
    </w:p>
    <w:p>
      <w:pPr>
        <w:pStyle w:val="FirstParagraph"/>
      </w:pPr>
      <w:r>
        <w:t xml:space="preserve">CSV thresholds, diagnostic concern levels, necessity-corridor judgments, UCI/HOI trigger thresholds, and structural-viability sufficiency standards MUST be recorded in the PCC when material. Tier 3 runs SHOULD include sensitivity analysis over near-binding CSV determinations.</w:t>
      </w:r>
    </w:p>
    <w:p>
      <w:pPr>
        <w:pStyle w:val="BodyText"/>
      </w:pPr>
      <w:r>
        <w:t xml:space="preserve">If no option passes CSV, the run MUST NOT pretend a good option exists. Required actions include option redesign, additional evidence gathering, transition planning, escalation to a higher governance tier, emergency provisional protocol if genuinely necessary, or refusal of deterministic selection.</w:t>
      </w:r>
    </w:p>
    <w:p>
      <w:pPr>
        <w:pStyle w:val="BodyText"/>
      </w:pPr>
      <w:r>
        <w:t xml:space="preserve">CSV does not override NCRC or TRC. It operates after admissibility and before residual welfare ranking.</w:t>
      </w:r>
    </w:p>
    <w:bookmarkEnd w:id="166"/>
    <w:bookmarkEnd w:id="167"/>
    <w:bookmarkStart w:id="188" w:name="Xe8fb48709839cd24feb210d04ec47c6cfd911e2"/>
    <w:p>
      <w:pPr>
        <w:pStyle w:val="Heading1"/>
      </w:pPr>
      <w:bookmarkStart w:id="775" w:name="mg_toc_011"/>
      <w:r>
        <w:rPr>
          <w:bCs/>
          <w:b/>
        </w:rPr>
        <w:t xml:space="preserve">SECTION 10: OPTIMIZATION LAYER: RIPPLELOGIC SCORE (RLS)</w:t>
      </w:r>
      <w:bookmarkEnd w:id="775"/>
    </w:p>
    <w:bookmarkStart w:id="168" w:name="X35897488dbf3b30272cc4e41c1e963595c07c97"/>
    <w:p>
      <w:pPr>
        <w:pStyle w:val="Heading2"/>
      </w:pPr>
      <w:r>
        <w:rPr>
          <w:bCs/>
          <w:b/>
        </w:rPr>
        <w:t xml:space="preserve">10.0 Purpose and Scope (Normative)</w:t>
      </w:r>
    </w:p>
    <w:p>
      <w:pPr>
        <w:pStyle w:val="FirstParagraph"/>
      </w:pPr>
      <w:r>
        <w:t xml:space="preserve">RLS ranks selectable options by expected welfare improvement across unions and dimensions, after ripple propagation and saturation, under declared weights and applicability mask rules.</w:t>
      </w:r>
    </w:p>
    <w:p>
      <w:pPr>
        <w:pStyle w:val="BodyText"/>
      </w:pPr>
      <w:r>
        <w:t xml:space="preserve">RLS MUST NEVER override NCRC, TRC, or CSV. It operates only on selectable options A_sel.</w:t>
      </w:r>
    </w:p>
    <w:bookmarkEnd w:id="168"/>
    <w:bookmarkStart w:id="169" w:name="Xf05ebe2bd824a678401837561754376d27209dd"/>
    <w:p>
      <w:pPr>
        <w:pStyle w:val="Heading2"/>
      </w:pPr>
      <w:r>
        <w:rPr>
          <w:bCs/>
          <w:b/>
        </w:rPr>
        <w:t xml:space="preserve">10.1 Normalized RLS Definition (Normative)</w:t>
      </w:r>
    </w:p>
    <w:p>
      <w:pPr>
        <w:pStyle w:val="FirstParagraph"/>
      </w:pPr>
      <w:r>
        <w:t xml:space="preserve">Define the effective residual cell weight:</w:t>
      </w:r>
    </w:p>
    <w:p>
      <w:pPr>
        <w:pStyle w:val="BodyText"/>
      </w:pPr>
      <w:r>
        <w:t xml:space="preserve">q(u,d) = w_u · v_d · m(u,d) · κ(u,d)</w:t>
      </w:r>
    </w:p>
    <w:p>
      <w:pPr>
        <w:pStyle w:val="BodyText"/>
      </w:pPr>
      <w:r>
        <w:rPr>
          <w:bCs/>
          <w:b/>
        </w:rPr>
        <w:t xml:space="preserve">Weight-separability assumption (Normative disclosure).</w:t>
      </w:r>
      <w:r>
        <w:t xml:space="preserve"> </w:t>
      </w:r>
      <w:r>
        <w:t xml:space="preserve">The reference construction factorizes scope prominence and dimension prominence through</w:t>
      </w:r>
      <w:r>
        <w:t xml:space="preserve"> </w:t>
      </w:r>
      <w:r>
        <w:rPr>
          <w:rStyle w:val="VerbatimChar"/>
        </w:rPr>
        <w:t xml:space="preserve">w_u · v_d</w:t>
      </w:r>
      <w:r>
        <w:t xml:space="preserve">, with</w:t>
      </w:r>
      <w:r>
        <w:t xml:space="preserve"> </w:t>
      </w:r>
      <w:r>
        <w:rPr>
          <w:rStyle w:val="VerbatimChar"/>
        </w:rPr>
        <w:t xml:space="preserve">κ(u,d)</w:t>
      </w:r>
      <w:r>
        <w:t xml:space="preserve"> </w:t>
      </w:r>
      <w:r>
        <w:t xml:space="preserve">available only as a bounded, declared interaction correction. This is a transparent model assumption, not an empirically validated claim that scope and dimension importance are universally separable. Tier 3 and decision-material or high-stakes Tier 2 runs MUST test a plausible non-separable cell-weight matrix or bounded interaction alternative whenever scope-by-dimension interaction could materially change ranking or decisiveness. If the result changes, set the applicable sensitivity/review state and treat deterministic selection as unresolved until governed review is completed.</w:t>
      </w:r>
    </w:p>
    <w:p>
      <w:pPr>
        <w:pStyle w:val="BodyText"/>
      </w:pPr>
      <w:r>
        <w:t xml:space="preserve">and the active effective mass:</w:t>
      </w:r>
    </w:p>
    <w:p>
      <w:pPr>
        <w:pStyle w:val="BodyText"/>
      </w:pPr>
      <w:r>
        <w:t xml:space="preserve">Q = Σ_u Σ_d q(u,d)</w:t>
      </w:r>
    </w:p>
    <w:p>
      <w:pPr>
        <w:pStyle w:val="BodyText"/>
      </w:pPr>
      <w:r>
        <w:t xml:space="preserve">For Q &gt; 0:</w:t>
      </w:r>
    </w:p>
    <w:p>
      <w:pPr>
        <w:pStyle w:val="BodyText"/>
      </w:pPr>
      <w:r>
        <w:t xml:space="preserve">RLS(a) = [Σ_u Σ_d q(u,d) · I_prop_welfare(u,d,a)] / Q</w:t>
      </w:r>
    </w:p>
    <w:p>
      <w:pPr>
        <w:pStyle w:val="BodyText"/>
      </w:pPr>
      <w:r>
        <w:t>If Q = 0, RLS is undefined. Return RLS_NO_ACTIVE_MASS, repair the mask/weight declaration, narrow the claim, or refuse deterministic ranking; zero MUST NOT be imputed.</w:t>
      </w:r>
    </w:p>
    <w:p>
      <w:pPr>
        <w:pStyle w:val="BodyText"/>
      </w:pPr>
      <w:r>
        <w:t xml:space="preserve">Constructed-index caution (Normative claim boundary). RLS is a bounded, governance-defined index over declared, baseline-relative welfare-impact judgments. It is not a natural welfare unit, an interpersonal utility meter, empirical validation of the 7×7 structure, or a scalar proof of moral truth. Its arithmetic is authoritative only within the declared model and selectable set, with evidence status, uncertainty, weighting authority, subgroup visibility, and sensitivity disclosed.</w:t>
      </w:r>
    </w:p>
    <w:p>
      <w:pPr>
        <w:pStyle w:val="BodyText"/>
      </w:pPr>
      <w:r>
        <w:t xml:space="preserve">If Q = 0, RLS is undefined and the run MUST return RLS_NO_ACTIVE_MASS, narrow the claim, repair the mask/weight declaration, or refuse deterministic ranking.</w:t>
      </w:r>
    </w:p>
    <w:p>
      <w:pPr>
        <w:pStyle w:val="BodyText"/>
      </w:pPr>
      <w:r>
        <w:t xml:space="preserve">Where:</w:t>
      </w:r>
    </w:p>
    <w:p>
      <w:pPr>
        <w:numPr>
          <w:ilvl w:val="0"/>
          <w:numId w:val="1099"/>
        </w:numPr>
        <w:pStyle w:val="Compact"/>
      </w:pPr>
      <w:r>
        <w:t xml:space="preserve">w_u are union weights (HDW-governed; Section 13; Section 13.1 constitutional floors controlling)</w:t>
      </w:r>
    </w:p>
    <w:p>
      <w:pPr>
        <w:numPr>
          <w:ilvl w:val="0"/>
          <w:numId w:val="1099"/>
        </w:numPr>
        <w:pStyle w:val="Compact"/>
      </w:pPr>
      <w:r>
        <w:t xml:space="preserve">v_d are dimension weights (HDW-governed; Section 13; Section 13.1 constitutional floors controlling)</w:t>
      </w:r>
    </w:p>
    <w:p>
      <w:pPr>
        <w:numPr>
          <w:ilvl w:val="0"/>
          <w:numId w:val="1099"/>
        </w:numPr>
        <w:pStyle w:val="Compact"/>
      </w:pPr>
      <w:r>
        <w:t xml:space="preserve">m(u,d) is the applicability mask for RLS aggregation only</w:t>
      </w:r>
    </w:p>
    <w:p>
      <w:pPr>
        <w:numPr>
          <w:ilvl w:val="0"/>
          <w:numId w:val="1099"/>
        </w:numPr>
        <w:pStyle w:val="Compact"/>
      </w:pPr>
      <w:r>
        <w:t xml:space="preserve">κ(u,d) is a declared positive cell multiplier, default 1</w:t>
      </w:r>
    </w:p>
    <w:p>
      <w:pPr>
        <w:numPr>
          <w:ilvl w:val="0"/>
          <w:numId w:val="1099"/>
        </w:numPr>
        <w:pStyle w:val="Compact"/>
      </w:pPr>
      <w:r>
        <w:t xml:space="preserve">I_prop_welfare(u,d,a) is the post-propagation, post-saturation welfare impact</w:t>
      </w:r>
    </w:p>
    <w:p>
      <w:pPr>
        <w:pStyle w:val="FirstParagraph"/>
      </w:pPr>
      <w:r>
        <w:t xml:space="preserve">Normalization by Q preserves the public interpretation of RLS within [-1,+1] when cell impacts lie within [-1,+1], including when masks or non-default κ values change the active effective mass.</w:t>
      </w:r>
    </w:p>
    <w:p>
      <w:pPr>
        <w:pStyle w:val="BodyText"/>
      </w:pPr>
      <w:r>
        <w:t xml:space="preserve">κ(u,d) governance rule (Normative). The default is κ(u,d) = 1. Non-default κ(u,d) values are permitted only for pre-declared, governance-approved cell-level emphasis that does not alter admissibility semantics. Unless a stricter charter rule is declared, κ(u,d) MUST remain positive and bounded within [0.5,1.5]. A non-default κ(u,d) MUST NOT reverse sign, erase or dilute rights-covered or catastrophe-relevant harm, or function as a back-door mask, rights-floor rewrite, or prominence override. Tier 3 runs using non-default κ(u,d) MUST record justification, authorized source, affected cells, Q, and sensitivity reruns in the PCC.</w:t>
      </w:r>
    </w:p>
    <w:p>
      <w:pPr>
        <w:pStyle w:val="BodyText"/>
      </w:pPr>
      <w:r>
        <w:t xml:space="preserve">Local-use note (Informative). Section 10.2A defines a Practical Local Scope Scoring profile. PLSS preserves the same normalized equation and constructs w_u within the residual mass above constitutional floors.</w:t>
      </w:r>
    </w:p>
    <w:bookmarkEnd w:id="169"/>
    <w:bookmarkStart w:id="170" w:name="X72a6feb00ef597d48589b6453d23fec1fbc4557"/>
    <w:p>
      <w:pPr>
        <w:pStyle w:val="Heading2"/>
      </w:pPr>
      <w:r>
        <w:rPr>
          <w:bCs/>
          <w:b/>
        </w:rPr>
        <w:t xml:space="preserve">10.2 Applicability Mask Rules (Normative)</w:t>
      </w:r>
    </w:p>
    <w:p>
      <w:pPr>
        <w:pStyle w:val="FirstParagraph"/>
      </w:pPr>
      <w:r>
        <w:t xml:space="preserve">Masking exists to avoid meaningless aggregation in some contexts, but is a primary gaming vector. Therefore:</w:t>
      </w:r>
    </w:p>
    <w:p>
      <w:pPr>
        <w:pStyle w:val="BodyText"/>
      </w:pPr>
      <w:r>
        <w:t xml:space="preserve">Definition (Normative). Masking means setting m(u,d)=0, which affects RLS aggregation only. Omission/exclusion means failing to compute, disclose, or evaluate a required cell for NCRC, TRC, or CSV. Masking SHALL NOT be used as a substitute for omission rules.</w:t>
      </w:r>
    </w:p>
    <w:p>
      <w:pPr>
        <w:pStyle w:val="BodyText"/>
      </w:pPr>
      <w:r>
        <w:t xml:space="preserve">Masking affects RLS aggregation only. Whether a cell must be constructed is determined by active-cell rules (Section 10.3) and tier coverage requirements, not by masking. Accordingly, masking MUST NOT be used to skip or modify:</w:t>
      </w:r>
    </w:p>
    <w:p>
      <w:pPr>
        <w:numPr>
          <w:ilvl w:val="0"/>
          <w:numId w:val="1100"/>
        </w:numPr>
        <w:pStyle w:val="Compact"/>
      </w:pPr>
      <w:r>
        <w:t xml:space="preserve">Impact construction (Section 5),</w:t>
      </w:r>
    </w:p>
    <w:p>
      <w:pPr>
        <w:numPr>
          <w:ilvl w:val="0"/>
          <w:numId w:val="1101"/>
        </w:numPr>
        <w:pStyle w:val="Compact"/>
      </w:pPr>
      <w:r>
        <w:t xml:space="preserve">Propagation (Section 6),</w:t>
      </w:r>
    </w:p>
    <w:p>
      <w:pPr>
        <w:numPr>
          <w:ilvl w:val="0"/>
          <w:numId w:val="1102"/>
        </w:numPr>
        <w:pStyle w:val="Compact"/>
      </w:pPr>
      <w:r>
        <w:t xml:space="preserve">NCRC checks (Section 7),</w:t>
      </w:r>
    </w:p>
    <w:p>
      <w:pPr>
        <w:numPr>
          <w:ilvl w:val="0"/>
          <w:numId w:val="1103"/>
        </w:numPr>
        <w:pStyle w:val="Compact"/>
      </w:pPr>
      <w:r>
        <w:t xml:space="preserve">TRC loss and CVaR computation (Section 8),</w:t>
      </w:r>
    </w:p>
    <w:p>
      <w:pPr>
        <w:numPr>
          <w:ilvl w:val="0"/>
          <w:numId w:val="1104"/>
        </w:numPr>
        <w:pStyle w:val="Compact"/>
      </w:pPr>
      <w:r>
        <w:t xml:space="preserve">Or containment evaluation (Section 9).</w:t>
      </w:r>
    </w:p>
    <w:p>
      <w:pPr>
        <w:pStyle w:val="FirstParagraph"/>
      </w:pPr>
      <w:r>
        <w:t xml:space="preserve">Non-maskable cells (MUST be unmasked):</w:t>
      </w:r>
    </w:p>
    <w:p>
      <w:pPr>
        <w:numPr>
          <w:ilvl w:val="0"/>
          <w:numId w:val="1105"/>
        </w:numPr>
        <w:pStyle w:val="Compact"/>
      </w:pPr>
      <w:r>
        <w:t xml:space="preserve">All rights-covered cells in any C_r</w:t>
      </w:r>
    </w:p>
    <w:p>
      <w:pPr>
        <w:numPr>
          <w:ilvl w:val="0"/>
          <w:numId w:val="1106"/>
        </w:numPr>
        <w:pStyle w:val="Compact"/>
      </w:pPr>
      <w:r>
        <w:t xml:space="preserve">All catastrophe cells in C_cat</w:t>
      </w:r>
    </w:p>
    <w:p>
      <w:pPr>
        <w:pStyle w:val="FirstParagraph"/>
      </w:pPr>
      <w:r>
        <w:t xml:space="preserve">Non-maskable persistence rule (Normative). Rights-covered cells remain non-maskable even after NCRC admissibility filtering. This prevents post-gate dilution and preserves rights-salience when ranking admissible options, especially under adversarial pressure and Goodhart dynamics.</w:t>
      </w:r>
    </w:p>
    <w:p>
      <w:pPr>
        <w:pStyle w:val="BodyText"/>
      </w:pPr>
      <w:r>
        <w:t xml:space="preserve">Rationale (Informative). The admissibility gates prevent selecting options that violate non-compensatory rights floors, but they do not by themselves prevent near-miss normalization among admissible options. Keeping rights and catastrophe cells in RLS aggregation preserves continuous optimization pressure toward larger safety margins, reduces proxy gaming pressure (for example, satisfying a threshold while degrading adjacent rights conditions), and makes rights and tail-risk performance legible for governance review and accountability.</w:t>
      </w:r>
    </w:p>
    <w:p>
      <w:pPr>
        <w:pStyle w:val="BodyText"/>
      </w:pPr>
      <w:r>
        <w:t xml:space="preserve">Baseline consistency for non-maskable gate cells (Normative). For any cell in C_r or C_cat that remains included in RLS under the non-maskable persistence rule, the welfare-stream baseline SHALL also use the gate floor-reference baseline unless a governed dual-baseline method is explicitly declared. Where a dual-baseline method is declared, the floor-reference value SHALL remain the controlling value for gate-consistency interpretation and validator conformance.</w:t>
      </w:r>
    </w:p>
    <w:p>
      <w:pPr>
        <w:pStyle w:val="BodyText"/>
      </w:pPr>
      <w:r>
        <w:rPr>
          <w:bCs/>
          <w:b/>
        </w:rPr>
        <w:t xml:space="preserve">Nonlinear baseline-sensitivity boundary (Normative clarification).</w:t>
      </w:r>
      <w:r>
        <w:t xml:space="preserve"> </w:t>
      </w:r>
      <w:r>
        <w:t xml:space="preserve">Because cell impacts are saturated nonlinearly, shifting from STATUS_QUO to FLOOR_REFERENCE is not guaranteed to add a rank-neutral constant across options. RLS values for non-maskable cells using FLOOR_REFERENCE therefore describe movement relative to the rights-safe or safe-corridor reference, not ordinary net change from status quo. Tier 3 and high-stakes Tier 2 runs MUST report a governed status-quo counterfactual for ranking whenever a defensible status-quo welfare baseline exists and the baseline choice could alter ranking or decisiveness. If ordering changes, the run is</w:t>
      </w:r>
      <w:r>
        <w:t xml:space="preserve"> </w:t>
      </w:r>
      <w:r>
        <w:rPr>
          <w:rStyle w:val="VerbatimChar"/>
        </w:rPr>
        <w:t xml:space="preserve">BASELINE_RANK_SENSITIVE</w:t>
      </w:r>
      <w:r>
        <w:t xml:space="preserve">; the floor-reference result remains controlling for gate consistency, but deterministic residual selection MUST be narrowed, escalated, or routed to accountable authority rather than presented as baseline-invariant.</w:t>
      </w:r>
    </w:p>
    <w:p>
      <w:pPr>
        <w:numPr>
          <w:ilvl w:val="0"/>
          <w:numId w:val="1107"/>
        </w:numPr>
        <w:pStyle w:val="Compact"/>
      </w:pPr>
      <w:r>
        <w:t xml:space="preserve">Any cells mandated by minimum governance coverage for the run (declared in PCC; default includes at least U₁, primary affected unions, and U₇ Environment when environmental relevance exists)</w:t>
      </w:r>
    </w:p>
    <w:p>
      <w:pPr>
        <w:pStyle w:val="FirstParagraph"/>
      </w:pPr>
      <w:r>
        <w:t xml:space="preserve">Audit rule: If any non-maskable cell is masked, set audit_flag RIGHTS_CELL_MASKED_INVALID (or CATASTROPHE_CELL_MASKED_INVALID) and PCC is INVALID.</w:t>
      </w:r>
    </w:p>
    <w:bookmarkEnd w:id="170"/>
    <w:bookmarkStart w:id="171" w:name="Xd67b434555a5668ccfaa84f81f02666fc1846bb"/>
    <w:p>
      <w:pPr>
        <w:pStyle w:val="Heading2"/>
      </w:pPr>
      <w:r>
        <w:rPr>
          <w:bCs/>
          <w:b/>
        </w:rPr>
        <w:t xml:space="preserve">10.2A Practical Local Scope Scoring (PLSS) (Normative)</w:t>
      </w:r>
    </w:p>
    <w:p>
      <w:pPr>
        <w:pStyle w:val="FirstParagraph"/>
      </w:pPr>
      <w:r>
        <w:t xml:space="preserve">Purpose. PLSS specifies a canon-consistent local-use profile for RippleLogic Score (RLS) when a decision is primarily local in its direct effects, but broader scopes remain morally relevant as rights, tail-risk, and containment guardrails. PLSS allows routine decisions to concentrate most residual welfare-ranking attention on the scopes that are actually live in the decision, without weakening NCRC, TRC, CSV, non-maskable cell rules, or Section 13 constitutional weight floors.</w:t>
      </w:r>
    </w:p>
    <w:p>
      <w:pPr>
        <w:pStyle w:val="BodyText"/>
      </w:pPr>
      <w:r>
        <w:t xml:space="preserve">Interpretive anchor (Informative). Union Scopes are not a closed list of who matters. They are the stable scopes of aggregation and accountability used by the framework. Stakeholder instances feed the scopes; the scopes ensure that impacts do not disappear.</w:t>
      </w:r>
    </w:p>
    <w:p>
      <w:pPr>
        <w:pStyle w:val="BodyText"/>
      </w:pPr>
      <w:r>
        <w:t xml:space="preserve">Terminology lock (Informative). LSS names the upstream stakeholder object, PLSS names the residual weight-construction procedure used within RLS, and FLGG - Focus Local, Guard Global - names the governing design principle.</w:t>
      </w:r>
    </w:p>
    <w:bookmarkEnd w:id="171"/>
    <w:bookmarkStart w:id="172" w:name="X7970fd8bdff007c1b86841dc2d2ed98c9e43988"/>
    <w:p>
      <w:pPr>
        <w:pStyle w:val="Heading2"/>
      </w:pPr>
      <w:r>
        <w:rPr>
          <w:bCs/>
          <w:b/>
        </w:rPr>
        <w:t xml:space="preserve">10.2A.0 Attention-Safety Separation Principle (Normative, architecturally grounded). PLSS operates only within the residual welfare-ranking layer. Admissibility under RF/NCRC, TRC, and CSV SHALL remain invariant under any valid PLSS weight construction satisfying Sections 10.2A.4-10.2A.6. Therefore, a change in PLSS prominence declarations or PLSS weight allocation SHALL NOT convert an inadmissible option into an admissible option. This principle follows from the lexicographic separation of admissibility gates from the welfare-ranking layer.</w:t>
      </w:r>
    </w:p>
    <w:p>
      <w:pPr>
        <w:pStyle w:val="FirstParagraph"/>
      </w:pPr>
      <w:r>
        <w:t xml:space="preserve">PLSS does not determine who matters; it determines how residual welfare-ranking attention is distributed after universal admissibility conditions have already been imposed.</w:t>
      </w:r>
    </w:p>
    <w:bookmarkEnd w:id="172"/>
    <w:bookmarkStart w:id="173" w:name="X1b4a67d50a5925a03f016f8615be153d112482e"/>
    <w:p>
      <w:pPr>
        <w:pStyle w:val="Heading2"/>
      </w:pPr>
      <w:r>
        <w:rPr>
          <w:bCs/>
          <w:b/>
        </w:rPr>
        <w:t xml:space="preserve">10.2A.1 Relation to existing gates (Normative)</w:t>
      </w:r>
    </w:p>
    <w:p>
      <w:pPr>
        <w:pStyle w:val="FirstParagraph"/>
      </w:pPr>
      <w:r>
        <w:t xml:space="preserve">PLSS applies only to welfare ranking within Section 10. It SHALL NOT alter:</w:t>
      </w:r>
    </w:p>
    <w:p>
      <w:pPr>
        <w:pStyle w:val="BodyText"/>
      </w:pPr>
      <w:r>
        <w:t xml:space="preserve">• NCRC evaluation over the required rights coverage sets C_r,</w:t>
      </w:r>
    </w:p>
    <w:p>
      <w:pPr>
        <w:pStyle w:val="BodyText"/>
      </w:pPr>
      <w:r>
        <w:t xml:space="preserve">• TRC evaluation over the catastrophe cell set C_cat,</w:t>
      </w:r>
    </w:p>
    <w:p>
      <w:pPr>
        <w:pStyle w:val="BodyText"/>
      </w:pPr>
      <w:r>
        <w:t xml:space="preserve">• Containment requirements under Section 9,</w:t>
      </w:r>
    </w:p>
    <w:p>
      <w:pPr>
        <w:pStyle w:val="BodyText"/>
      </w:pPr>
      <w:r>
        <w:t xml:space="preserve">• non-maskable cell requirements under Section 10.2,</w:t>
      </w:r>
    </w:p>
    <w:p>
      <w:pPr>
        <w:pStyle w:val="BodyText"/>
      </w:pPr>
      <w:r>
        <w:t xml:space="preserve">• constitutional weight floors defined in Section 13.1.</w:t>
      </w:r>
    </w:p>
    <w:p>
      <w:pPr>
        <w:pStyle w:val="BodyText"/>
      </w:pPr>
      <w:r>
        <w:t xml:space="preserve">A PLSS run therefore remains:</w:t>
      </w:r>
    </w:p>
    <w:p>
      <w:pPr>
        <w:pStyle w:val="BodyText"/>
      </w:pPr>
      <w:r>
        <w:t xml:space="preserve">• full-scope for admissibility, where required by RF/NCRC, TRC, and CSV,</w:t>
      </w:r>
    </w:p>
    <w:p>
      <w:pPr>
        <w:pStyle w:val="BodyText"/>
      </w:pPr>
      <w:r>
        <w:t xml:space="preserve">• local-scope only in residual welfare emphasis, after admissibility has been preserved.</w:t>
      </w:r>
    </w:p>
    <w:p>
      <w:pPr>
        <w:pStyle w:val="BodyText"/>
      </w:pPr>
      <w:r>
        <w:t xml:space="preserve">Structural diagnostic preservation under PLSS (Normative). PLSS SHALL NOT down-weight, omit, mask, or defer structural diagnostic evidence required for Containment. If a local-scope run uses PLSS but plausible containment-relevant UCI/HOI, Adaptive Reserve, lock-in, hollowing, governance-spillover, ecological-spillover, or institutional-capacity evidence exists outside the prominent scopes, that evidence remains admissibility-relevant. The run SHALL escalate, broaden scrutiny, or refuse the stronger local-scope claim when containment-relevant structural evidence is unavailable or unresolved.</w:t>
      </w:r>
    </w:p>
    <w:bookmarkEnd w:id="173"/>
    <w:bookmarkStart w:id="174" w:name="Xc20dac4a7688965022bb9be08bc783477fec447"/>
    <w:p>
      <w:pPr>
        <w:pStyle w:val="Heading2"/>
      </w:pPr>
      <w:r>
        <w:rPr>
          <w:bCs/>
          <w:b/>
        </w:rPr>
        <w:t xml:space="preserve">10.2A.2 Prominent scopes and guardrail scopes (Normative)</w:t>
      </w:r>
    </w:p>
    <w:p>
      <w:pPr>
        <w:pStyle w:val="FirstParagraph"/>
      </w:pPr>
      <w:r>
        <w:t xml:space="preserve">For a declared run, each operational Union Scope u ∈ {U1, …, U7} may be classified in the PCC as one of the following:</w:t>
      </w:r>
    </w:p>
    <w:p>
      <w:pPr>
        <w:pStyle w:val="BodyText"/>
      </w:pPr>
      <w:r>
        <w:t xml:space="preserve">• Prominent scope: a scope whose direct or near-field ripple is substantial enough that it should receive meaningful residual welfare weight in the current run.</w:t>
      </w:r>
    </w:p>
    <w:p>
      <w:pPr>
        <w:pStyle w:val="BodyText"/>
      </w:pPr>
      <w:r>
        <w:t xml:space="preserve">• Guardrail scope: a scope whose direct ripple in the current run is limited, but which remains protected by constitutional floor weight and by admissibility constraints.</w:t>
      </w:r>
    </w:p>
    <w:p>
      <w:pPr>
        <w:pStyle w:val="BodyText"/>
      </w:pPr>
      <w:r>
        <w:t xml:space="preserve">Guardrail scope classification SHALL NOT be interpreted as moral irrelevance. A guardrail scope may carry little or no residual weight in a local run, but it remains:</w:t>
      </w:r>
    </w:p>
    <w:p>
      <w:pPr>
        <w:pStyle w:val="BodyText"/>
      </w:pPr>
      <w:r>
        <w:t xml:space="preserve">• constitutionally represented through Section 13 floors,</w:t>
      </w:r>
    </w:p>
    <w:p>
      <w:pPr>
        <w:pStyle w:val="BodyText"/>
      </w:pPr>
      <w:r>
        <w:t xml:space="preserve">• admissibility-relevant where rights, catastrophe, or containment conditions apply.</w:t>
      </w:r>
    </w:p>
    <w:bookmarkEnd w:id="174"/>
    <w:bookmarkStart w:id="175" w:name="X732f7fc0955f68e9a5dad16d218bfb181f357dd"/>
    <w:p>
      <w:pPr>
        <w:pStyle w:val="Heading2"/>
      </w:pPr>
      <w:r>
        <w:rPr>
          <w:bCs/>
          <w:b/>
        </w:rPr>
        <w:t xml:space="preserve">10.2A.3 Representation rule: instances first, scopes second (Normative)</w:t>
      </w:r>
    </w:p>
    <w:p>
      <w:pPr>
        <w:pStyle w:val="FirstParagraph"/>
      </w:pPr>
      <w:r>
        <w:t xml:space="preserve">PLSS SHALL preserve the Section 2.2A and Section 5 representation architecture:</w:t>
      </w:r>
    </w:p>
    <w:p>
      <w:pPr>
        <w:pStyle w:val="BodyText"/>
      </w:pPr>
      <w:r>
        <w:t xml:space="preserve">• stakeholder discovery is performed at the instance level,</w:t>
      </w:r>
    </w:p>
    <w:p>
      <w:pPr>
        <w:pStyle w:val="BodyText"/>
      </w:pPr>
      <w:r>
        <w:t xml:space="preserve">• instances are mapped to one or more Union Scopes,</w:t>
      </w:r>
    </w:p>
    <w:p>
      <w:pPr>
        <w:pStyle w:val="BodyText"/>
      </w:pPr>
      <w:r>
        <w:t xml:space="preserve">• impacts are aggregated within each scope row,</w:t>
      </w:r>
    </w:p>
    <w:p>
      <w:pPr>
        <w:pStyle w:val="BodyText"/>
      </w:pPr>
      <w:r>
        <w:t xml:space="preserve">• scope rows are then combined by RLS.</w:t>
      </w:r>
    </w:p>
    <w:p>
      <w:pPr>
        <w:pStyle w:val="BodyText"/>
      </w:pPr>
      <w:r>
        <w:t xml:space="preserve">Let I_u denote the declared stakeholder instance set mapped to scope u.</w:t>
      </w:r>
    </w:p>
    <w:p>
      <w:pPr>
        <w:pStyle w:val="BodyText"/>
      </w:pPr>
      <w:r>
        <w:t xml:space="preserve">For non-rights scoring, the default aggregation rule remains the canonical population-weighted mean across affected instances:</w:t>
      </w:r>
    </w:p>
    <w:p>
      <w:pPr>
        <w:pStyle w:val="BodyText"/>
      </w:pPr>
      <w:r>
        <w:t xml:space="preserve">I_agg(u,d,a) = [ Σ_(i ∈ I_u) π_i · I_i(u,d,a) ] / [ Σ_(i ∈ I_u) π_i ]</w:t>
      </w:r>
    </w:p>
    <w:p>
      <w:pPr>
        <w:pStyle w:val="BodyText"/>
      </w:pPr>
      <w:r>
        <w:t xml:space="preserve">where π_i is the declared aggregation weight for instance i, for example population share, exposure share, or another declared ReachBasis-consistent basis.</w:t>
      </w:r>
    </w:p>
    <w:p>
      <w:pPr>
        <w:pStyle w:val="BodyText"/>
      </w:pPr>
      <w:r>
        <w:t xml:space="preserve">For rights-covered cells, aggregation SHALL NOT average away the worst-off subgroup. Rights evaluation remains governed by the worst-off subgroup operator:</w:t>
      </w:r>
    </w:p>
    <w:p>
      <w:pPr>
        <w:pStyle w:val="BodyText"/>
      </w:pPr>
      <w:r>
        <w:t xml:space="preserve">I_rights(u,d,a) = min_(g ∈ G_(u,d)) I_g(u,d,a)</w:t>
      </w:r>
    </w:p>
    <w:p>
      <w:pPr>
        <w:pStyle w:val="BodyText"/>
      </w:pPr>
      <w:r>
        <w:t xml:space="preserve">This subsection does not change Section 7 semantics.</w:t>
      </w:r>
    </w:p>
    <w:bookmarkEnd w:id="175"/>
    <w:bookmarkStart w:id="176" w:name="X80225ee572edb911210c7e89859ee12ac1b5567"/>
    <w:p>
      <w:pPr>
        <w:pStyle w:val="Heading2"/>
      </w:pPr>
      <w:r>
        <w:rPr>
          <w:bCs/>
          <w:b/>
        </w:rPr>
        <w:t xml:space="preserve">10.2A.4 Local prominence signal and residual allocation rule (Normative)</w:t>
      </w:r>
    </w:p>
    <w:p>
      <w:pPr>
        <w:pStyle w:val="FirstParagraph"/>
      </w:pPr>
      <w:r>
        <w:t xml:space="preserve">PLSS introduces a declared local prominence signal q_u for each scope u, used only to distribute the residual union-weight mass that remains after constitutional floors.</w:t>
      </w:r>
    </w:p>
    <w:p>
      <w:pPr>
        <w:pStyle w:val="BodyText"/>
      </w:pPr>
      <w:r>
        <w:t xml:space="preserve">Each q_u SHALL be recorded in the PCC and SHALL be justified by reference to the current decision context. A recommended default construction is a declared combination of:</w:t>
      </w:r>
    </w:p>
    <w:p>
      <w:pPr>
        <w:pStyle w:val="BodyText"/>
      </w:pPr>
      <w:r>
        <w:t xml:space="preserve">• expected magnitude of ripple in scope u,</w:t>
      </w:r>
    </w:p>
    <w:p>
      <w:pPr>
        <w:pStyle w:val="BodyText"/>
      </w:pPr>
      <w:r>
        <w:t xml:space="preserve">• probability that the effect materializes,</w:t>
      </w:r>
    </w:p>
    <w:p>
      <w:pPr>
        <w:pStyle w:val="BodyText"/>
      </w:pPr>
      <w:r>
        <w:t xml:space="preserve">• temporal persistence or duration,</w:t>
      </w:r>
    </w:p>
    <w:p>
      <w:pPr>
        <w:pStyle w:val="BodyText"/>
      </w:pPr>
      <w:r>
        <w:t xml:space="preserve">• propagation potential beyond immediate contact.</w:t>
      </w:r>
    </w:p>
    <w:p>
      <w:pPr>
        <w:pStyle w:val="BodyText"/>
      </w:pPr>
      <w:r>
        <w:t xml:space="preserve">A recommended default operator is:</w:t>
      </w:r>
    </w:p>
    <w:p>
      <w:pPr>
        <w:pStyle w:val="BodyText"/>
      </w:pPr>
      <w:r>
        <w:t xml:space="preserve">q_u = ψ(M_u, P_u, T_u, G_u)</w:t>
      </w:r>
    </w:p>
    <w:p>
      <w:pPr>
        <w:pStyle w:val="BodyText"/>
      </w:pPr>
      <w:r>
        <w:t xml:space="preserve">with M_u, P_u, T_u, G_u ∈ [0,1], and a default transparent choice:</w:t>
      </w:r>
    </w:p>
    <w:p>
      <w:pPr>
        <w:pStyle w:val="BodyText"/>
      </w:pPr>
      <w:r>
        <w:t xml:space="preserve">ψ(M_u, P_u, T_u, G_u) = (M_u P_u T_u G_u)^(1/4)</w:t>
      </w:r>
    </w:p>
    <w:p>
      <w:pPr>
        <w:pStyle w:val="BodyText"/>
      </w:pPr>
      <w:r>
        <w:t xml:space="preserve">This recommended operator is informative by default unless separately elevated by governance rule; the required part is that the PCC declare the operator used.</w:t>
      </w:r>
    </w:p>
    <w:p>
      <w:pPr>
        <w:pStyle w:val="BodyText"/>
      </w:pPr>
      <w:r>
        <w:t xml:space="preserve">Prominence evidence discipline (Normative). Prominence sub-component declarations for q_u, including magnitude, probability, temporal persistence, and propagation potential, are subject to the same PCC justification and evidence documentation discipline that applies to impact-instance parameters under Section 5.2, including ReachBasis declaration where applicable. Tier 2+ runs SHALL record the evidentiary basis used to justify each declared prominence component.</w:t>
      </w:r>
    </w:p>
    <w:p>
      <w:pPr>
        <w:pStyle w:val="BodyText"/>
      </w:pPr>
      <w:r>
        <w:t xml:space="preserve">Cross-deployment comparability note (Normative guidance). The geometric-mean operator remains the default comparability anchor for q_u. Any deployment using a non-default operator MUST document why the operator preserves anti-gaming discipline, boundedness, and monotonicity, and SHOULD include a sensitivity comparison against the geometric-mean default in the PCC or companion validation record.</w:t>
      </w:r>
    </w:p>
    <w:p>
      <w:pPr>
        <w:pStyle w:val="BodyText"/>
      </w:pPr>
      <w:r>
        <w:t xml:space="preserve">Define residual shares:</w:t>
      </w:r>
    </w:p>
    <w:p>
      <w:pPr>
        <w:pStyle w:val="BodyText"/>
      </w:pPr>
      <w:r>
        <w:t xml:space="preserve">ρ_u = q_u / Σ_j q_j, if Σ_j q_j &gt; 0</w:t>
      </w:r>
    </w:p>
    <w:p>
      <w:pPr>
        <w:pStyle w:val="BodyText"/>
      </w:pPr>
      <w:r>
        <w:t xml:space="preserve">If all q_u = 0, the residual SHALL be allocated uniformly unless another declared fallback is specified in the PCC.</w:t>
      </w:r>
    </w:p>
    <w:p>
      <w:pPr>
        <w:pStyle w:val="BodyText"/>
      </w:pPr>
      <w:r>
        <w:t xml:space="preserve">Let w_u^floor be the Section 13.1 constitutional floor for scope u. Then the PLSS union weights are:</w:t>
      </w:r>
    </w:p>
    <w:p>
      <w:pPr>
        <w:pStyle w:val="BodyText"/>
      </w:pPr>
      <w:r>
        <w:t xml:space="preserve">w_u^PLSS = w_u^floor + (1 - Σ_j w_j^floor) ρ_u</w:t>
      </w:r>
    </w:p>
    <w:p>
      <w:pPr>
        <w:pStyle w:val="BodyText"/>
      </w:pPr>
      <w:r>
        <w:t xml:space="preserve">subject to the canonical constraints:</w:t>
      </w:r>
    </w:p>
    <w:p>
      <w:pPr>
        <w:pStyle w:val="BodyText"/>
      </w:pPr>
      <w:r>
        <w:t xml:space="preserve">w_u^PLSS ≥ 0</w:t>
      </w:r>
    </w:p>
    <w:p>
      <w:pPr>
        <w:pStyle w:val="BodyText"/>
      </w:pPr>
      <w:r>
        <w:t xml:space="preserve">Σ_u w_u^PLSS = 1</w:t>
      </w:r>
    </w:p>
    <w:p>
      <w:pPr>
        <w:pStyle w:val="BodyText"/>
      </w:pPr>
      <w:r>
        <w:t xml:space="preserve">w_u^PLSS ≥ w_u^floor</w:t>
      </w:r>
    </w:p>
    <w:p>
      <w:pPr>
        <w:pStyle w:val="BodyText"/>
      </w:pPr>
      <w:r>
        <w:t xml:space="preserve">for every scope u.</w:t>
      </w:r>
    </w:p>
    <w:p>
      <w:pPr>
        <w:pStyle w:val="BodyText"/>
      </w:pPr>
      <w:r>
        <w:t xml:space="preserve">Interpretation (Informative). PLSS does not re-write the constitution. It lets local runs place most of the residual emphasis on nearby scopes while retaining the constitutional baseline presence of broader scopes.</w:t>
      </w:r>
    </w:p>
    <w:bookmarkEnd w:id="176"/>
    <w:bookmarkStart w:id="177" w:name="Xaec908084918d95874fe5c8e0658069dfa4f926"/>
    <w:p>
      <w:pPr>
        <w:pStyle w:val="Heading2"/>
      </w:pPr>
      <w:r>
        <w:rPr>
          <w:bCs/>
          <w:b/>
        </w:rPr>
        <w:t xml:space="preserve">10.2A.5 PLSS RLS equation (Normative)</w:t>
      </w:r>
    </w:p>
    <w:p>
      <w:pPr>
        <w:pStyle w:val="FirstParagraph"/>
      </w:pPr>
      <w:r>
        <w:t xml:space="preserve">For any selectable option a ∈ A_sel, the local-scope welfare ranking is:</w:t>
      </w:r>
    </w:p>
    <w:p>
      <w:pPr>
        <w:pStyle w:val="BodyText"/>
      </w:pPr>
      <w:r>
        <w:t xml:space="preserve">q_PLSS(u,d) = w_u^PLSS · v_d · m(u,d) · κ(u,d)</w:t>
      </w:r>
    </w:p>
    <w:p>
      <w:pPr>
        <w:pStyle w:val="BodyText"/>
      </w:pPr>
      <w:r>
        <w:t xml:space="preserve">Q_PLSS = Σ_u Σ_d q_PLSS(u,d)</w:t>
      </w:r>
    </w:p>
    <w:p>
      <w:pPr>
        <w:pStyle w:val="BodyText"/>
      </w:pPr>
      <w:r>
        <w:t xml:space="preserve">RLS_PLSS(a) = [Σ_u Σ_d q_PLSS(u,d) · I_prop_welfare(u,d,a)] / Q_PLSS, for Q_PLSS &gt; 0</w:t>
      </w:r>
    </w:p>
    <w:p>
      <w:pPr>
        <w:pStyle w:val="BodyText"/>
      </w:pPr>
      <w:r>
        <w:t xml:space="preserve">where:</w:t>
      </w:r>
    </w:p>
    <w:p>
      <w:pPr>
        <w:pStyle w:val="BodyText"/>
      </w:pPr>
      <w:r>
        <w:t xml:space="preserve">• w_u^PLSS is defined by Section 10.2A.4,</w:t>
      </w:r>
    </w:p>
    <w:p>
      <w:pPr>
        <w:pStyle w:val="BodyText"/>
      </w:pPr>
      <w:r>
        <w:t xml:space="preserve">• v_d remains governed by Section 13,</w:t>
      </w:r>
    </w:p>
    <w:p>
      <w:pPr>
        <w:pStyle w:val="BodyText"/>
      </w:pPr>
      <w:r>
        <w:t xml:space="preserve">• m(u,d) remains governed by Section 10.2,</w:t>
      </w:r>
    </w:p>
    <w:p>
      <w:pPr>
        <w:pStyle w:val="BodyText"/>
      </w:pPr>
      <w:r>
        <w:t xml:space="preserve">• κ(u,d) remains governed by Section 10.1,</w:t>
      </w:r>
    </w:p>
    <w:p>
      <w:pPr>
        <w:pStyle w:val="BodyText"/>
      </w:pPr>
      <w:r>
        <w:t xml:space="preserve">• I_prop_welfare(u,d,a) remains governed by Sections 5–6.</w:t>
      </w:r>
    </w:p>
    <w:p>
      <w:pPr>
        <w:pStyle w:val="BodyText"/>
      </w:pPr>
      <w:r>
        <w:t xml:space="preserve">If no kernel propagation is declared, then:</w:t>
      </w:r>
    </w:p>
    <w:p>
      <w:pPr>
        <w:pStyle w:val="BodyText"/>
      </w:pPr>
      <w:r>
        <w:t xml:space="preserve">I_prop_welfare(u,d,a) = I_dir(u,d,a)</w:t>
      </w:r>
    </w:p>
    <w:p>
      <w:pPr>
        <w:pStyle w:val="BodyText"/>
      </w:pPr>
      <w:r>
        <w:t xml:space="preserve">per the existing NONE propagation pathway.</w:t>
      </w:r>
    </w:p>
    <w:p>
      <w:pPr>
        <w:pStyle w:val="BodyText"/>
      </w:pPr>
      <w:r>
        <w:t xml:space="preserve">10.2A.5A Discrimination threshold and non-decisive handling (Normative). The discrimination threshold defined in Section 10.4 applies identically to RLS_PLSS. If the lead between the top two selectable options is non-decisive under the declared uncertainty method, the tie-break chain in Section 11.5 MUST be applied. PLSS SHALL NOT bypass uncertainty handling, decisiveness testing, or tie-break governance.</w:t>
      </w:r>
    </w:p>
    <w:p>
      <w:pPr>
        <w:pStyle w:val="BodyText"/>
      </w:pPr>
      <w:r>
        <w:t xml:space="preserve">10.2A.5B PLSS prominence sensitivity (Normative)</w:t>
      </w:r>
    </w:p>
    <w:p>
      <w:pPr>
        <w:pStyle w:val="BodyText"/>
      </w:pPr>
      <w:r>
        <w:t xml:space="preserve">When PLSS is used in Tier 3, the PCC MUST rerun the welfare ranking under at least two alternative valid prominence constructions:</w:t>
      </w:r>
    </w:p>
    <w:p>
      <w:pPr>
        <w:pStyle w:val="BodyText"/>
      </w:pPr>
      <w:r>
        <w:t xml:space="preserve">(i) the uniform residual fallback, and</w:t>
      </w:r>
    </w:p>
    <w:p>
      <w:pPr>
        <w:pStyle w:val="BodyText"/>
      </w:pPr>
      <w:r>
        <w:t xml:space="preserve">(ii) a broadened guardrail-sensitive vector in which every scope classified Guardrail receives q_u at least 0.10 times the maximum q_u among prominent scopes, unless a stricter charter rule is declared.</w:t>
      </w:r>
    </w:p>
    <w:p>
      <w:pPr>
        <w:pStyle w:val="BodyText"/>
      </w:pPr>
      <w:r>
        <w:t xml:space="preserve">If the ranking order of selectable options or the selected option changes under these alternative valid prominence constructions, the run MUST set audit flag PLSS_PROMINENCE_SENSITIVE and document the sensitivity in the PCC.</w:t>
      </w:r>
    </w:p>
    <w:p>
      <w:pPr>
        <w:pStyle w:val="BodyText"/>
      </w:pPr>
      <w:r>
        <w:t xml:space="preserve">When</w:t>
      </w:r>
      <w:r>
        <w:t xml:space="preserve"> </w:t>
      </w:r>
      <w:r>
        <w:rPr>
          <w:rStyle w:val="VerbatimChar"/>
        </w:rPr>
        <w:t xml:space="preserve">OTHER_DECLARED</w:t>
      </w:r>
      <w:r>
        <w:t xml:space="preserve"> </w:t>
      </w:r>
      <w:r>
        <w:t xml:space="preserve">uses a direct-q normalization such as</w:t>
      </w:r>
      <w:r>
        <w:t xml:space="preserve"> </w:t>
      </w:r>
      <w:r>
        <w:rPr>
          <w:rStyle w:val="VerbatimChar"/>
        </w:rPr>
        <w:t xml:space="preserve">DIRECT_Q_NORMALIZATION_V1</w:t>
      </w:r>
      <w:r>
        <w:t xml:space="preserve">, the published sensitivity bundle MUST show at minimum: the declared direct-q result; the default geometric-mean prominence result; the uniform-residual fallback; and a broadened guardrail-sensitive result where plausible wider-scope effects are increased. The PCC MUST state whether ranking, decisiveness, or authority selection changes under each construction.</w:t>
      </w:r>
    </w:p>
    <w:p>
      <w:pPr>
        <w:pStyle w:val="BodyText"/>
      </w:pPr>
      <w:r>
        <w:t xml:space="preserve">This requirement does not alter admissibility, which remains governed by the Attention-Safety Separation Principle and the upstream gates.</w:t>
      </w:r>
    </w:p>
    <w:bookmarkEnd w:id="177"/>
    <w:bookmarkStart w:id="178" w:name="Xd575dcd089eff5f19500dac96ae99bc604f71a9"/>
    <w:p>
      <w:pPr>
        <w:pStyle w:val="Heading2"/>
      </w:pPr>
      <w:r>
        <w:rPr>
          <w:bCs/>
          <w:b/>
        </w:rPr>
        <w:t xml:space="preserve">10.2A.6 Masking and non-maskable rule under PLSS (Normative)</w:t>
      </w:r>
    </w:p>
    <w:p>
      <w:pPr>
        <w:pStyle w:val="FirstParagraph"/>
      </w:pPr>
      <w:r>
        <w:t xml:space="preserve">PLSS SHALL NOT modify the Section 10.2 mask rule.</w:t>
      </w:r>
    </w:p>
    <w:p>
      <w:pPr>
        <w:pStyle w:val="BodyText"/>
      </w:pPr>
      <w:r>
        <w:t xml:space="preserve">In particular:</w:t>
      </w:r>
    </w:p>
    <w:p>
      <w:pPr>
        <w:pStyle w:val="BodyText"/>
      </w:pPr>
      <w:r>
        <w:t xml:space="preserve">• masking remains RLS aggregation only,</w:t>
      </w:r>
    </w:p>
    <w:p>
      <w:pPr>
        <w:pStyle w:val="BodyText"/>
      </w:pPr>
      <w:r>
        <w:t xml:space="preserve">• masking SHALL NOT be used as omission,</w:t>
      </w:r>
    </w:p>
    <w:p>
      <w:pPr>
        <w:pStyle w:val="BodyText"/>
      </w:pPr>
      <w:r>
        <w:t xml:space="preserve">• rights-covered cells and catastrophe-relevant cells remain non-maskable where required by the canon,</w:t>
      </w:r>
    </w:p>
    <w:p>
      <w:pPr>
        <w:pStyle w:val="BodyText"/>
      </w:pPr>
      <w:r>
        <w:t xml:space="preserve">• reduced-scope or local-scope presentation SHALL NOT bypass admissibility on required cells.</w:t>
      </w:r>
    </w:p>
    <w:p>
      <w:pPr>
        <w:pStyle w:val="BodyText"/>
      </w:pPr>
      <w:r>
        <w:t xml:space="preserve">Thus PLSS narrows practical emphasis, not moral coverage.</w:t>
      </w:r>
    </w:p>
    <w:bookmarkEnd w:id="178"/>
    <w:bookmarkStart w:id="179" w:name="Xc31307295c5763e534c20fc2047fac33db80c64"/>
    <w:p>
      <w:pPr>
        <w:pStyle w:val="Heading2"/>
      </w:pPr>
      <w:r>
        <w:rPr>
          <w:bCs/>
          <w:b/>
        </w:rPr>
        <w:t xml:space="preserve">10.2A.7 Escalation triggers (Normative)</w:t>
      </w:r>
    </w:p>
    <w:p>
      <w:pPr>
        <w:pStyle w:val="FirstParagraph"/>
      </w:pPr>
      <w:r>
        <w:t xml:space="preserve">A run SHALL NOT remain in PLSS-only posture, or SHALL be rerun with broader scrutiny, if any of the following are plausible:</w:t>
      </w:r>
    </w:p>
    <w:p>
      <w:pPr>
        <w:pStyle w:val="BodyText"/>
      </w:pPr>
      <w:r>
        <w:t xml:space="preserve">1. rights-covered harm beyond the prominent scopes,</w:t>
      </w:r>
    </w:p>
    <w:p>
      <w:pPr>
        <w:pStyle w:val="BodyText"/>
      </w:pPr>
      <w:r>
        <w:t xml:space="preserve">2. catastrophe relevance or irreversible loss,</w:t>
      </w:r>
    </w:p>
    <w:p>
      <w:pPr>
        <w:pStyle w:val="BodyText"/>
      </w:pPr>
      <w:r>
        <w:t xml:space="preserve">3. meaningful externalities crossing Community, Organization, Polity, Humanity / Global Coordination, or Biosphere pathways,</w:t>
      </w:r>
    </w:p>
    <w:p>
      <w:pPr>
        <w:pStyle w:val="BodyText"/>
      </w:pPr>
      <w:r>
        <w:t xml:space="preserve">4. lock-in, precedent, or nontrivial governance spillover,</w:t>
      </w:r>
    </w:p>
    <w:p>
      <w:pPr>
        <w:pStyle w:val="BodyText"/>
      </w:pPr>
      <w:r>
        <w:t xml:space="preserve">5. a credible challenger claim that a stakeholder class or scope was omitted,</w:t>
      </w:r>
    </w:p>
    <w:p>
      <w:pPr>
        <w:pStyle w:val="BodyText"/>
      </w:pPr>
      <w:r>
        <w:t xml:space="preserve">6. Containment requires unavailable evidence for containing scopes,</w:t>
      </w:r>
    </w:p>
    <w:p>
      <w:pPr>
        <w:pStyle w:val="BodyText"/>
      </w:pPr>
      <w:r>
        <w:t xml:space="preserve">7. repeated comparable runs continue to use local-scope framing without the required next-run expansion plan.</w:t>
      </w:r>
    </w:p>
    <w:p>
      <w:pPr>
        <w:pStyle w:val="BodyText"/>
      </w:pPr>
      <w:r>
        <w:t xml:space="preserve">Audit flag (Normative). If one or more escalation triggers in Section 10.2A.7 is plausibly active, but the run proceeds in PLSS posture without escalation or documented justification, implementations MUST set audit flag PLSS_ESCALATION_TRIGGER_UNRESOLVED with severity ESCALATE. The PCC MUST then either record the broader posture adopted or provide a specific justification for non-escalation, including evidence basis and reviewer sign-off where required by tier. If no such disposition is recorded, the validator MUST reject the run as non-conformant.</w:t>
      </w:r>
    </w:p>
    <w:p>
      <w:pPr>
        <w:pStyle w:val="BodyText"/>
      </w:pPr>
      <w:r>
        <w:t xml:space="preserve">Boundary heuristic note (Normative guidance). Implementations MAY use lightweight pre-screen heuristics to decide whether FLGG escalation is required before full local scoring proceeds, for example trigger scans over rights exposure, catastrophe relevance, cross-scope externality breadth, lock-in, precedent, and containment-evidence availability. Any such heuristic is advisory only: once a trigger is plausibly active, the canonical escalation requirements of Section 10.2A.7 control.</w:t>
      </w:r>
    </w:p>
    <w:p>
      <w:pPr>
        <w:pStyle w:val="BodyText"/>
      </w:pPr>
      <w:r>
        <w:t xml:space="preserve">Ex ante method declaration rule (Normative). Any method choice that can materially affect decisiveness, ranking within the selectable set, or tie-break outcome, including PLSS prominence construction, alternative PLSS operator, scope-posture escalation disposition, and UCI comparison method, SHOULD be declared ex ante in the PCC where practicable. If first declared only after comparative outcomes are observed, the PCC MUST record a reason code, reviewer sign-off where required by tier, and a sensitivity note sufficient for independent review.</w:t>
      </w:r>
    </w:p>
    <w:p>
      <w:pPr>
        <w:pStyle w:val="BodyText"/>
      </w:pPr>
      <w:r>
        <w:t xml:space="preserve">Scope posture classification note (Normative). When PLSS is used, each scope SHALL be classified in the PCC as either Prominent or Guardrail. v9.0 removes the undefined “Mixed” category to reduce audit drift; if a deployment wants finer descriptive language, it MAY add non-canonical comments, but the PCC classification field SHALL remain binary.</w:t>
      </w:r>
    </w:p>
    <w:bookmarkEnd w:id="179"/>
    <w:bookmarkStart w:id="180" w:name="X9a8cf6682092fcf48a62bcb3efb15e9c5fb7cb1"/>
    <w:p>
      <w:pPr>
        <w:pStyle w:val="Heading2"/>
      </w:pPr>
      <w:r>
        <w:rPr>
          <w:bCs/>
          <w:b/>
        </w:rPr>
        <w:t xml:space="preserve">10.2A.8 Plain-language reading rule (Normative)</w:t>
      </w:r>
    </w:p>
    <w:p>
      <w:pPr>
        <w:pStyle w:val="FirstParagraph"/>
      </w:pPr>
      <w:r>
        <w:t xml:space="preserve">When not to use PLSS (Normative guidance statement). PLSS is intended primarily for local or moderately bounded decisions in which direct welfare effects are concentrated and no escalation trigger is plausibly active at the outset. PLSS SHALL NOT be used as the primary posture for irreversible cross-border policy, large-scale public AI deployment, biosecurity governance, active military or security operations, high-lock-in infrastructure decisions, or any case in which ET-1 through ET-7 is plausibly active at decision entry. Such cases require a broader deliberative posture or higher-tier structured evaluation.</w:t>
      </w:r>
    </w:p>
    <w:p>
      <w:pPr>
        <w:pStyle w:val="BodyText"/>
      </w:pPr>
      <w:r>
        <w:t xml:space="preserve">For instructional and public-facing use, the framework MAY describe PLSS with the following plain-language sentence:</w:t>
      </w:r>
    </w:p>
    <w:p>
      <w:pPr>
        <w:pStyle w:val="BodyText"/>
      </w:pPr>
      <w:r>
        <w:t xml:space="preserve">“In local decisions, score most strongly where the ripple is near, but keep every wider scope present through floors and guardrails. PLSS narrows residual attention, not moral coverage. It MAY change welfare ranking within the selectable set, but it MUST NOT make an inadmissible option admissible.”</w:t>
      </w:r>
    </w:p>
    <w:p>
      <w:pPr>
        <w:pStyle w:val="BodyText"/>
      </w:pPr>
      <w:r>
        <w:t xml:space="preserve">This sentence is interpretive only and SHALL NOT override the equations above.</w:t>
      </w:r>
    </w:p>
    <w:bookmarkEnd w:id="180"/>
    <w:bookmarkStart w:id="181" w:name="Xd9c36f946e41c831818bb77975a921ff282c084"/>
    <w:p>
      <w:pPr>
        <w:pStyle w:val="Heading2"/>
      </w:pPr>
      <w:r>
        <w:rPr>
          <w:bCs/>
          <w:b/>
        </w:rPr>
        <w:t xml:space="preserve">10.2A.9 Worked example: family café local run (Informative)</w:t>
      </w:r>
    </w:p>
    <w:p>
      <w:pPr>
        <w:pStyle w:val="FirstParagraph"/>
      </w:pPr>
      <w:r>
        <w:t xml:space="preserve">Decision. A family café must choose between:</w:t>
      </w:r>
    </w:p>
    <w:p>
      <w:pPr>
        <w:pStyle w:val="BodyText"/>
      </w:pPr>
      <w:r>
        <w:t xml:space="preserve">• Option A: cheap single-use cups,</w:t>
      </w:r>
    </w:p>
    <w:p>
      <w:pPr>
        <w:pStyle w:val="BodyText"/>
      </w:pPr>
      <w:r>
        <w:t xml:space="preserve">• Option B: reusable deposit-return cups with a local wash partner,</w:t>
      </w:r>
    </w:p>
    <w:p>
      <w:pPr>
        <w:pStyle w:val="BodyText"/>
      </w:pPr>
      <w:r>
        <w:t xml:space="preserve">• Option C: ultra-cheap cups from an unverified supplier with plausible toxic-material or labor-abuse exposure.</w:t>
      </w:r>
    </w:p>
    <w:p>
      <w:pPr>
        <w:pStyle w:val="BodyText"/>
      </w:pPr>
      <w:r>
        <w:t xml:space="preserve">Declared stakeholder instances by scope:</w:t>
      </w:r>
    </w:p>
    <w:p>
      <w:pPr>
        <w:pStyle w:val="BodyText"/>
      </w:pPr>
      <w:r>
        <w:t xml:space="preserve">• U1 Self: 1 instance</w:t>
      </w:r>
    </w:p>
    <w:p>
      <w:pPr>
        <w:pStyle w:val="BodyText"/>
      </w:pPr>
      <w:r>
        <w:t xml:space="preserve">• U2 Household: 1 instance</w:t>
      </w:r>
    </w:p>
    <w:p>
      <w:pPr>
        <w:pStyle w:val="BodyText"/>
      </w:pPr>
      <w:r>
        <w:t xml:space="preserve">• U3 Community: 5 instances</w:t>
      </w:r>
    </w:p>
    <w:p>
      <w:pPr>
        <w:pStyle w:val="BodyText"/>
      </w:pPr>
      <w:r>
        <w:t xml:space="preserve">• U4 Organization: 2 instances</w:t>
      </w:r>
    </w:p>
    <w:p>
      <w:pPr>
        <w:pStyle w:val="BodyText"/>
      </w:pPr>
      <w:r>
        <w:t xml:space="preserve">• U5 Polity: 3 instances</w:t>
      </w:r>
    </w:p>
    <w:p>
      <w:pPr>
        <w:pStyle w:val="BodyText"/>
      </w:pPr>
      <w:r>
        <w:t xml:space="preserve">• U6 Humanity / Global Coordination: 1 instance</w:t>
      </w:r>
    </w:p>
    <w:p>
      <w:pPr>
        <w:pStyle w:val="BodyText"/>
      </w:pPr>
      <w:r>
        <w:t xml:space="preserve">• U7 Biosphere: 1 instance</w:t>
      </w:r>
    </w:p>
    <w:p>
      <w:pPr>
        <w:pStyle w:val="BodyText"/>
      </w:pPr>
      <w:r>
        <w:t xml:space="preserve">This run illustrates the distinction between instances and scopes. The café does not score Community in the abstract. It scores the affected Community instances, then aggregates them into the U3 row.</w:t>
      </w:r>
    </w:p>
    <w:p>
      <w:pPr>
        <w:pStyle w:val="BodyText"/>
      </w:pPr>
      <w:r>
        <w:t xml:space="preserve">Declared local prominence signals:</w:t>
      </w:r>
    </w:p>
    <w:p>
      <w:pPr>
        <w:pStyle w:val="BodyText"/>
      </w:pPr>
      <w:r>
        <w:t xml:space="preserve">q = (U1,U2,U3,U4,U5,U6,U7) = (0.95, 0.85, 0.55, 0.50, 0.10, 0.03, 0.02)</w:t>
      </w:r>
    </w:p>
    <w:p>
      <w:pPr>
        <w:pStyle w:val="BodyText"/>
      </w:pPr>
      <w:r>
        <w:t xml:space="preserve">These sum to 3.00.</w:t>
      </w:r>
    </w:p>
    <w:p>
      <w:pPr>
        <w:pStyle w:val="BodyText"/>
      </w:pPr>
      <w:r>
        <w:t xml:space="preserve">Under Section 13.1, the union floors are:</w:t>
      </w:r>
    </w:p>
    <w:p>
      <w:pPr>
        <w:pStyle w:val="BodyText"/>
      </w:pPr>
      <w:r>
        <w:t xml:space="preserve">w^floor = (0.20, 0.06, 0.06, 0.06, 0.08, 0.10, 0.10)</w:t>
      </w:r>
    </w:p>
    <w:p>
      <w:pPr>
        <w:pStyle w:val="BodyText"/>
      </w:pPr>
      <w:r>
        <w:t xml:space="preserve">The floor total is 0.66, so the residual is 0.34. The resulting PLSS weights are:</w:t>
      </w:r>
    </w:p>
    <w:p>
      <w:pPr>
        <w:pStyle w:val="BodyText"/>
      </w:pPr>
      <w:r>
        <w:t xml:space="preserve">w^PLSS ≈ (0.308, 0.156, 0.122, 0.117, 0.091, 0.103, 0.102)</w:t>
      </w:r>
    </w:p>
    <w:p>
      <w:pPr>
        <w:pStyle w:val="BodyText"/>
      </w:pPr>
      <w:r>
        <w:t xml:space="preserve">Interpretation. Self, Household, Community, and Organization receive most of the residual attention. Polity, Humanity / Global Coordination, and Biosphere remain meaningfully present because the current constitution keeps them above zero even in local runs.</w:t>
      </w:r>
    </w:p>
    <w:p>
      <w:pPr>
        <w:pStyle w:val="BodyText"/>
      </w:pPr>
      <w:r>
        <w:t xml:space="preserve">Table 10-1. Illustrative local prominence signals and PLSS union weights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Union Scope</w:t>
            </w:r>
          </w:p>
        </w:tc>
        <w:tc>
          <w:tcPr>
            <w:shd w:val="clear" w:color="auto" w:fill="D9EAF7"/>
            <w:vAlign w:val="center"/>
          </w:tcPr>
          <w:p>
            <w:pPr>
              <w:pStyle w:val="Compact"/>
              <w:jc w:val="left"/>
            </w:pPr>
            <w:r>
              <w:rPr>
                <w:bCs/>
                <w:b/>
                <w:color w:val="17365D"/>
              </w:rPr>
              <w:t xml:space="preserve">q_u</w:t>
            </w:r>
          </w:p>
        </w:tc>
        <w:tc>
          <w:tcPr>
            <w:shd w:val="clear" w:color="auto" w:fill="D9EAF7"/>
            <w:vAlign w:val="center"/>
          </w:tcPr>
          <w:p>
            <w:pPr>
              <w:pStyle w:val="Compact"/>
              <w:jc w:val="left"/>
            </w:pPr>
            <w:r>
              <w:rPr>
                <w:bCs/>
                <w:b/>
                <w:color w:val="17365D"/>
              </w:rPr>
              <w:t xml:space="preserve">w_u^floor</w:t>
            </w:r>
          </w:p>
        </w:tc>
        <w:tc>
          <w:tcPr>
            <w:shd w:val="clear" w:color="auto" w:fill="D9EAF7"/>
            <w:vAlign w:val="center"/>
          </w:tcPr>
          <w:p>
            <w:pPr>
              <w:pStyle w:val="Compact"/>
              <w:jc w:val="left"/>
            </w:pPr>
            <w:r>
              <w:rPr>
                <w:bCs/>
                <w:b/>
                <w:color w:val="17365D"/>
              </w:rPr>
              <w:t xml:space="preserve">w_u^PLSS</w:t>
            </w:r>
          </w:p>
        </w:tc>
      </w:tr>
      <w:tr>
        <w:tc>
          <w:tcPr>
            <w:vAlign w:val="top"/>
          </w:tcPr>
          <w:p>
            <w:pPr>
              <w:pStyle w:val="Compact"/>
              <w:jc w:val="left"/>
            </w:pPr>
            <w:r>
              <w:t xml:space="preserve">U1 Self</w:t>
            </w:r>
          </w:p>
        </w:tc>
        <w:tc>
          <w:tcPr>
            <w:vAlign w:val="top"/>
          </w:tcPr>
          <w:p>
            <w:pPr>
              <w:pStyle w:val="Compact"/>
              <w:jc w:val="left"/>
            </w:pPr>
            <w:r>
              <w:t xml:space="preserve">0.95</w:t>
            </w:r>
          </w:p>
        </w:tc>
        <w:tc>
          <w:tcPr>
            <w:vAlign w:val="top"/>
          </w:tcPr>
          <w:p>
            <w:pPr>
              <w:pStyle w:val="Compact"/>
              <w:jc w:val="left"/>
            </w:pPr>
            <w:r>
              <w:t xml:space="preserve">0.20</w:t>
            </w:r>
          </w:p>
        </w:tc>
        <w:tc>
          <w:tcPr>
            <w:vAlign w:val="top"/>
          </w:tcPr>
          <w:p>
            <w:pPr>
              <w:pStyle w:val="Compact"/>
              <w:jc w:val="left"/>
            </w:pPr>
            <w:r>
              <w:t xml:space="preserve">0.308</w:t>
            </w:r>
          </w:p>
        </w:tc>
      </w:tr>
      <w:tr>
        <w:tc>
          <w:tcPr>
            <w:shd w:val="clear" w:color="auto" w:fill="F7FBFE"/>
            <w:vAlign w:val="top"/>
          </w:tcPr>
          <w:p>
            <w:pPr>
              <w:pStyle w:val="Compact"/>
              <w:jc w:val="left"/>
            </w:pPr>
            <w:r>
              <w:t xml:space="preserve">U2 Household</w:t>
            </w:r>
          </w:p>
        </w:tc>
        <w:tc>
          <w:tcPr>
            <w:shd w:val="clear" w:color="auto" w:fill="F7FBFE"/>
            <w:vAlign w:val="top"/>
          </w:tcPr>
          <w:p>
            <w:pPr>
              <w:pStyle w:val="Compact"/>
              <w:jc w:val="left"/>
            </w:pPr>
            <w:r>
              <w:t xml:space="preserve">0.85</w:t>
            </w:r>
          </w:p>
        </w:tc>
        <w:tc>
          <w:tcPr>
            <w:shd w:val="clear" w:color="auto" w:fill="F7FBFE"/>
            <w:vAlign w:val="top"/>
          </w:tcPr>
          <w:p>
            <w:pPr>
              <w:pStyle w:val="Compact"/>
              <w:jc w:val="left"/>
            </w:pPr>
            <w:r>
              <w:t xml:space="preserve">0.06</w:t>
            </w:r>
          </w:p>
        </w:tc>
        <w:tc>
          <w:tcPr>
            <w:shd w:val="clear" w:color="auto" w:fill="F7FBFE"/>
            <w:vAlign w:val="top"/>
          </w:tcPr>
          <w:p>
            <w:pPr>
              <w:pStyle w:val="Compact"/>
              <w:jc w:val="left"/>
            </w:pPr>
            <w:r>
              <w:t xml:space="preserve">0.156</w:t>
            </w:r>
          </w:p>
        </w:tc>
      </w:tr>
      <w:tr>
        <w:tc>
          <w:tcPr>
            <w:vAlign w:val="top"/>
          </w:tcPr>
          <w:p>
            <w:pPr>
              <w:pStyle w:val="Compact"/>
              <w:jc w:val="left"/>
            </w:pPr>
            <w:r>
              <w:t xml:space="preserve">U3 Community</w:t>
            </w:r>
          </w:p>
        </w:tc>
        <w:tc>
          <w:tcPr>
            <w:vAlign w:val="top"/>
          </w:tcPr>
          <w:p>
            <w:pPr>
              <w:pStyle w:val="Compact"/>
              <w:jc w:val="left"/>
            </w:pPr>
            <w:r>
              <w:t xml:space="preserve">0.55</w:t>
            </w:r>
          </w:p>
        </w:tc>
        <w:tc>
          <w:tcPr>
            <w:vAlign w:val="top"/>
          </w:tcPr>
          <w:p>
            <w:pPr>
              <w:pStyle w:val="Compact"/>
              <w:jc w:val="left"/>
            </w:pPr>
            <w:r>
              <w:t xml:space="preserve">0.06</w:t>
            </w:r>
          </w:p>
        </w:tc>
        <w:tc>
          <w:tcPr>
            <w:vAlign w:val="top"/>
          </w:tcPr>
          <w:p>
            <w:pPr>
              <w:pStyle w:val="Compact"/>
              <w:jc w:val="left"/>
            </w:pPr>
            <w:r>
              <w:t xml:space="preserve">0.122</w:t>
            </w:r>
          </w:p>
        </w:tc>
      </w:tr>
      <w:tr>
        <w:tc>
          <w:tcPr>
            <w:shd w:val="clear" w:color="auto" w:fill="F7FBFE"/>
            <w:vAlign w:val="top"/>
          </w:tcPr>
          <w:p>
            <w:pPr>
              <w:pStyle w:val="Compact"/>
              <w:jc w:val="left"/>
            </w:pPr>
            <w:r>
              <w:t xml:space="preserve">U4 Organization</w:t>
            </w:r>
          </w:p>
        </w:tc>
        <w:tc>
          <w:tcPr>
            <w:shd w:val="clear" w:color="auto" w:fill="F7FBFE"/>
            <w:vAlign w:val="top"/>
          </w:tcPr>
          <w:p>
            <w:pPr>
              <w:pStyle w:val="Compact"/>
              <w:jc w:val="left"/>
            </w:pPr>
            <w:r>
              <w:t xml:space="preserve">0.50</w:t>
            </w:r>
          </w:p>
        </w:tc>
        <w:tc>
          <w:tcPr>
            <w:shd w:val="clear" w:color="auto" w:fill="F7FBFE"/>
            <w:vAlign w:val="top"/>
          </w:tcPr>
          <w:p>
            <w:pPr>
              <w:pStyle w:val="Compact"/>
              <w:jc w:val="left"/>
            </w:pPr>
            <w:r>
              <w:t xml:space="preserve">0.06</w:t>
            </w:r>
          </w:p>
        </w:tc>
        <w:tc>
          <w:tcPr>
            <w:shd w:val="clear" w:color="auto" w:fill="F7FBFE"/>
            <w:vAlign w:val="top"/>
          </w:tcPr>
          <w:p>
            <w:pPr>
              <w:pStyle w:val="Compact"/>
              <w:jc w:val="left"/>
            </w:pPr>
            <w:r>
              <w:t xml:space="preserve">0.117</w:t>
            </w:r>
          </w:p>
        </w:tc>
      </w:tr>
      <w:tr>
        <w:tc>
          <w:tcPr>
            <w:vAlign w:val="top"/>
          </w:tcPr>
          <w:p>
            <w:pPr>
              <w:pStyle w:val="Compact"/>
              <w:jc w:val="left"/>
            </w:pPr>
            <w:r>
              <w:t xml:space="preserve">U5 Polity</w:t>
            </w:r>
          </w:p>
        </w:tc>
        <w:tc>
          <w:tcPr>
            <w:vAlign w:val="top"/>
          </w:tcPr>
          <w:p>
            <w:pPr>
              <w:pStyle w:val="Compact"/>
              <w:jc w:val="left"/>
            </w:pPr>
            <w:r>
              <w:t xml:space="preserve">0.10</w:t>
            </w:r>
          </w:p>
        </w:tc>
        <w:tc>
          <w:tcPr>
            <w:vAlign w:val="top"/>
          </w:tcPr>
          <w:p>
            <w:pPr>
              <w:pStyle w:val="Compact"/>
              <w:jc w:val="left"/>
            </w:pPr>
            <w:r>
              <w:t xml:space="preserve">0.08</w:t>
            </w:r>
          </w:p>
        </w:tc>
        <w:tc>
          <w:tcPr>
            <w:vAlign w:val="top"/>
          </w:tcPr>
          <w:p>
            <w:pPr>
              <w:pStyle w:val="Compact"/>
              <w:jc w:val="left"/>
            </w:pPr>
            <w:r>
              <w:t xml:space="preserve">0.091</w:t>
            </w:r>
          </w:p>
        </w:tc>
      </w:tr>
      <w:tr>
        <w:tc>
          <w:tcPr>
            <w:shd w:val="clear" w:color="auto" w:fill="F7FBFE"/>
            <w:vAlign w:val="top"/>
          </w:tcPr>
          <w:p>
            <w:pPr>
              <w:pStyle w:val="Compact"/>
              <w:jc w:val="left"/>
            </w:pPr>
            <w:r>
              <w:t xml:space="preserve">U6 Humanity / Global Coordination</w:t>
            </w:r>
          </w:p>
        </w:tc>
        <w:tc>
          <w:tcPr>
            <w:shd w:val="clear" w:color="auto" w:fill="F7FBFE"/>
            <w:vAlign w:val="top"/>
          </w:tcPr>
          <w:p>
            <w:pPr>
              <w:pStyle w:val="Compact"/>
              <w:jc w:val="left"/>
            </w:pPr>
            <w:r>
              <w:t xml:space="preserve">0.03</w:t>
            </w:r>
          </w:p>
        </w:tc>
        <w:tc>
          <w:tcPr>
            <w:shd w:val="clear" w:color="auto" w:fill="F7FBFE"/>
            <w:vAlign w:val="top"/>
          </w:tcPr>
          <w:p>
            <w:pPr>
              <w:pStyle w:val="Compact"/>
              <w:jc w:val="left"/>
            </w:pPr>
            <w:r>
              <w:t xml:space="preserve">0.10</w:t>
            </w:r>
          </w:p>
        </w:tc>
        <w:tc>
          <w:tcPr>
            <w:shd w:val="clear" w:color="auto" w:fill="F7FBFE"/>
            <w:vAlign w:val="top"/>
          </w:tcPr>
          <w:p>
            <w:pPr>
              <w:pStyle w:val="Compact"/>
              <w:jc w:val="left"/>
            </w:pPr>
            <w:r>
              <w:t xml:space="preserve">0.103</w:t>
            </w:r>
          </w:p>
        </w:tc>
      </w:tr>
      <w:tr>
        <w:tc>
          <w:tcPr>
            <w:vAlign w:val="top"/>
          </w:tcPr>
          <w:p>
            <w:pPr>
              <w:pStyle w:val="Compact"/>
              <w:jc w:val="left"/>
            </w:pPr>
            <w:r>
              <w:t xml:space="preserve">U7 Biosphere</w:t>
            </w:r>
          </w:p>
        </w:tc>
        <w:tc>
          <w:tcPr>
            <w:vAlign w:val="top"/>
          </w:tcPr>
          <w:p>
            <w:pPr>
              <w:pStyle w:val="Compact"/>
              <w:jc w:val="left"/>
            </w:pPr>
            <w:r>
              <w:t xml:space="preserve">0.02</w:t>
            </w:r>
          </w:p>
        </w:tc>
        <w:tc>
          <w:tcPr>
            <w:vAlign w:val="top"/>
          </w:tcPr>
          <w:p>
            <w:pPr>
              <w:pStyle w:val="Compact"/>
              <w:jc w:val="left"/>
            </w:pPr>
            <w:r>
              <w:t xml:space="preserve">0.10</w:t>
            </w:r>
          </w:p>
        </w:tc>
        <w:tc>
          <w:tcPr>
            <w:vAlign w:val="top"/>
          </w:tcPr>
          <w:p>
            <w:pPr>
              <w:pStyle w:val="Compact"/>
              <w:jc w:val="left"/>
            </w:pPr>
            <w:r>
              <w:t xml:space="preserve">0.102</w:t>
            </w:r>
          </w:p>
        </w:tc>
      </w:tr>
    </w:tbl>
    <w:p>
      <w:pPr>
        <w:pStyle w:val="BodyText"/>
      </w:pPr>
      <w:r>
        <w:t xml:space="preserve">Illustrative scope-level welfare composites:</w:t>
      </w:r>
    </w:p>
    <w:p>
      <w:pPr>
        <w:pStyle w:val="BodyText"/>
      </w:pPr>
      <w:r>
        <w:t xml:space="preserve">Table 10-2. Illustrative scope composites by option</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Scope</w:t>
            </w:r>
          </w:p>
        </w:tc>
        <w:tc>
          <w:tcPr>
            <w:shd w:val="clear" w:color="auto" w:fill="D9EAF7"/>
            <w:vAlign w:val="center"/>
          </w:tcPr>
          <w:p>
            <w:pPr>
              <w:pStyle w:val="Compact"/>
              <w:jc w:val="left"/>
            </w:pPr>
            <w:r>
              <w:rPr>
                <w:bCs/>
                <w:b/>
                <w:color w:val="17365D"/>
              </w:rPr>
              <w:t xml:space="preserve">Q_u(A)</w:t>
            </w:r>
          </w:p>
        </w:tc>
        <w:tc>
          <w:tcPr>
            <w:shd w:val="clear" w:color="auto" w:fill="D9EAF7"/>
            <w:vAlign w:val="center"/>
          </w:tcPr>
          <w:p>
            <w:pPr>
              <w:pStyle w:val="Compact"/>
              <w:jc w:val="left"/>
            </w:pPr>
            <w:r>
              <w:rPr>
                <w:bCs/>
                <w:b/>
                <w:color w:val="17365D"/>
              </w:rPr>
              <w:t xml:space="preserve">Q_u(B)</w:t>
            </w:r>
          </w:p>
        </w:tc>
      </w:tr>
      <w:tr>
        <w:tc>
          <w:tcPr>
            <w:vAlign w:val="top"/>
          </w:tcPr>
          <w:p>
            <w:pPr>
              <w:pStyle w:val="Compact"/>
              <w:jc w:val="left"/>
            </w:pPr>
            <w:r>
              <w:t xml:space="preserve">U1 Self</w:t>
            </w:r>
          </w:p>
        </w:tc>
        <w:tc>
          <w:tcPr>
            <w:vAlign w:val="top"/>
          </w:tcPr>
          <w:p>
            <w:pPr>
              <w:pStyle w:val="Compact"/>
              <w:jc w:val="left"/>
            </w:pPr>
            <w:r>
              <w:t xml:space="preserve">0.25</w:t>
            </w:r>
          </w:p>
        </w:tc>
        <w:tc>
          <w:tcPr>
            <w:vAlign w:val="top"/>
          </w:tcPr>
          <w:p>
            <w:pPr>
              <w:pStyle w:val="Compact"/>
              <w:jc w:val="left"/>
            </w:pPr>
            <w:r>
              <w:t xml:space="preserve">0.18</w:t>
            </w:r>
          </w:p>
        </w:tc>
      </w:tr>
      <w:tr>
        <w:tc>
          <w:tcPr>
            <w:shd w:val="clear" w:color="auto" w:fill="F7FBFE"/>
            <w:vAlign w:val="top"/>
          </w:tcPr>
          <w:p>
            <w:pPr>
              <w:pStyle w:val="Compact"/>
              <w:jc w:val="left"/>
            </w:pPr>
            <w:r>
              <w:t xml:space="preserve">U2 Household</w:t>
            </w:r>
          </w:p>
        </w:tc>
        <w:tc>
          <w:tcPr>
            <w:shd w:val="clear" w:color="auto" w:fill="F7FBFE"/>
            <w:vAlign w:val="top"/>
          </w:tcPr>
          <w:p>
            <w:pPr>
              <w:pStyle w:val="Compact"/>
              <w:jc w:val="left"/>
            </w:pPr>
            <w:r>
              <w:t xml:space="preserve">0.10</w:t>
            </w:r>
          </w:p>
        </w:tc>
        <w:tc>
          <w:tcPr>
            <w:shd w:val="clear" w:color="auto" w:fill="F7FBFE"/>
            <w:vAlign w:val="top"/>
          </w:tcPr>
          <w:p>
            <w:pPr>
              <w:pStyle w:val="Compact"/>
              <w:jc w:val="left"/>
            </w:pPr>
            <w:r>
              <w:t xml:space="preserve">0.35</w:t>
            </w:r>
          </w:p>
        </w:tc>
      </w:tr>
      <w:tr>
        <w:tc>
          <w:tcPr>
            <w:vAlign w:val="top"/>
          </w:tcPr>
          <w:p>
            <w:pPr>
              <w:pStyle w:val="Compact"/>
              <w:jc w:val="left"/>
            </w:pPr>
            <w:r>
              <w:t xml:space="preserve">U3 Community</w:t>
            </w:r>
          </w:p>
        </w:tc>
        <w:tc>
          <w:tcPr>
            <w:vAlign w:val="top"/>
          </w:tcPr>
          <w:p>
            <w:pPr>
              <w:pStyle w:val="Compact"/>
              <w:jc w:val="left"/>
            </w:pPr>
            <w:r>
              <w:t xml:space="preserve">-0.06</w:t>
            </w:r>
          </w:p>
        </w:tc>
        <w:tc>
          <w:tcPr>
            <w:vAlign w:val="top"/>
          </w:tcPr>
          <w:p>
            <w:pPr>
              <w:pStyle w:val="Compact"/>
              <w:jc w:val="left"/>
            </w:pPr>
            <w:r>
              <w:t xml:space="preserve">0.41</w:t>
            </w:r>
          </w:p>
        </w:tc>
      </w:tr>
      <w:tr>
        <w:tc>
          <w:tcPr>
            <w:shd w:val="clear" w:color="auto" w:fill="F7FBFE"/>
            <w:vAlign w:val="top"/>
          </w:tcPr>
          <w:p>
            <w:pPr>
              <w:pStyle w:val="Compact"/>
              <w:jc w:val="left"/>
            </w:pPr>
            <w:r>
              <w:t xml:space="preserve">U4 Organization</w:t>
            </w:r>
          </w:p>
        </w:tc>
        <w:tc>
          <w:tcPr>
            <w:shd w:val="clear" w:color="auto" w:fill="F7FBFE"/>
            <w:vAlign w:val="top"/>
          </w:tcPr>
          <w:p>
            <w:pPr>
              <w:pStyle w:val="Compact"/>
              <w:jc w:val="left"/>
            </w:pPr>
            <w:r>
              <w:t xml:space="preserve">0.20</w:t>
            </w:r>
          </w:p>
        </w:tc>
        <w:tc>
          <w:tcPr>
            <w:shd w:val="clear" w:color="auto" w:fill="F7FBFE"/>
            <w:vAlign w:val="top"/>
          </w:tcPr>
          <w:p>
            <w:pPr>
              <w:pStyle w:val="Compact"/>
              <w:jc w:val="left"/>
            </w:pPr>
            <w:r>
              <w:t xml:space="preserve">0.32</w:t>
            </w:r>
          </w:p>
        </w:tc>
      </w:tr>
      <w:tr>
        <w:tc>
          <w:tcPr>
            <w:vAlign w:val="top"/>
          </w:tcPr>
          <w:p>
            <w:pPr>
              <w:pStyle w:val="Compact"/>
              <w:jc w:val="left"/>
            </w:pPr>
            <w:r>
              <w:t xml:space="preserve">U5 Polity</w:t>
            </w:r>
          </w:p>
        </w:tc>
        <w:tc>
          <w:tcPr>
            <w:vAlign w:val="top"/>
          </w:tcPr>
          <w:p>
            <w:pPr>
              <w:pStyle w:val="Compact"/>
              <w:jc w:val="left"/>
            </w:pPr>
            <w:r>
              <w:t xml:space="preserve">-0.10</w:t>
            </w:r>
          </w:p>
        </w:tc>
        <w:tc>
          <w:tcPr>
            <w:vAlign w:val="top"/>
          </w:tcPr>
          <w:p>
            <w:pPr>
              <w:pStyle w:val="Compact"/>
              <w:jc w:val="left"/>
            </w:pPr>
            <w:r>
              <w:t xml:space="preserve">0.12</w:t>
            </w:r>
          </w:p>
        </w:tc>
      </w:tr>
      <w:tr>
        <w:tc>
          <w:tcPr>
            <w:shd w:val="clear" w:color="auto" w:fill="F7FBFE"/>
            <w:vAlign w:val="top"/>
          </w:tcPr>
          <w:p>
            <w:pPr>
              <w:pStyle w:val="Compact"/>
              <w:jc w:val="left"/>
            </w:pPr>
            <w:r>
              <w:t xml:space="preserve">U6 Humanity / Global Coordination</w:t>
            </w:r>
          </w:p>
        </w:tc>
        <w:tc>
          <w:tcPr>
            <w:shd w:val="clear" w:color="auto" w:fill="F7FBFE"/>
            <w:vAlign w:val="top"/>
          </w:tcPr>
          <w:p>
            <w:pPr>
              <w:pStyle w:val="Compact"/>
              <w:jc w:val="left"/>
            </w:pPr>
            <w:r>
              <w:t xml:space="preserve">-0.08</w:t>
            </w:r>
          </w:p>
        </w:tc>
        <w:tc>
          <w:tcPr>
            <w:shd w:val="clear" w:color="auto" w:fill="F7FBFE"/>
            <w:vAlign w:val="top"/>
          </w:tcPr>
          <w:p>
            <w:pPr>
              <w:pStyle w:val="Compact"/>
              <w:jc w:val="left"/>
            </w:pPr>
            <w:r>
              <w:t xml:space="preserve">0.05</w:t>
            </w:r>
          </w:p>
        </w:tc>
      </w:tr>
      <w:tr>
        <w:tc>
          <w:tcPr>
            <w:vAlign w:val="top"/>
          </w:tcPr>
          <w:p>
            <w:pPr>
              <w:pStyle w:val="Compact"/>
              <w:jc w:val="left"/>
            </w:pPr>
            <w:r>
              <w:t xml:space="preserve">U7 Biosphere</w:t>
            </w:r>
          </w:p>
        </w:tc>
        <w:tc>
          <w:tcPr>
            <w:vAlign w:val="top"/>
          </w:tcPr>
          <w:p>
            <w:pPr>
              <w:pStyle w:val="Compact"/>
              <w:jc w:val="left"/>
            </w:pPr>
            <w:r>
              <w:t xml:space="preserve">-0.25</w:t>
            </w:r>
          </w:p>
        </w:tc>
        <w:tc>
          <w:tcPr>
            <w:vAlign w:val="top"/>
          </w:tcPr>
          <w:p>
            <w:pPr>
              <w:pStyle w:val="Compact"/>
              <w:jc w:val="left"/>
            </w:pPr>
            <w:r>
              <w:t xml:space="preserve">0.30</w:t>
            </w:r>
          </w:p>
        </w:tc>
      </w:tr>
    </w:tbl>
    <w:p>
      <w:pPr>
        <w:pStyle w:val="BodyText"/>
      </w:pPr>
      <w:r>
        <w:t xml:space="preserve">Then:</w:t>
      </w:r>
    </w:p>
    <w:p>
      <w:pPr>
        <w:pStyle w:val="BodyText"/>
      </w:pPr>
      <w:r>
        <w:t xml:space="preserve">RLS_PLSS(A) ≈ 0.0656</w:t>
      </w:r>
    </w:p>
    <w:p>
      <w:pPr>
        <w:pStyle w:val="BodyText"/>
      </w:pPr>
      <w:r>
        <w:t xml:space="preserve">RLS_PLSS(B) ≈ 0.2444</w:t>
      </w:r>
    </w:p>
    <w:p>
      <w:pPr>
        <w:pStyle w:val="BodyText"/>
      </w:pPr>
      <w:r>
        <w:t xml:space="preserve">So Option B wins on welfare ranking among selectable options.</w:t>
      </w:r>
    </w:p>
    <w:p>
      <w:pPr>
        <w:pStyle w:val="BodyText"/>
      </w:pPr>
      <w:r>
        <w:t xml:space="preserve">Worked-example uncertainty note. The raw RLS_PLSS values shown in this example do not by themselves determine final selectability. Under the declared uncertainty method, the lead between the top two selectable options SHALL be tested against the Section 10.4 discrimination threshold. If the result is non-decisive, the Section 11.5 tie-break chain applies. This example is intended to illustrate PLSS weight construction and score propagation, not to waive the framework’s general decisiveness discipline.</w:t>
      </w:r>
    </w:p>
    <w:p>
      <w:pPr>
        <w:pStyle w:val="BodyText"/>
      </w:pPr>
      <w:r>
        <w:t xml:space="preserve">Admissibility note. If Option C carries plausible rights-floor or catastrophe concerns through toxic exposure or abusive supply-chain conditions, it may fail NCRC or TRC before RLS ranking. If so, it is not saved by local convenience or low cost.</w:t>
      </w:r>
    </w:p>
    <w:p>
      <w:pPr>
        <w:pStyle w:val="BodyText"/>
      </w:pPr>
      <w:r>
        <w:t xml:space="preserve">Lesson (Informative). PLSS does not say “ignore broader scopes.” It says: let local decisions place most additional attention where the ripple is near, while still preventing local gain from laundering wider harm.</w:t>
      </w:r>
    </w:p>
    <w:bookmarkEnd w:id="181"/>
    <w:bookmarkStart w:id="184" w:name="Xf6f325be27d62bdf033c671b0e3b2be7bb45b4b"/>
    <w:p>
      <w:pPr>
        <w:pStyle w:val="Heading2"/>
      </w:pPr>
      <w:r>
        <w:rPr>
          <w:bCs/>
          <w:b/>
        </w:rPr>
        <w:t xml:space="preserve">10.3 Uncertainty Handling (Tier 2+ Required for Active Cells) (Normative)</w:t>
      </w:r>
    </w:p>
    <w:p>
      <w:pPr>
        <w:pStyle w:val="FirstParagraph"/>
      </w:pPr>
      <w:r>
        <w:t xml:space="preserve">RippleLogic recognizes epistemic uncertainty. Tier 2 and Tier 3 runs MUST record uncertainty and apply the discrimination rule for all active cells (definition below). Tier 1 runs SHOULD record uncertainty when feasible, especially on rights-covered and catastrophe-relevant cells.</w:t>
      </w:r>
    </w:p>
    <w:p>
      <w:pPr>
        <w:pStyle w:val="BodyText"/>
      </w:pPr>
      <w:r>
        <w:t xml:space="preserve">Active cell definition (Normative; v9.0 tightened). A cell (u,d) is active for a run if any of the following holds: (i) m(u,d)=1 and the cell contributes to RLS aggregation, (ii) the cell lies in any rights coverage set C_r used for NCRC evaluation (regardless of mask status), (iii) the cell lies in the catastrophe cell set C_cat used for TRC evaluation (regardless of mask status), (iv) the cell is explicitly populated in the run for any gate, diagnostic, or justification, or (v) the cell is required by the run’s minimum governance coverage rules declared in the PCC.</w:t>
      </w:r>
    </w:p>
    <w:p>
      <w:pPr>
        <w:pStyle w:val="BodyText"/>
      </w:pPr>
      <w:r>
        <w:t xml:space="preserve">Active cells MUST NOT be treated as unknown-by-default without disclosure. Masking (m(u,d)=0) excludes a cell from RLS aggregation only; it does not remove the cell from active status if any of conditions (ii) through (v) hold.</w:t>
      </w:r>
    </w:p>
    <w:p>
      <w:pPr>
        <w:pStyle w:val="BodyText"/>
      </w:pPr>
      <w:r>
        <w:t xml:space="preserve">Definition of σ(u,d,a) (normative minimum): PCC MUST declare one of the following cell-level uncertainty proxies and apply it consistently across options:</w:t>
      </w:r>
    </w:p>
    <w:bookmarkStart w:id="182" w:name="Xa654c3df961095351ef388cab4b30166c6850c1"/>
    <w:p>
      <w:pPr>
        <w:pStyle w:val="Heading3"/>
      </w:pPr>
      <w:r>
        <w:rPr>
          <w:bCs/>
          <w:b/>
        </w:rPr>
        <w:t xml:space="preserve">10.3.1 Cell-level uncertainty proxy declarations (Normative)</w:t>
      </w:r>
    </w:p>
    <w:bookmarkEnd w:id="182"/>
    <w:bookmarkStart w:id="183" w:name="X1fbcae8956aca94fcf95c6538aaec6a239522c4"/>
    <w:p>
      <w:pPr>
        <w:pStyle w:val="Heading3"/>
      </w:pPr>
      <w:r>
        <w:rPr>
          <w:bCs/>
          <w:b/>
        </w:rPr>
        <w:t xml:space="preserve">10.3.2 Cell-level confidence derivation (Normative; Method B binding)</w:t>
      </w:r>
    </w:p>
    <w:p>
      <w:pPr>
        <w:pStyle w:val="FirstParagraph"/>
      </w:pPr>
      <w:r>
        <w:t xml:space="preserve">When the PCC uses Method B (confidence-derived) to compute cell uncertainty for a cell impact estimate, the PCC MUST define cell confidence c(u,d,a) in [0,1] from the set of impact-instance confidences {c_k} k∈K(u,d,a) using one declared CellConfidenceAggregationMethod. Implementations MUST apply the same method across all options in the run.</w:t>
      </w:r>
    </w:p>
    <w:p>
      <w:pPr>
        <w:pStyle w:val="BodyText"/>
      </w:pPr>
      <w:r>
        <w:t xml:space="preserve">Let the instance contribution weight be defined as:</w:t>
      </w:r>
      <w:r>
        <w:br/>
      </w:r>
      <w:r>
        <w:t xml:space="preserve">q_k := r_k · τ(t_k) · ℓ_k · e_k · h_k · |μ_k|</w:t>
      </w:r>
      <w:r>
        <w:br/>
      </w:r>
      <w:r>
        <w:t xml:space="preserve">and let Q := Σ_{k∈K(u,d,a)} q_k.</w:t>
      </w:r>
    </w:p>
    <w:p>
      <w:pPr>
        <w:pStyle w:val="BodyText"/>
      </w:pPr>
      <w:r>
        <w:t xml:space="preserve">The PCC MUST declare one of the following canonical aggregation methods:</w:t>
      </w:r>
    </w:p>
    <w:p>
      <w:pPr>
        <w:pStyle w:val="BodyText"/>
      </w:pPr>
      <w:r>
        <w:t xml:space="preserve">CCAM_MIN_V1 (conservative default):</w:t>
      </w:r>
      <w:r>
        <w:br/>
      </w:r>
      <w:r>
        <w:t xml:space="preserve">c(u,d,a) := min_{k∈K(u,d,a)} c_k</w:t>
      </w:r>
      <w:r>
        <w:br/>
      </w:r>
      <w:r>
        <w:t xml:space="preserve">Use case: high-stakes, high-adversarial-pressure contexts where “weakest-link” confidence is the appropriate posture.</w:t>
      </w:r>
    </w:p>
    <w:p>
      <w:pPr>
        <w:pStyle w:val="BodyText"/>
      </w:pPr>
      <w:r>
        <w:t xml:space="preserve">CCAM_WMEAN_V1 (weighted mean): if Q&gt;0,</w:t>
      </w:r>
      <w:r>
        <w:br/>
      </w:r>
      <w:r>
        <w:t xml:space="preserve">c(u,d,a) := (1/Q) · Σ_{k∈K(u,d,a)} (q_k · c_k)</w:t>
      </w:r>
      <w:r>
        <w:br/>
      </w:r>
      <w:r>
        <w:t xml:space="preserve">If Q=0, set c(u,d,a) := min_{k∈K(u,d,a)} c_k.</w:t>
      </w:r>
    </w:p>
    <w:p>
      <w:pPr>
        <w:pStyle w:val="BodyText"/>
      </w:pPr>
      <w:r>
        <w:t xml:space="preserve">Edge case (Normative). If K(u,d,a)=∅ and the Phantom Instance Rule applies, distinguish point-estimate construction from epistemic uncertainty. The phantom instance uses</w:t>
      </w:r>
      <w:r>
        <w:t xml:space="preserve"> </w:t>
      </w:r>
      <w:r>
        <w:rPr>
          <w:rStyle w:val="VerbatimChar"/>
        </w:rPr>
        <w:t xml:space="preserve">c_point=1.0</w:t>
      </w:r>
      <w:r>
        <w:t xml:space="preserve"> </w:t>
      </w:r>
      <w:r>
        <w:t xml:space="preserve">only so the declared ignorance penalty is not attenuated in the point estimate. For Method B uncertainty, the cell MUST use</w:t>
      </w:r>
      <w:r>
        <w:t xml:space="preserve"> </w:t>
      </w:r>
      <w:r>
        <w:rPr>
          <w:rStyle w:val="VerbatimChar"/>
        </w:rPr>
        <w:t xml:space="preserve">c_uncertainty=0.0</w:t>
      </w:r>
      <w:r>
        <w:t xml:space="preserve"> </w:t>
      </w:r>
      <w:r>
        <w:t xml:space="preserve">and therefore</w:t>
      </w:r>
      <w:r>
        <w:t xml:space="preserve"> </w:t>
      </w:r>
      <w:r>
        <w:rPr>
          <w:rStyle w:val="VerbatimChar"/>
        </w:rPr>
        <w:t xml:space="preserve">σ(u,d,a)=A_cell(u,d,a)</w:t>
      </w:r>
      <w:r>
        <w:t xml:space="preserve"> </w:t>
      </w:r>
      <w:r>
        <w:t xml:space="preserve">(subject to the ordinary cap), while remaining marked</w:t>
      </w:r>
      <w:r>
        <w:t xml:space="preserve"> </w:t>
      </w:r>
      <w:r>
        <w:rPr>
          <w:rStyle w:val="VerbatimChar"/>
        </w:rPr>
        <w:t xml:space="preserve">UNKNOWN_IMPACT</w:t>
      </w:r>
      <w:r>
        <w:t xml:space="preserve">. An implementation MUST NOT assign zero uncertainty to a phantom-active cell merely because the point-estimate penalty was applied at full strength.</w:t>
      </w:r>
    </w:p>
    <w:p>
      <w:pPr>
        <w:pStyle w:val="BodyText"/>
      </w:pPr>
      <w:r>
        <w:t xml:space="preserve">Range rule (Normative). The derived c(u,d,a) MUST be clipped to [0,1] and recorded in PCC for each active cell when Method B is used.</w:t>
      </w:r>
    </w:p>
    <w:p>
      <w:pPr>
        <w:pStyle w:val="BodyText"/>
      </w:pPr>
      <w:r>
        <w:t xml:space="preserve">Method A (interval half-width): If the PCC records a confidence interval [L,U] for the cell impact I(u,d,a), set σ(u,d,a) = (U − L)/2.</w:t>
      </w:r>
    </w:p>
    <w:p>
      <w:pPr>
        <w:pStyle w:val="BodyText"/>
      </w:pPr>
      <w:r>
        <w:t xml:space="preserve">Method B (confidence-derived contribution-mass rule): Let x_k be each pre-confidence signed instance contribution in the cell after reach, temporal, likelihood, adjustment, and permitted sentience terms but before cell saturation. Define A_cell(u,d,a) = min(1, Σ_k |x_k|). If the PCC records cell confidence c(u,d,a) ∈ [0,1], set σ(u,d,a) = (1 − c(u,d,a)) × A_cell(u,d,a). This prevents uncertain positive and negative contributions from cancelling to a deceptively small uncertainty value.</w:t>
      </w:r>
      <w:r>
        <w:t xml:space="preserve"> </w:t>
      </w:r>
      <w:r>
        <w:rPr>
          <w:bCs/>
          <w:b/>
        </w:rPr>
        <w:t xml:space="preserve">Reconstruction rule.</w:t>
      </w:r>
      <w:r>
        <w:t xml:space="preserve"> </w:t>
      </w:r>
      <w:r>
        <w:t xml:space="preserve">If a worked vector begins from a single-instance post-confidence saturated welfare value</w:t>
      </w:r>
      <w:r>
        <w:t xml:space="preserve"> </w:t>
      </w:r>
      <w:r>
        <w:rPr>
          <w:rStyle w:val="VerbatimChar"/>
        </w:rPr>
        <w:t xml:space="preserve">I_prop_welfare = tanh(beta * c_k * x_preconf)</w:t>
      </w:r>
      <w:r>
        <w:t xml:space="preserve">, it MUST reconstruct</w:t>
      </w:r>
      <w:r>
        <w:t xml:space="preserve"> </w:t>
      </w:r>
      <w:r>
        <w:rPr>
          <w:rStyle w:val="VerbatimChar"/>
        </w:rPr>
        <w:t xml:space="preserve">x_preconf = atanh(I_prop_welfare)/(beta * c_k)</w:t>
      </w:r>
      <w:r>
        <w:t xml:space="preserve">, not divide by</w:t>
      </w:r>
      <w:r>
        <w:t xml:space="preserve"> </w:t>
      </w:r>
      <w:r>
        <w:rPr>
          <w:rStyle w:val="VerbatimChar"/>
        </w:rPr>
        <w:t xml:space="preserve">beta</w:t>
      </w:r>
      <w:r>
        <w:t xml:space="preserve"> </w:t>
      </w:r>
      <w:r>
        <w:t xml:space="preserve">alone. For multiple instances, the run MUST retain or reproduce the instance ledger; a cell total generally cannot identify the pre-confidence absolute contribution mass uniquely.</w:t>
      </w:r>
    </w:p>
    <w:p>
      <w:pPr>
        <w:pStyle w:val="BodyText"/>
      </w:pPr>
      <w:r>
        <w:t xml:space="preserve">Method C (calibrated table): Use a pre-registered mapping from qualitative uncertainty labels (for example, LOW/MED/HIGH) to σ values, stored in the ProofPack or PCC appendix.</w:t>
      </w:r>
    </w:p>
    <w:p>
      <w:pPr>
        <w:pStyle w:val="BodyText"/>
      </w:pPr>
      <w:r>
        <w:t xml:space="preserve">σ values MUST be clipped to [0,1]. Unless a stricter governed method is declared, σ(u,d,a) is interpreted as the pre-κ cell-level uncertainty input and SHALL be aggregated into σ_RLS using the same w_u, v_d, m(u,d), and κ(u,d) posture used for RLS.</w:t>
      </w:r>
    </w:p>
    <w:p>
      <w:pPr>
        <w:pStyle w:val="BodyText"/>
      </w:pPr>
      <w:r>
        <w:t xml:space="preserve">Auditability binding (Normative). The PCC MUST record the source, elicitation basis, or calibration table used for σ(u,d,a) and any declared aggregation rule that produces it. Unless a stricter governed method is declared, σ(u,d,a) is interpreted as the pre-κ cell-level uncertainty input and SHALL be aggregated into σ_RLS using the same w_u, v_d, m(u,d), and κ(u,d) posture used for RLS. If an allowed alternative uncertainty method or aggregation rule would change decisiveness, that sensitivity MUST be disclosed.</w:t>
      </w:r>
    </w:p>
    <w:p>
      <w:pPr>
        <w:pStyle w:val="BodyText"/>
      </w:pPr>
      <w:r>
        <w:t>Tier 3 uncertainty hardening (Normative). Tier 3 runs MUST rerun decisiveness using σ×0.5 and σ×2.0 stress tests (or the nearest declared equivalent for Method A interval widths) and MUST record whether the top-versus-runner-up decisiveness result changes.</w:t>
      </w:r>
    </w:p>
    <w:p>
      <w:pPr>
        <w:pStyle w:val="BodyText"/>
      </w:pPr>
      <w:r>
        <w:t>Cross-tier computed-sensitivity rule (Normative). Whenever a run at any tier actually computes a declared uncertainty, dependence-cluster, baseline, weighting, saturation, or other governed sensitivity and the decisive/non-decisive classification changes under a tested variant, the run MUST set the applicable sensitivity flag, including UNCERTAINTY_DECISIVENESS_SENSITIVE where uncertainty is causal, and SHALL be treated as non-decisive until the tie-break chain or governance review is completed. Optional sensitivity work cannot be ignored merely because the tier did not require it.</w:t>
      </w:r>
    </w:p>
    <w:p>
      <w:pPr>
        <w:pStyle w:val="BodyText"/>
      </w:pPr>
      <w:r>
        <w:t>Measurement-resolution rule (Normative). The declared σ(u,d,a) method MUST include the material elicitation, measurement, coding, model, and anchor-resolution uncertainty relevant to the cell claim. A zero uncertainty value is permitted only for an exact deterministic input whose transformation and reference are themselves exact for the declared claim. Where material resolution is unknown or unsupported, the run MUST not manufacture decisiveness from an arbitrarily small denominator; it must widen uncertainty, narrow the claim, or treat selection as non-decisive.</w:t>
      </w:r>
    </w:p>
    <w:p>
      <w:pPr>
        <w:pStyle w:val="BodyText"/>
      </w:pPr>
      <w:r>
        <w:t>Method C restriction (Normative). Method C may be used only with a pre-registered calibrated table. A bare constant σ applied to all active cells is permitted only for worked examples, training artifacts, or explicitly non-operational demonstrations. A DEMONSTRATION_ONLY, UNVALIDATED, or materially sensitivity-flipping uncertainty posture MAY display point scores and a demonstration Gap, but MUST NOT support ALLOW_FRAMEWORK_SELECTION, SELECTED_DECISIVE, or an unqualified operational claim of unique framework selection.</w:t>
      </w:r>
    </w:p>
    <w:p>
      <w:pPr>
        <w:pStyle w:val="BodyText"/>
      </w:pPr>
      <w:r>
        <w:t xml:space="preserve">Define approximate RLS uncertainty:</w:t>
      </w:r>
    </w:p>
    <w:p>
      <w:pPr>
        <w:pStyle w:val="BodyText"/>
      </w:pPr>
      <w:r>
        <w:t xml:space="preserve">σ_RLS(a) = √[Σ_u Σ_d (q(u,d) × σ(u,d,a))²] / Q, for Q &gt; 0</w:t>
      </w:r>
    </w:p>
    <w:p>
      <w:pPr>
        <w:pStyle w:val="BodyText"/>
      </w:pPr>
      <w:r>
        <w:t>This is the independent-cell approximation. Tier 3 and decision-material Tier 2 runs MUST declare dependence clusters and compute the Section 10.3.2 perfect-correlation or covariance-aware stress. If ranking or decisiveness changes, set RLS_DEPENDENCE_SENSITIVE and treat the result as non-decisive until governed resolution. The declared cell uncertainty MUST also include material measurement or elicitation resolution; exact zero is allowed only for exact deterministic inputs.</w:t>
      </w:r>
    </w:p>
    <w:p>
      <w:pPr>
        <w:pStyle w:val="BodyText"/>
      </w:pPr>
      <w:r>
        <w:rPr>
          <w:bCs/>
          <w:b/>
        </w:rPr>
        <w:t xml:space="preserve">Dependence-cluster uncertainty rule (Normative).</w:t>
      </w:r>
      <w:r>
        <w:t xml:space="preserve"> </w:t>
      </w:r>
      <w:r>
        <w:t xml:space="preserve">The formula above is the independent-cell approximation. Because cells may share sources, causal pathways, stakeholder populations, scenario assumptions, models, or evaluators, the PCC MUST declare uncertainty-dependence clusters for Tier 3 and decision-material Tier 2 runs. At minimum, compute a perfect-correlation stress within each declared cluster by summing absolute weighted uncertainty contributions inside the cluster, then combine independent clusters by root-sum-square. Where covariance estimates exist, a covariance-aware calculation MAY replace the stress approximation. If ranking or decisiveness changes relative to the independent-cell result, set</w:t>
      </w:r>
      <w:r>
        <w:t xml:space="preserve"> </w:t>
      </w:r>
      <w:r>
        <w:rPr>
          <w:rStyle w:val="VerbatimChar"/>
        </w:rPr>
        <w:t xml:space="preserve">RLS_DEPENDENCE_SENSITIVE</w:t>
      </w:r>
      <w:r>
        <w:t xml:space="preserve"> </w:t>
      </w:r>
      <w:r>
        <w:t xml:space="preserve">and treat the result as non-decisive until the tie-break or governance review is complete.</w:t>
      </w:r>
    </w:p>
    <w:p>
      <w:pPr>
        <w:pStyle w:val="BodyText"/>
      </w:pPr>
      <w:r>
        <w:t xml:space="preserve">Optional risk-adjusted score:</w:t>
      </w:r>
    </w:p>
    <w:p>
      <w:pPr>
        <w:pStyle w:val="BodyText"/>
      </w:pPr>
      <w:r>
        <w:t xml:space="preserve">RLS_adj(a) = RLS(a) − λ × σ_RLS(a)</w:t>
      </w:r>
    </w:p>
    <w:p>
      <w:pPr>
        <w:pStyle w:val="BodyText"/>
      </w:pPr>
      <w:r>
        <w:t xml:space="preserve">Default: λ = 0.5. Use is optional but must be declared.</w:t>
      </w:r>
    </w:p>
    <w:p>
      <w:pPr>
        <w:pStyle w:val="BodyText"/>
      </w:pPr>
      <w:r>
        <w:t xml:space="preserve">By default, RLS_adj is diagnostic only and MUST NOT replace RLS for ranking or decisiveness unless the run declares ex ante that risk-adjusted ranking is the governing ranking basis. If such a declaration is made, the same declared basis MUST be used consistently for ranking, Gap, and decisiveness across all compared options in the run.</w:t>
      </w:r>
    </w:p>
    <w:bookmarkEnd w:id="183"/>
    <w:bookmarkEnd w:id="184"/>
    <w:bookmarkStart w:id="185" w:name="Xf275740d449b98107a32df3342c62ec4bb16c30"/>
    <w:p>
      <w:pPr>
        <w:pStyle w:val="Heading2"/>
      </w:pPr>
      <w:r>
        <w:rPr>
          <w:bCs/>
          <w:b/>
        </w:rPr>
        <w:t xml:space="preserve">10.4 Discrimination Threshold (Decisive vs Non-Decisive) (Normative)</w:t>
      </w:r>
    </w:p>
    <w:p>
      <w:pPr>
        <w:pStyle w:val="FirstParagraph"/>
      </w:pPr>
      <w:r>
        <w:t xml:space="preserve">Define gap between two options:</w:t>
      </w:r>
    </w:p>
    <w:p>
      <w:pPr>
        <w:pStyle w:val="BodyText"/>
      </w:pPr>
      <w:r>
        <w:t xml:space="preserve">Gap(a,b) = abs(RLS(a) - RLS(b)) / sqrt(sigma_RLS(a)^2 + sigma_RLS(b)^2 + epsilon)</w:t>
      </w:r>
    </w:p>
    <w:p>
      <w:pPr>
        <w:pStyle w:val="BodyText"/>
      </w:pPr>
      <w:r>
        <w:t xml:space="preserve">Default: delta = 2, epsilon = 1e-6.</w:t>
      </w:r>
    </w:p>
    <w:p>
      <w:pPr>
        <w:pStyle w:val="BodyText"/>
      </w:pPr>
      <w:r>
        <w:t xml:space="preserve">Rationale (Informative). δ = 2 is a conservative governance convention for the normalized Gap definition, not a claim that Gap is a literal z-score or that a specific distributional assumption holds. Its purpose is to reduce premature declarations of decisiveness when option-level uncertainty materially overlaps. Domains may tune delta, but any non-default delta MUST be declared in the PCC, justified, and applied consistently across options in the run.</w:t>
      </w:r>
    </w:p>
    <w:p>
      <w:pPr>
        <w:pStyle w:val="BodyText"/>
      </w:pPr>
      <w:r>
        <w:t xml:space="preserve">Let a* be top RLS option and a₂ the runner-up among selectable options.</w:t>
      </w:r>
    </w:p>
    <w:p>
      <w:pPr>
        <w:pStyle w:val="BodyText"/>
      </w:pPr>
      <w:r>
        <w:t xml:space="preserve">Decisive lead rule:</w:t>
      </w:r>
    </w:p>
    <w:p>
      <w:pPr>
        <w:numPr>
          <w:ilvl w:val="0"/>
          <w:numId w:val="1108"/>
        </w:numPr>
        <w:pStyle w:val="Compact"/>
      </w:pPr>
      <w:r>
        <w:t xml:space="preserve">If Gap(a*, a2) &gt; delta (default delta = 2), select a* (subject to tie-break gating not being needed).</w:t>
      </w:r>
    </w:p>
    <w:p>
      <w:pPr>
        <w:numPr>
          <w:ilvl w:val="0"/>
          <w:numId w:val="1109"/>
        </w:numPr>
        <w:pStyle w:val="Compact"/>
      </w:pPr>
      <w:r>
        <w:t xml:space="preserve">If Gap(a*, a2) &lt;= delta, the lead is non-decisive and the tie-break chain MUST be applied (Section 11.5).</w:t>
      </w:r>
    </w:p>
    <w:bookmarkEnd w:id="185"/>
    <w:bookmarkStart w:id="186" w:name="Xff0d3328eba7f95a173330551f6cdf17df14d46"/>
    <w:p>
      <w:pPr>
        <w:pStyle w:val="Heading2"/>
      </w:pPr>
      <w:r>
        <w:rPr>
          <w:bCs/>
          <w:b/>
        </w:rPr>
        <w:t xml:space="preserve">10.4A Non-Decisive Gap Enforcement (Normative)</w:t>
      </w:r>
    </w:p>
    <w:p>
      <w:pPr>
        <w:pStyle w:val="FirstParagraph"/>
      </w:pPr>
      <w:r>
        <w:t>If the leading options are tied, close, uncertainty-overlapped, or sensitivity-flipping under the declared discrimination rule, FrameworkVerdict MUST NOT state or imply deterministic framework selection. If Gap(a*,a2) &lt;= delta, or if any actually computed governed sensitivity changes the decisive/non-decisive classification, or if the uncertainty basis is limited to an unvalidated demonstration that cannot support the claimed operational strength, the run MUST either apply a governed tie-break rule over already-selectable options, return REFUSE_DETERMINISTIC_SELECTION, or route to AuthoritySelectionRecord without claiming that RippleLogic itself selected uniquely.</w:t>
      </w:r>
    </w:p>
    <w:p>
      <w:pPr>
        <w:pStyle w:val="BodyText"/>
      </w:pPr>
      <w:r>
        <w:t>Any run that claims deterministic framework selection despite one of those non-decisive conditions SHOULD set DECISIVENESS_OVERRIDE_INVALID with severity INVALID. Authority selection may still choose among admissible non-decisive options, but it must be recorded as authority selection, not framework determinism.</w:t>
      </w:r>
    </w:p>
    <w:bookmarkEnd w:id="186"/>
    <w:bookmarkStart w:id="187" w:name="X11312cdcfdb550ef827eaadbadf7a9345bbe7d4"/>
    <w:p>
      <w:pPr>
        <w:pStyle w:val="Heading2"/>
      </w:pPr>
      <w:r>
        <w:rPr>
          <w:bCs/>
          <w:b/>
        </w:rPr>
        <w:t xml:space="preserve">10.5 RLS Output Requirements (Normative)</w:t>
      </w:r>
    </w:p>
    <w:p>
      <w:pPr>
        <w:pStyle w:val="FirstParagraph"/>
      </w:pPr>
      <w:r>
        <w:t xml:space="preserve">PCC MUST record, per option in A_sel:</w:t>
      </w:r>
    </w:p>
    <w:p>
      <w:pPr>
        <w:numPr>
          <w:ilvl w:val="0"/>
          <w:numId w:val="1110"/>
        </w:numPr>
        <w:pStyle w:val="Compact"/>
      </w:pPr>
      <w:r>
        <w:t xml:space="preserve">I_prop_welfare(u,d,a) (or a retrievable summarized representation)</w:t>
      </w:r>
    </w:p>
    <w:p>
      <w:pPr>
        <w:numPr>
          <w:ilvl w:val="0"/>
          <w:numId w:val="1111"/>
        </w:numPr>
        <w:pStyle w:val="Compact"/>
      </w:pPr>
      <w:r>
        <w:t xml:space="preserve">RLS(a) and σ_RLS(a) and the uncertainty method</w:t>
      </w:r>
    </w:p>
    <w:p>
      <w:pPr>
        <w:numPr>
          <w:ilvl w:val="0"/>
          <w:numId w:val="1112"/>
        </w:numPr>
        <w:pStyle w:val="Compact"/>
      </w:pPr>
      <w:r>
        <w:t xml:space="preserve">Ranking and whether decisive (Gap vs δ)</w:t>
      </w:r>
    </w:p>
    <w:p>
      <w:pPr>
        <w:pStyle w:val="FirstParagraph"/>
      </w:pPr>
      <w:r>
        <w:t xml:space="preserve">Human-facing numeric rendering (Normative presentation rule). Machine records and calculation traces SHALL retain the precision needed for deterministic replay. Ordinary human-facing summaries SHOULD render RLS, CVaR, normalized Gap, uncertainty, and derived scores to no more than three decimal places unless additional displayed precision is decision-material and its evidential basis is stated. Rounded displays MUST identify the controlling full-precision calculation record and MUST NOT be used to reconstruct a different gate or selection result.</w:t>
      </w:r>
    </w:p>
    <w:bookmarkEnd w:id="187"/>
    <w:bookmarkEnd w:id="188"/>
    <w:bookmarkStart w:id="201" w:name="X96652ee80bcac363f94aa541255a3d4a3b47727"/>
    <w:p>
      <w:pPr>
        <w:pStyle w:val="Heading1"/>
      </w:pPr>
      <w:bookmarkStart w:id="776" w:name="mg_toc_012"/>
      <w:r>
        <w:rPr>
          <w:bCs/>
          <w:b/>
        </w:rPr>
        <w:t xml:space="preserve">SECTION 11: TIE-BREAKS, HOLLOWING DIAGNOSTICS, AND STRUCTURAL MONITORING</w:t>
      </w:r>
      <w:bookmarkEnd w:id="776"/>
    </w:p>
    <w:bookmarkStart w:id="189" w:name="Xe5905e92875c970a91a248c79977654eb7e1cda"/>
    <w:p>
      <w:pPr>
        <w:pStyle w:val="Heading2"/>
      </w:pPr>
      <w:r>
        <w:rPr>
          <w:bCs/>
          <w:b/>
        </w:rPr>
        <w:t xml:space="preserve">11.0 Purpose (Normative)</w:t>
      </w:r>
    </w:p>
    <w:p>
      <w:pPr>
        <w:pStyle w:val="FirstParagraph"/>
      </w:pPr>
      <w:r>
        <w:t xml:space="preserve">This section defines the special-case role of UCI/HOI after the core method has already formed a selectable set. UCI/HOI are not public headline cascade stages and are not independent late-stage admissibility gates. Their gate-relevant structural work belongs in Containment. Their residual work occurs only when RLS is tied, close, uncertainty-overlapped, or non-decisive, or when monitoring and hollowing-risk documentation are required.</w:t>
      </w:r>
    </w:p>
    <w:p>
      <w:pPr>
        <w:numPr>
          <w:ilvl w:val="0"/>
          <w:numId w:val="1113"/>
        </w:numPr>
        <w:pStyle w:val="Compact"/>
      </w:pPr>
      <w:r>
        <w:t xml:space="preserve">UCI is a structural metric used primarily as CSV evidence where material and secondarily as a residual tie-break signal when RLS cannot decide.</w:t>
      </w:r>
    </w:p>
    <w:p>
      <w:pPr>
        <w:numPr>
          <w:ilvl w:val="0"/>
          <w:numId w:val="1114"/>
        </w:numPr>
        <w:pStyle w:val="Compact"/>
      </w:pPr>
      <w:r>
        <w:t xml:space="preserve">HOI is a hollowing and drift diagnostic that flags welfare-up/coherence-down patterns for Containment, monitoring, and residual tie-break contexts.</w:t>
      </w:r>
    </w:p>
    <w:bookmarkEnd w:id="189"/>
    <w:bookmarkStart w:id="190" w:name="X04057c5f044ab346c6737ccf98746af7b479e72"/>
    <w:p>
      <w:pPr>
        <w:pStyle w:val="Heading2"/>
      </w:pPr>
      <w:r>
        <w:rPr>
          <w:bCs/>
          <w:b/>
        </w:rPr>
        <w:t xml:space="preserve">11.0A Instrument-Placement Rule for UCI/HOI (Normative)</w:t>
      </w:r>
    </w:p>
    <w:p>
      <w:pPr>
        <w:pStyle w:val="FirstParagraph"/>
      </w:pPr>
      <w:r>
        <w:t xml:space="preserve">UCI and HOI are structural diagnostic instruments with two possible uses.</w:t>
      </w:r>
    </w:p>
    <w:p>
      <w:pPr>
        <w:pStyle w:val="BodyText"/>
      </w:pPr>
      <w:r>
        <w:t xml:space="preserve">1. Containment use. When UCI/HOI evidence is material to cross-scale structural integrity, it is evaluated inside the CSV Gate under Section 9. This includes severe coherence loss, hidden hollowing, institutional brittleness, burnout, trust collapse, ecological degradation, governance-capacity loss, lock-in, or other structural damage to a containing union.</w:t>
      </w:r>
    </w:p>
    <w:p>
      <w:pPr>
        <w:pStyle w:val="BodyText"/>
      </w:pPr>
      <w:r>
        <w:t xml:space="preserve">2. Residual tie-break use. When no containment threshold is crossed and options have already passed RF/NCRC, TRC, and CSV, UCI/HOI may be used after RLS only to resolve tied, close, uncertainty-overlapped, or non-decisive welfare rankings, document residual structural preference, trigger monitoring, or inform future-run steering.</w:t>
      </w:r>
    </w:p>
    <w:p>
      <w:pPr>
        <w:pStyle w:val="BodyText"/>
      </w:pPr>
      <w:r>
        <w:t xml:space="preserve">Level 5 public-facing language SHALL NOT present UCI/HOI as a regular cascade stage. The public Level 5 is RippleLogic Score. The UCI/HOI rule is a special-case tie-break and monitoring rule attached to RLS non-decisiveness and CSV diagnostics.</w:t>
      </w:r>
    </w:p>
    <w:bookmarkEnd w:id="190"/>
    <w:bookmarkStart w:id="194" w:name="Xe8f0d5dd46602a123ffd6662ac73966c10770bb"/>
    <w:p>
      <w:pPr>
        <w:pStyle w:val="Heading2"/>
      </w:pPr>
      <w:r>
        <w:rPr>
          <w:bCs/>
          <w:b/>
        </w:rPr>
        <w:t xml:space="preserve">11.1 Union Coherence Index (UCI) (Normative)</w:t>
      </w:r>
    </w:p>
    <w:bookmarkStart w:id="191" w:name="X7dcfefcf86305ee9e1fa7087d945b9f11719884"/>
    <w:p>
      <w:pPr>
        <w:pStyle w:val="Heading3"/>
      </w:pPr>
      <w:r>
        <w:rPr>
          <w:bCs/>
          <w:b/>
        </w:rPr>
        <w:t xml:space="preserve">11.1.1 UCI components (canonical)</w:t>
      </w:r>
    </w:p>
    <w:p>
      <w:pPr>
        <w:pStyle w:val="FirstParagraph"/>
      </w:pPr>
      <w:r>
        <w:t xml:space="preserve">For each union u, define component scores in [0,1]:</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Component</w:t>
            </w:r>
          </w:p>
        </w:tc>
        <w:tc>
          <w:tcPr>
            <w:shd w:val="clear" w:color="auto" w:fill="D9EAF7"/>
            <w:vAlign w:val="center"/>
          </w:tcPr>
          <w:p>
            <w:pPr>
              <w:pStyle w:val="Compact"/>
              <w:jc w:val="left"/>
            </w:pPr>
            <w:r>
              <w:rPr>
                <w:bCs/>
                <w:b/>
                <w:color w:val="17365D"/>
              </w:rPr>
              <w:t xml:space="preserve">Symbol</w:t>
            </w:r>
          </w:p>
        </w:tc>
        <w:tc>
          <w:tcPr>
            <w:shd w:val="clear" w:color="auto" w:fill="D9EAF7"/>
            <w:vAlign w:val="center"/>
          </w:tcPr>
          <w:p>
            <w:pPr>
              <w:pStyle w:val="Compact"/>
              <w:jc w:val="left"/>
            </w:pPr>
            <w:r>
              <w:rPr>
                <w:bCs/>
                <w:b/>
                <w:color w:val="17365D"/>
              </w:rPr>
              <w:t xml:space="preserve">Description</w:t>
            </w:r>
          </w:p>
        </w:tc>
      </w:tr>
      <w:tr>
        <w:tc>
          <w:tcPr>
            <w:vAlign w:val="top"/>
          </w:tcPr>
          <w:p>
            <w:pPr>
              <w:pStyle w:val="Compact"/>
              <w:jc w:val="left"/>
            </w:pPr>
            <w:r>
              <w:t xml:space="preserve">Cohesion</w:t>
            </w:r>
          </w:p>
        </w:tc>
        <w:tc>
          <w:tcPr>
            <w:vAlign w:val="top"/>
          </w:tcPr>
          <w:p>
            <w:pPr>
              <w:pStyle w:val="Compact"/>
              <w:jc w:val="left"/>
            </w:pPr>
            <w:r>
              <w:t xml:space="preserve">H_u</w:t>
            </w:r>
          </w:p>
        </w:tc>
        <w:tc>
          <w:tcPr>
            <w:vAlign w:val="top"/>
          </w:tcPr>
          <w:p>
            <w:pPr>
              <w:pStyle w:val="Compact"/>
              <w:jc w:val="left"/>
            </w:pPr>
            <w:r>
              <w:t xml:space="preserve">Internal connectivity, trust, shared identity, conflict resolution capacity</w:t>
            </w:r>
          </w:p>
        </w:tc>
      </w:tr>
      <w:tr>
        <w:tc>
          <w:tcPr>
            <w:shd w:val="clear" w:color="auto" w:fill="F7FBFE"/>
            <w:vAlign w:val="top"/>
          </w:tcPr>
          <w:p>
            <w:pPr>
              <w:pStyle w:val="Compact"/>
              <w:jc w:val="left"/>
            </w:pPr>
            <w:r>
              <w:t xml:space="preserve">Flow</w:t>
            </w:r>
          </w:p>
        </w:tc>
        <w:tc>
          <w:tcPr>
            <w:shd w:val="clear" w:color="auto" w:fill="F7FBFE"/>
            <w:vAlign w:val="top"/>
          </w:tcPr>
          <w:p>
            <w:pPr>
              <w:pStyle w:val="Compact"/>
              <w:jc w:val="left"/>
            </w:pPr>
            <w:r>
              <w:t xml:space="preserve">F_u</w:t>
            </w:r>
          </w:p>
        </w:tc>
        <w:tc>
          <w:tcPr>
            <w:shd w:val="clear" w:color="auto" w:fill="F7FBFE"/>
            <w:vAlign w:val="top"/>
          </w:tcPr>
          <w:p>
            <w:pPr>
              <w:pStyle w:val="Compact"/>
              <w:jc w:val="left"/>
            </w:pPr>
            <w:r>
              <w:t xml:space="preserve">Coordination throughput, information fidelity, resource allocation efficiency</w:t>
            </w:r>
          </w:p>
        </w:tc>
      </w:tr>
      <w:tr>
        <w:tc>
          <w:tcPr>
            <w:vAlign w:val="top"/>
          </w:tcPr>
          <w:p>
            <w:pPr>
              <w:pStyle w:val="Compact"/>
              <w:jc w:val="left"/>
            </w:pPr>
            <w:r>
              <w:t xml:space="preserve">Resilience</w:t>
            </w:r>
          </w:p>
        </w:tc>
        <w:tc>
          <w:tcPr>
            <w:vAlign w:val="top"/>
          </w:tcPr>
          <w:p>
            <w:pPr>
              <w:pStyle w:val="Compact"/>
              <w:jc w:val="left"/>
            </w:pPr>
            <w:r>
              <w:t xml:space="preserve">R_u</w:t>
            </w:r>
          </w:p>
        </w:tc>
        <w:tc>
          <w:tcPr>
            <w:vAlign w:val="top"/>
          </w:tcPr>
          <w:p>
            <w:pPr>
              <w:pStyle w:val="Compact"/>
              <w:jc w:val="left"/>
            </w:pPr>
            <w:r>
              <w:t xml:space="preserve">Redundancy, robustness, recovery speed, adaptive capacity</w:t>
            </w:r>
          </w:p>
        </w:tc>
      </w:tr>
      <w:tr>
        <w:tc>
          <w:tcPr>
            <w:shd w:val="clear" w:color="auto" w:fill="F7FBFE"/>
            <w:vAlign w:val="top"/>
          </w:tcPr>
          <w:p>
            <w:pPr>
              <w:pStyle w:val="Compact"/>
              <w:jc w:val="left"/>
            </w:pPr>
            <w:r>
              <w:t xml:space="preserve">Equity</w:t>
            </w:r>
          </w:p>
        </w:tc>
        <w:tc>
          <w:tcPr>
            <w:shd w:val="clear" w:color="auto" w:fill="F7FBFE"/>
            <w:vAlign w:val="top"/>
          </w:tcPr>
          <w:p>
            <w:pPr>
              <w:pStyle w:val="Compact"/>
              <w:jc w:val="left"/>
            </w:pPr>
            <w:r>
              <w:t xml:space="preserve">E_u</w:t>
            </w:r>
          </w:p>
        </w:tc>
        <w:tc>
          <w:tcPr>
            <w:shd w:val="clear" w:color="auto" w:fill="F7FBFE"/>
            <w:vAlign w:val="top"/>
          </w:tcPr>
          <w:p>
            <w:pPr>
              <w:pStyle w:val="Compact"/>
              <w:jc w:val="left"/>
            </w:pPr>
            <w:r>
              <w:t xml:space="preserve">Fair distribution of burdens/benefits, voice representation, inclusion</w:t>
            </w:r>
          </w:p>
        </w:tc>
      </w:tr>
    </w:tbl>
    <w:p>
      <w:pPr>
        <w:pStyle w:val="BodyText"/>
      </w:pPr>
      <w:r>
        <w:t xml:space="preserve">Let</w:t>
      </w:r>
      <w:r>
        <w:t xml:space="preserve"> </w:t>
      </w:r>
      <w:r>
        <w:rPr>
          <w:rStyle w:val="VerbatimChar"/>
        </w:rPr>
        <w:t xml:space="preserve">A_u</w:t>
      </w:r>
      <w:r>
        <w:t xml:space="preserve"> </w:t>
      </w:r>
      <w:r>
        <w:t xml:space="preserve">be the set of components that are substantively applicable and measured for union scope</w:t>
      </w:r>
      <w:r>
        <w:t xml:space="preserve"> </w:t>
      </w:r>
      <w:r>
        <w:rPr>
          <w:rStyle w:val="VerbatimChar"/>
        </w:rPr>
        <w:t xml:space="preserve">u</w:t>
      </w:r>
      <w:r>
        <w:t xml:space="preserve">. Compute:</w:t>
      </w:r>
    </w:p>
    <w:p>
      <w:pPr>
        <w:pStyle w:val="BodyText"/>
      </w:pPr>
      <w:r>
        <w:rPr>
          <w:rStyle w:val="VerbatimChar"/>
        </w:rPr>
        <w:t xml:space="preserve">UCI_u = [sum_{j in A_u} alpha_j * X_{u,j}] / [sum_{j in A_u} alpha_j]</w:t>
      </w:r>
    </w:p>
    <w:p>
      <w:pPr>
        <w:pStyle w:val="BodyText"/>
      </w:pPr>
      <w:r>
        <w:t xml:space="preserve">where</w:t>
      </w:r>
      <w:r>
        <w:t xml:space="preserve"> </w:t>
      </w:r>
      <w:r>
        <w:rPr>
          <w:rStyle w:val="VerbatimChar"/>
        </w:rPr>
        <w:t xml:space="preserve">X_{u,j}</w:t>
      </w:r>
      <w:r>
        <w:t xml:space="preserve"> </w:t>
      </w:r>
      <w:r>
        <w:t xml:space="preserve">is</w:t>
      </w:r>
      <w:r>
        <w:t xml:space="preserve"> </w:t>
      </w:r>
      <w:r>
        <w:rPr>
          <w:rStyle w:val="VerbatimChar"/>
        </w:rPr>
        <w:t xml:space="preserve">H_u</w:t>
      </w:r>
      <w:r>
        <w:t xml:space="preserve">,</w:t>
      </w:r>
      <w:r>
        <w:t xml:space="preserve"> </w:t>
      </w:r>
      <w:r>
        <w:rPr>
          <w:rStyle w:val="VerbatimChar"/>
        </w:rPr>
        <w:t xml:space="preserve">F_u</w:t>
      </w:r>
      <w:r>
        <w:t xml:space="preserve">,</w:t>
      </w:r>
      <w:r>
        <w:t xml:space="preserve"> </w:t>
      </w:r>
      <w:r>
        <w:rPr>
          <w:rStyle w:val="VerbatimChar"/>
        </w:rPr>
        <w:t xml:space="preserve">R_u</w:t>
      </w:r>
      <w:r>
        <w:t xml:space="preserve">, or</w:t>
      </w:r>
      <w:r>
        <w:t xml:space="preserve"> </w:t>
      </w:r>
      <w:r>
        <w:rPr>
          <w:rStyle w:val="VerbatimChar"/>
        </w:rPr>
        <w:t xml:space="preserve">E_u</w:t>
      </w:r>
      <w:r>
        <w:t xml:space="preserve">. Default weights are</w:t>
      </w:r>
      <w:r>
        <w:t xml:space="preserve"> </w:t>
      </w:r>
      <w:r>
        <w:rPr>
          <w:rStyle w:val="VerbatimChar"/>
        </w:rPr>
        <w:t xml:space="preserve">alpha_H = alpha_F = alpha_R = alpha_E = 0.25</w:t>
      </w:r>
      <w:r>
        <w:t xml:space="preserve"> </w:t>
      </w:r>
      <w:r>
        <w:t xml:space="preserve">when all four components are applicable. An inapplicable component is recorded as</w:t>
      </w:r>
      <w:r>
        <w:t xml:space="preserve"> </w:t>
      </w:r>
      <w:r>
        <w:rPr>
          <w:rStyle w:val="VerbatimChar"/>
        </w:rPr>
        <w:t xml:space="preserve">NA</w:t>
      </w:r>
      <w:r>
        <w:t xml:space="preserve"> </w:t>
      </w:r>
      <w:r>
        <w:t xml:space="preserve">and the remaining weights are renormalized; it MUST NOT be assigned a perfect score merely to avoid a penalty.</w:t>
      </w:r>
    </w:p>
    <w:p>
      <w:pPr>
        <w:pStyle w:val="BodyText"/>
      </w:pPr>
      <w:r>
        <w:t xml:space="preserve">For Self (</w:t>
      </w:r>
      <w:r>
        <w:rPr>
          <w:rStyle w:val="VerbatimChar"/>
        </w:rPr>
        <w:t xml:space="preserve">U1</w:t>
      </w:r>
      <w:r>
        <w:t xml:space="preserve">), equity-as-distribution is ordinarily</w:t>
      </w:r>
      <w:r>
        <w:t xml:space="preserve"> </w:t>
      </w:r>
      <w:r>
        <w:rPr>
          <w:rStyle w:val="VerbatimChar"/>
        </w:rPr>
        <w:t xml:space="preserve">NA</w:t>
      </w:r>
      <w:r>
        <w:t xml:space="preserve">; the default computation therefore renormalizes across Cohesion, Flow, and Resilience unless a domain-specific within-self equity construct is explicitly defined and measured. For Biosphere (</w:t>
      </w:r>
      <w:r>
        <w:rPr>
          <w:rStyle w:val="VerbatimChar"/>
        </w:rPr>
        <w:t xml:space="preserve">U7</w:t>
      </w:r>
      <w:r>
        <w:t xml:space="preserve">), Equity is likewise</w:t>
      </w:r>
      <w:r>
        <w:t xml:space="preserve"> </w:t>
      </w:r>
      <w:r>
        <w:rPr>
          <w:rStyle w:val="VerbatimChar"/>
        </w:rPr>
        <w:t xml:space="preserve">NA</w:t>
      </w:r>
      <w:r>
        <w:t xml:space="preserve"> </w:t>
      </w:r>
      <w:r>
        <w:t xml:space="preserve">unless a defensible ecological-distribution or justice indicator is declared. Missing but applicable evidence is</w:t>
      </w:r>
      <w:r>
        <w:t xml:space="preserve"> </w:t>
      </w:r>
      <w:r>
        <w:rPr>
          <w:rStyle w:val="VerbatimChar"/>
        </w:rPr>
        <w:t xml:space="preserve">UNKNOWN</w:t>
      </w:r>
      <w:r>
        <w:t xml:space="preserve">, not</w:t>
      </w:r>
      <w:r>
        <w:t xml:space="preserve"> </w:t>
      </w:r>
      <w:r>
        <w:rPr>
          <w:rStyle w:val="VerbatimChar"/>
        </w:rPr>
        <w:t xml:space="preserve">NA</w:t>
      </w:r>
      <w:r>
        <w:t xml:space="preserve">, and triggers the applicable UCI-unavailability or claim-narrowing rule.</w:t>
      </w:r>
    </w:p>
    <w:bookmarkEnd w:id="191"/>
    <w:bookmarkStart w:id="192" w:name="Xb193bf26b48e9449868d4b3eb2f28431bfd83c4"/>
    <w:p>
      <w:pPr>
        <w:pStyle w:val="Heading3"/>
      </w:pPr>
      <w:r>
        <w:rPr>
          <w:bCs/>
          <w:b/>
        </w:rPr>
        <w:t xml:space="preserve">11.1.2 Structural independence rule (Normative; Tier 3 binding)</w:t>
      </w:r>
    </w:p>
    <w:p>
      <w:pPr>
        <w:pStyle w:val="FirstParagraph"/>
      </w:pPr>
      <w:r>
        <w:t xml:space="preserve">UCI MUST be computed from structural/process indicators distinct from welfare indicators used for RLS.</w:t>
      </w:r>
    </w:p>
    <w:p>
      <w:pPr>
        <w:pStyle w:val="BodyText"/>
      </w:pPr>
      <w:r>
        <w:t xml:space="preserve">At Tier 3:</w:t>
      </w:r>
    </w:p>
    <w:p>
      <w:pPr>
        <w:numPr>
          <w:ilvl w:val="0"/>
          <w:numId w:val="1115"/>
        </w:numPr>
        <w:pStyle w:val="Compact"/>
      </w:pPr>
      <w:r>
        <w:t xml:space="preserve">Deriving UCI from welfare-cell impacts is PROHIBITED.</w:t>
      </w:r>
    </w:p>
    <w:p>
      <w:pPr>
        <w:numPr>
          <w:ilvl w:val="0"/>
          <w:numId w:val="1116"/>
        </w:numPr>
        <w:pStyle w:val="Compact"/>
      </w:pPr>
      <w:r>
        <w:t xml:space="preserve">If structural indicators are unavailable, UCI is treated as unavailable and escalation/judgment-call protocol must be used (Section 11.5; Appendix E).</w:t>
      </w:r>
    </w:p>
    <w:bookmarkEnd w:id="192"/>
    <w:bookmarkStart w:id="193" w:name="X55acbb1a6162c6a81fd674ac8d01232ff80c7be"/>
    <w:p>
      <w:pPr>
        <w:pStyle w:val="Heading3"/>
      </w:pPr>
      <w:r>
        <w:rPr>
          <w:bCs/>
          <w:b/>
        </w:rPr>
        <w:t xml:space="preserve">11.1.3 ΔUCI computation (Normative)</w:t>
      </w:r>
    </w:p>
    <w:p>
      <w:pPr>
        <w:pStyle w:val="FirstParagraph"/>
      </w:pPr>
      <w:r>
        <w:t xml:space="preserve">11.1.3A UCI Measurement Maturity Statement (Normative acknowledgement)</w:t>
      </w:r>
    </w:p>
    <w:p>
      <w:pPr>
        <w:pStyle w:val="BodyText"/>
      </w:pPr>
      <w:r>
        <w:t>Structural coherence and viability are load-bearing in the RippleLogic architecture. UCI is one governed diagnostic for those properties and a residual tie-break interface; it is not a universally mandatory measured input and does not by itself define CSV. A run MAY resolve CSV from direct, domain-appropriate structural evidence without computing UCI where UCI is not material, provided every applicable CSV subcondition, dependency, control, reversibility, monitoring, authority/legitimacy, carrier-capacity, and evidence-sufficiency requirement is explicitly resolved. Where UCI is material, it informs rather than substitutes for the structured CSV evidence case. The current release line specifies UCI component definitions (Cohesion, Flow, Resilience, Equity), structural independence requirements, and indicator families per scope, but does not yet provide universally validated measurement instruments with published psychometric properties (reliability, validity, normalisation benchmarks) across domains.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Scope</w:t>
            </w:r>
          </w:p>
        </w:tc>
        <w:tc>
          <w:tcPr>
            <w:shd w:val="clear" w:color="auto" w:fill="D9EAF7"/>
            <w:vAlign w:val="center"/>
          </w:tcPr>
          <w:p>
            <w:pPr>
              <w:pStyle w:val="Compact"/>
              <w:jc w:val="left"/>
            </w:pPr>
            <w:r>
              <w:rPr>
                <w:bCs/>
                <w:b/>
                <w:color w:val="17365D"/>
              </w:rPr>
              <w:t xml:space="preserve">Measurement Maturity</w:t>
            </w:r>
          </w:p>
        </w:tc>
        <w:tc>
          <w:tcPr>
            <w:shd w:val="clear" w:color="auto" w:fill="D9EAF7"/>
            <w:vAlign w:val="center"/>
          </w:tcPr>
          <w:p>
            <w:pPr>
              <w:pStyle w:val="Compact"/>
              <w:jc w:val="left"/>
            </w:pPr>
            <w:r>
              <w:rPr>
                <w:bCs/>
                <w:b/>
                <w:color w:val="17365D"/>
              </w:rPr>
              <w:t xml:space="preserve">Notes</w:t>
            </w:r>
          </w:p>
        </w:tc>
      </w:tr>
      <w:tr>
        <w:tc>
          <w:tcPr>
            <w:vAlign w:val="top"/>
          </w:tcPr>
          <w:p>
            <w:pPr>
              <w:pStyle w:val="Compact"/>
              <w:jc w:val="left"/>
            </w:pPr>
            <w:r>
              <w:t xml:space="preserve">U1 Self</w:t>
            </w:r>
          </w:p>
        </w:tc>
        <w:tc>
          <w:tcPr>
            <w:vAlign w:val="top"/>
          </w:tcPr>
          <w:p>
            <w:pPr>
              <w:pStyle w:val="Compact"/>
              <w:jc w:val="left"/>
            </w:pPr>
            <w:r>
              <w:t xml:space="preserve">Provisional</w:t>
            </w:r>
          </w:p>
        </w:tc>
        <w:tc>
          <w:tcPr>
            <w:vAlign w:val="top"/>
          </w:tcPr>
          <w:p>
            <w:pPr>
              <w:pStyle w:val="Compact"/>
              <w:jc w:val="left"/>
            </w:pPr>
            <w:r>
              <w:t xml:space="preserve">Validated instruments exist for some components (e.g. psychological resilience scales, self-efficacy measures) but are not yet assembled into a UCI-specific battery.</w:t>
            </w:r>
          </w:p>
        </w:tc>
      </w:tr>
      <w:tr>
        <w:tc>
          <w:tcPr>
            <w:shd w:val="clear" w:color="auto" w:fill="F7FBFE"/>
            <w:vAlign w:val="top"/>
          </w:tcPr>
          <w:p>
            <w:pPr>
              <w:pStyle w:val="Compact"/>
              <w:jc w:val="left"/>
            </w:pPr>
            <w:r>
              <w:t xml:space="preserve">U2 Household</w:t>
            </w:r>
          </w:p>
        </w:tc>
        <w:tc>
          <w:tcPr>
            <w:shd w:val="clear" w:color="auto" w:fill="F7FBFE"/>
            <w:vAlign w:val="top"/>
          </w:tcPr>
          <w:p>
            <w:pPr>
              <w:pStyle w:val="Compact"/>
              <w:jc w:val="left"/>
            </w:pPr>
            <w:r>
              <w:t xml:space="preserve">Provisional</w:t>
            </w:r>
          </w:p>
        </w:tc>
        <w:tc>
          <w:tcPr>
            <w:shd w:val="clear" w:color="auto" w:fill="F7FBFE"/>
            <w:vAlign w:val="top"/>
          </w:tcPr>
          <w:p>
            <w:pPr>
              <w:pStyle w:val="Compact"/>
              <w:jc w:val="left"/>
            </w:pPr>
            <w:r>
              <w:t xml:space="preserve">Relationship quality instruments exist; household-level aggregation rules are not yet standardised.</w:t>
            </w:r>
          </w:p>
        </w:tc>
      </w:tr>
      <w:tr>
        <w:tc>
          <w:tcPr>
            <w:vAlign w:val="top"/>
          </w:tcPr>
          <w:p>
            <w:pPr>
              <w:pStyle w:val="Compact"/>
              <w:jc w:val="left"/>
            </w:pPr>
            <w:r>
              <w:t xml:space="preserve">U3 Community</w:t>
            </w:r>
          </w:p>
        </w:tc>
        <w:tc>
          <w:tcPr>
            <w:vAlign w:val="top"/>
          </w:tcPr>
          <w:p>
            <w:pPr>
              <w:pStyle w:val="Compact"/>
              <w:jc w:val="left"/>
            </w:pPr>
            <w:r>
              <w:t xml:space="preserve">Provisional, strongest starter coverage</w:t>
            </w:r>
          </w:p>
        </w:tc>
        <w:tc>
          <w:tcPr>
            <w:vAlign w:val="top"/>
          </w:tcPr>
          <w:p>
            <w:pPr>
              <w:pStyle w:val="Compact"/>
              <w:jc w:val="left"/>
            </w:pPr>
            <w:r>
              <w:t xml:space="preserve">Social capital instruments (e.g. trust surveys), participation parity measures, and mutual-aid readiness metrics exist; normalisation and inter-rater reliability under UCI aggregation are untested.</w:t>
            </w:r>
          </w:p>
        </w:tc>
      </w:tr>
      <w:tr>
        <w:tc>
          <w:tcPr>
            <w:shd w:val="clear" w:color="auto" w:fill="F7FBFE"/>
            <w:vAlign w:val="top"/>
          </w:tcPr>
          <w:p>
            <w:pPr>
              <w:pStyle w:val="Compact"/>
              <w:jc w:val="left"/>
            </w:pPr>
            <w:r>
              <w:t xml:space="preserve">U4 Organisation</w:t>
            </w:r>
          </w:p>
        </w:tc>
        <w:tc>
          <w:tcPr>
            <w:shd w:val="clear" w:color="auto" w:fill="F7FBFE"/>
            <w:vAlign w:val="top"/>
          </w:tcPr>
          <w:p>
            <w:pPr>
              <w:pStyle w:val="Compact"/>
              <w:jc w:val="left"/>
            </w:pPr>
            <w:r>
              <w:t xml:space="preserve">Provisional, strongest starter coverage</w:t>
            </w:r>
          </w:p>
        </w:tc>
        <w:tc>
          <w:tcPr>
            <w:shd w:val="clear" w:color="auto" w:fill="F7FBFE"/>
            <w:vAlign w:val="top"/>
          </w:tcPr>
          <w:p>
            <w:pPr>
              <w:pStyle w:val="Compact"/>
              <w:jc w:val="left"/>
            </w:pPr>
            <w:r>
              <w:t xml:space="preserve">Psychological safety instruments (e.g. Edmondson 1999), process throughput, incident recovery, and equity indices exist; assembly into UCI and structural independence verification are untested.</w:t>
            </w:r>
          </w:p>
        </w:tc>
      </w:tr>
      <w:tr>
        <w:tc>
          <w:tcPr>
            <w:vAlign w:val="top"/>
          </w:tcPr>
          <w:p>
            <w:pPr>
              <w:pStyle w:val="Compact"/>
              <w:jc w:val="left"/>
            </w:pPr>
            <w:r>
              <w:t xml:space="preserve">U5 Polity</w:t>
            </w:r>
          </w:p>
        </w:tc>
        <w:tc>
          <w:tcPr>
            <w:vAlign w:val="top"/>
          </w:tcPr>
          <w:p>
            <w:pPr>
              <w:pStyle w:val="Compact"/>
              <w:jc w:val="left"/>
            </w:pPr>
            <w:r>
              <w:t xml:space="preserve">Provisional</w:t>
            </w:r>
          </w:p>
        </w:tc>
        <w:tc>
          <w:tcPr>
            <w:vAlign w:val="top"/>
          </w:tcPr>
          <w:p>
            <w:pPr>
              <w:pStyle w:val="Compact"/>
              <w:jc w:val="left"/>
            </w:pPr>
            <w:r>
              <w:t xml:space="preserve">Institutional trust indices, rule-of-law indices, service delivery measures exist; UCI-specific aggregation is untested.</w:t>
            </w:r>
          </w:p>
        </w:tc>
      </w:tr>
      <w:tr>
        <w:tc>
          <w:tcPr>
            <w:shd w:val="clear" w:color="auto" w:fill="F7FBFE"/>
            <w:vAlign w:val="top"/>
          </w:tcPr>
          <w:p>
            <w:pPr>
              <w:pStyle w:val="Compact"/>
              <w:jc w:val="left"/>
            </w:pPr>
            <w:r>
              <w:t xml:space="preserve">U6 Humanity / Global Coordination</w:t>
            </w:r>
          </w:p>
        </w:tc>
        <w:tc>
          <w:tcPr>
            <w:shd w:val="clear" w:color="auto" w:fill="F7FBFE"/>
            <w:vAlign w:val="top"/>
          </w:tcPr>
          <w:p>
            <w:pPr>
              <w:pStyle w:val="Compact"/>
              <w:jc w:val="left"/>
            </w:pPr>
            <w:r>
              <w:t xml:space="preserve">Early design</w:t>
            </w:r>
          </w:p>
        </w:tc>
        <w:tc>
          <w:tcPr>
            <w:shd w:val="clear" w:color="auto" w:fill="F7FBFE"/>
            <w:vAlign w:val="top"/>
          </w:tcPr>
          <w:p>
            <w:pPr>
              <w:pStyle w:val="Compact"/>
              <w:jc w:val="left"/>
            </w:pPr>
            <w:r>
              <w:t xml:space="preserve">Cross-polity cooperation and global coordination indicators are sparse and domain-specific.</w:t>
            </w:r>
          </w:p>
        </w:tc>
      </w:tr>
      <w:tr>
        <w:tc>
          <w:tcPr>
            <w:vAlign w:val="top"/>
          </w:tcPr>
          <w:p>
            <w:pPr>
              <w:pStyle w:val="Compact"/>
              <w:jc w:val="left"/>
            </w:pPr>
            <w:r>
              <w:t xml:space="preserve">U7 Biosphere</w:t>
            </w:r>
          </w:p>
        </w:tc>
        <w:tc>
          <w:tcPr>
            <w:vAlign w:val="top"/>
          </w:tcPr>
          <w:p>
            <w:pPr>
              <w:pStyle w:val="Compact"/>
              <w:jc w:val="left"/>
            </w:pPr>
            <w:r>
              <w:t xml:space="preserve">Early design</w:t>
            </w:r>
          </w:p>
        </w:tc>
        <w:tc>
          <w:tcPr>
            <w:vAlign w:val="top"/>
          </w:tcPr>
          <w:p>
            <w:pPr>
              <w:pStyle w:val="Compact"/>
              <w:jc w:val="left"/>
            </w:pPr>
            <w:r>
              <w:t xml:space="preserve">Ecosystem connectivity and resilience metrics exist (e.g. biodiversity integrity indices, trophic stability measures) but UCI aggregation is not yet specified. E7 is ordinarily NA and the applicable components are renormalized; a perfect score is never inserted by default.</w:t>
            </w:r>
          </w:p>
        </w:tc>
      </w:tr>
    </w:tbl>
    <w:p>
      <w:pPr>
        <w:pStyle w:val="BodyText"/>
      </w:pPr>
      <w:r>
        <w:t xml:space="preserve">Consequence for Tier 3 claims (Normative). Tier 3 run-level conformance claims are possible under the current specification when the run declares its UCI indicator sources, normalisation rules, and structural independence posture (Appendix E). Framework-level claims that UCI is empirically calibrated or cross-domain validated are PROHIBITED until a companion UCI Measurement Annex is published with at minimum: (i) named instruments per component per scope for U3, U4, and U5, (ii) normalisation rules with declared reference populations, (iii) structural independence verification evidence, and (iv) inter-rater reliability data (target ICC &gt;= 0.70 on UCI component scores).</w:t>
      </w:r>
    </w:p>
    <w:p>
      <w:pPr>
        <w:pStyle w:val="BodyText"/>
      </w:pPr>
      <w:r>
        <w:t xml:space="preserve">Validation commitment. Publishing such an annex is a Phase 2 validation priority (Section 17.3). Until it exists, the UCI measurement gap is the single largest barrier to framework-level empirical operational-readiness claims for Containment and tie-break governance.</w:t>
      </w:r>
    </w:p>
    <w:p>
      <w:pPr>
        <w:pStyle w:val="BodyText"/>
      </w:pPr>
      <w:r>
        <w:t>Interpretive hardening (Normative). Until a companion UCI Measurement Annex is published, the structural questions UCI is intended to illuminate remain load-bearing, while UCI itself remains an empirically provisional diagnostic at the framework level. UCI therefore has no independent decision authority merely because a numerical value can be computed. CSV MAY resolve from direct, domain-appropriate structural evidence when UCI is not material, provided every applicable CSV subcondition is explicitly resolved; where UCI is material, it informs and challenges that evidence case rather than substituting for it. This limitation SHALL be surfaced in the Reader Guide, in Tier-claim language, and in any public claim about Containment or tie-break readiness. No framework-level claim of cross-domain calibrated or cross-domain validated UCI is permitted in the current v12.6 release line.</w:t>
      </w:r>
    </w:p>
    <w:p>
      <w:pPr>
        <w:pStyle w:val="BodyText"/>
      </w:pPr>
      <w:r>
        <w:t>Provisional-UCI high-stakes restriction (Normative). A provisional UCI result MUST NOT be the sole evidential basis for either a high-stakes CSV_FAIL or an unqualified high-stakes CSV_PASS / CSV_PASS_WITH_CONTROLS, and MUST NOT by itself convert an otherwise non-decisive high-stakes RLS result into deterministic framework selection. A high-stakes fail requires a structured CSV evidence case that identifies the concrete structural mechanism, affected containing scope, evidence and uncertainty, threshold or failure condition, reviewer status, and available controls or redesign path. A high-stakes pass requires independently supported evidence that the relevant structural mechanism, dependencies, controls, reversibility, monitoring, and carrier capacity are adequate. If UCI is the only remaining discriminator among otherwise selectable options, the PCC SHALL disclose UCI measurement maturity, uncertainty, indicator provenance, structural-independence posture, and the underlying structural evidence; absent sufficient support, preserve the non-decisive result and route any later choice through the separately identified authority/governance path. Where provisional UCI raises or clears a material concern but the structured evidence case is not yet sufficient, use ASSUMPTION_BOUND, CSV_ESCALATE, or CSV_REDESIGN_REQUIRED as appropriate rather than a falsely certain fail, pass, or deterministic selection.</w:t>
      </w:r>
    </w:p>
    <w:p>
      <w:pPr>
        <w:pStyle w:val="BodyText"/>
      </w:pPr>
      <w:r>
        <w:t xml:space="preserve">For each option a:</w:t>
      </w:r>
    </w:p>
    <w:p>
      <w:pPr>
        <w:pStyle w:val="BodyText"/>
      </w:pPr>
      <w:r>
        <w:t xml:space="preserve">ΔUCI_u(a) = UCI_u(a) − UCI_u(baseline)</w:t>
      </w:r>
    </w:p>
    <w:p>
      <w:pPr>
        <w:pStyle w:val="BodyText"/>
      </w:pPr>
      <w:r>
        <w:t xml:space="preserve">Containment uses ΔUCI for containing unions (Section 9).</w:t>
      </w:r>
    </w:p>
    <w:bookmarkEnd w:id="193"/>
    <w:bookmarkEnd w:id="194"/>
    <w:bookmarkStart w:id="195" w:name="X03aca791f5a7c86ceeceb99200a3659a35c2a8e"/>
    <w:p>
      <w:pPr>
        <w:pStyle w:val="Heading2"/>
      </w:pPr>
      <w:r>
        <w:rPr>
          <w:bCs/>
          <w:b/>
        </w:rPr>
        <w:t xml:space="preserve">11.2 Aggregate UCI (Optional, informative)</w:t>
      </w:r>
    </w:p>
    <w:p>
      <w:pPr>
        <w:pStyle w:val="FirstParagraph"/>
      </w:pPr>
      <w:r>
        <w:t xml:space="preserve">An aggregate coherence score may be computed:</w:t>
      </w:r>
    </w:p>
    <w:p>
      <w:pPr>
        <w:pStyle w:val="BodyText"/>
      </w:pPr>
      <w:r>
        <w:t xml:space="preserve">UCI_agg = Σ_u γ_u × UCI_u</w:t>
      </w:r>
    </w:p>
    <w:p>
      <w:pPr>
        <w:pStyle w:val="BodyText"/>
      </w:pPr>
      <w:r>
        <w:t xml:space="preserve">Where γ_u are declared aggregation weights. This aggregate is optional and MUST NOT replace per-union UCI in containment logic unless explicitly governed.</w:t>
      </w:r>
    </w:p>
    <w:bookmarkEnd w:id="195"/>
    <w:bookmarkStart w:id="196" w:name="X462de3acd3b3af4e33e6f7083fba999705ad1af"/>
    <w:p>
      <w:pPr>
        <w:pStyle w:val="Heading2"/>
      </w:pPr>
      <w:r>
        <w:rPr>
          <w:bCs/>
          <w:b/>
        </w:rPr>
        <w:t xml:space="preserve">11.3 Hollowing-Out Index (HOI) (Normative as monitoring definition)</w:t>
      </w:r>
    </w:p>
    <w:p>
      <w:pPr>
        <w:pStyle w:val="FirstParagraph"/>
      </w:pPr>
      <w:r>
        <w:t xml:space="preserve">HOI detects a drift pattern: welfare score improves while coherence degrades over time.</w:t>
      </w:r>
    </w:p>
    <w:p>
      <w:pPr>
        <w:pStyle w:val="BodyText"/>
      </w:pPr>
      <w:r>
        <w:t xml:space="preserve">Let t index review periods. Define:</w:t>
      </w:r>
    </w:p>
    <w:p>
      <w:pPr>
        <w:numPr>
          <w:ilvl w:val="0"/>
          <w:numId w:val="1117"/>
        </w:numPr>
        <w:pStyle w:val="Compact"/>
      </w:pPr>
      <w:r>
        <w:t xml:space="preserve">ΔRLS_t = RLS_t − RLS_{t-1}</w:t>
      </w:r>
    </w:p>
    <w:p>
      <w:pPr>
        <w:numPr>
          <w:ilvl w:val="0"/>
          <w:numId w:val="1118"/>
        </w:numPr>
        <w:pStyle w:val="Compact"/>
      </w:pPr>
      <w:r>
        <w:t xml:space="preserve">ΔUCI_t = UCI_agg,t − UCI_agg,{t-1} (or a declared union-specific UCI; must be consistent)</w:t>
      </w:r>
    </w:p>
    <w:p>
      <w:pPr>
        <w:pStyle w:val="FirstParagraph"/>
      </w:pPr>
      <w:r>
        <w:t xml:space="preserve">Define exponential moving average EMA_λ with a declared smoothing parameter (default half-life 3 periods).</w:t>
      </w:r>
    </w:p>
    <w:p>
      <w:pPr>
        <w:pStyle w:val="BodyText"/>
      </w:pPr>
      <w:r>
        <w:t xml:space="preserve">HOI_t = EMA_λ(ΔRLS_t / s_RLS)_t − EMA_λ(ΔUCI_t / s_UCI)_t</w:t>
      </w:r>
    </w:p>
    <w:p>
      <w:pPr>
        <w:pStyle w:val="BodyText"/>
      </w:pPr>
      <w:r>
        <w:t xml:space="preserve">Scale rule (Normative). s_RLS and s_UCI MUST be positive, preregistered reference scales derived from a declared reference range or robust dispersion estimate and held fixed for the review window. If either scale is unavailable or unstable, HOI is UNAVAILABLE; raw unstandardized changes MUST NOT be subtracted.</w:t>
      </w:r>
    </w:p>
    <w:p>
      <w:pPr>
        <w:pStyle w:val="BodyText"/>
      </w:pPr>
      <w:r>
        <w:t xml:space="preserve">Interpretation:</w:t>
      </w:r>
    </w:p>
    <w:p>
      <w:pPr>
        <w:numPr>
          <w:ilvl w:val="0"/>
          <w:numId w:val="1119"/>
        </w:numPr>
        <w:pStyle w:val="Compact"/>
      </w:pPr>
      <w:r>
        <w:t xml:space="preserve">Persistent HOI &gt; 0 means standardized welfare change exceeds standardized coherence change; by itself it does not prove deterioration because both quantities may be improving. A strict hollowing pattern requires the declared EMA of standardized welfare change to be positive while the declared EMA of standardized coherence change is negative. When HOI &gt; 0 but coherence is non-negative, report</w:t>
      </w:r>
      <w:r>
        <w:t xml:space="preserve"> </w:t>
      </w:r>
      <w:r>
        <w:rPr>
          <w:rStyle w:val="VerbatimChar"/>
        </w:rPr>
        <w:t xml:space="preserve">RELATIVE_COHERENCE_LAG</w:t>
      </w:r>
      <w:r>
        <w:t xml:space="preserve"> </w:t>
      </w:r>
      <w:r>
        <w:t xml:space="preserve">rather than structural deterioration. HOI remains a monitoring diagnostic and never a gate or selection rule.</w:t>
      </w:r>
    </w:p>
    <w:p>
      <w:pPr>
        <w:numPr>
          <w:ilvl w:val="0"/>
          <w:numId w:val="1120"/>
        </w:numPr>
        <w:pStyle w:val="Compact"/>
      </w:pPr>
      <w:r>
        <w:t xml:space="preserve">HOI is diagnostic; it does not by itself make an option inadmissible, but it can trigger monitoring escalation and influence tie-break risk flags.</w:t>
      </w:r>
    </w:p>
    <w:p>
      <w:pPr>
        <w:pStyle w:val="FirstParagraph"/>
      </w:pPr>
      <w:r>
        <w:t xml:space="preserve">Normative limitation. HOI SHALL NOT by itself render an option rights-admissible, inadmissible, non-selectable, or rejected under Containment. Its normative use in the current release line is limited to monitoring escalation, reviewer caution, and tie-break risk signaling unless an explicit future version declares a stronger role.</w:t>
      </w:r>
    </w:p>
    <w:bookmarkEnd w:id="196"/>
    <w:bookmarkStart w:id="197" w:name="Xd1233c3faae88f39763c8743806c9b8a88da48b"/>
    <w:p>
      <w:pPr>
        <w:pStyle w:val="Heading2"/>
      </w:pPr>
      <w:r>
        <w:rPr>
          <w:bCs/>
          <w:b/>
        </w:rPr>
        <w:t xml:space="preserve">11.4 Reserved for Future Structural-Diagnostic Extension (Normative numbering marker)</w:t>
      </w:r>
    </w:p>
    <w:p>
      <w:pPr>
        <w:pStyle w:val="FirstParagraph"/>
      </w:pPr>
      <w:r>
        <w:t xml:space="preserve">Section 11.4 is intentionally reserved so that established Section 11.5 and later cross-references remain stable. No operational rule is assigned to this marker in v12.1.</w:t>
      </w:r>
    </w:p>
    <w:bookmarkEnd w:id="197"/>
    <w:bookmarkStart w:id="198" w:name="X0385e4ecd3723d479080335dc6d1c71a884ac24"/>
    <w:p>
      <w:pPr>
        <w:pStyle w:val="Heading2"/>
      </w:pPr>
      <w:r>
        <w:rPr>
          <w:bCs/>
          <w:b/>
        </w:rPr>
        <w:t xml:space="preserve">11.5 Canonical Tie-Break Chain (Normative)</w:t>
      </w:r>
    </w:p>
    <w:p>
      <w:pPr>
        <w:pStyle w:val="FirstParagraph"/>
      </w:pPr>
      <w:r>
        <w:t xml:space="preserve">This section applies only after the selectable set A_sel has been formed by Reality Grounding, RF/NCRC, TRC, and CSV, and only when the leading residual welfare options remain tied, close, uncertainty-overlapped, or non-decisive under the Section 10.4 discrimination rule. The tie-break chain does not reopen NCRC, TRC, or CSV and is not part of the public headline method.</w:t>
      </w:r>
    </w:p>
    <w:p>
      <w:pPr>
        <w:pStyle w:val="BodyText"/>
      </w:pPr>
      <w:r>
        <w:t xml:space="preserve">The governed tie-break order below applies only within the selectable set and under the Section 10.4 discrimination rule. If RLS is decisive, residual UCI/HOI is not required for selection, though it may still be recorded for monitoring or hollowing-risk documentation where appropriate.</w:t>
      </w:r>
    </w:p>
    <w:p>
      <w:pPr>
        <w:pStyle w:val="BodyText"/>
      </w:pPr>
      <w:r>
        <w:t xml:space="preserve">Methods used here that can materially affect the outcome MUST be declared and applied consistently across compared options. Residual UCI or HOI SHALL NOT be used to compensate for unavailable containment evidence, failed Containment, insufficient Reality Grounding, or any prior gate failure. If structural evidence is gate-relevant, it belongs in Section 9 Containment, not in Section 11 tie-break.</w:t>
      </w:r>
    </w:p>
    <w:p>
      <w:pPr>
        <w:pStyle w:val="BodyText"/>
      </w:pPr>
      <w:r>
        <w:t xml:space="preserve">Step 0: Ensure options under comparison are selectable (pass containment Mode A).</w:t>
      </w:r>
    </w:p>
    <w:p>
      <w:pPr>
        <w:pStyle w:val="BodyText"/>
      </w:pPr>
      <w:r>
        <w:t xml:space="preserve">If top RLS option fails containment, it is not in A_sel and must not be tie-broken into selection.</w:t>
      </w:r>
    </w:p>
    <w:p>
      <w:pPr>
        <w:pStyle w:val="BodyText"/>
      </w:pPr>
      <w:r>
        <w:t xml:space="preserve">Step 1: UCI dominance rule.</w:t>
      </w:r>
    </w:p>
    <w:p>
      <w:pPr>
        <w:pStyle w:val="BodyText"/>
      </w:pPr>
      <w:r>
        <w:t xml:space="preserve">Prefer the option with higher predicted UCI outcomes if the difference exceeds a governed UCI dominance threshold Δ_UCI.</w:t>
      </w:r>
    </w:p>
    <w:p>
      <w:pPr>
        <w:pStyle w:val="BodyText"/>
      </w:pPr>
      <w:r>
        <w:t xml:space="preserve">Default: Δ_UCI = 0.05 (must be recorded; may be tightened).</w:t>
      </w:r>
    </w:p>
    <w:p>
      <w:pPr>
        <w:pStyle w:val="BodyText"/>
      </w:pPr>
      <w:r>
        <w:t xml:space="preserve">Operationally: compare the minimum-coherence-change among critical containing unions and/or the relevant union UCI profiles. The PCC must declare the tie-break UCI comparison method:</w:t>
      </w:r>
    </w:p>
    <w:p>
      <w:pPr>
        <w:numPr>
          <w:ilvl w:val="0"/>
          <w:numId w:val="1121"/>
        </w:numPr>
        <w:pStyle w:val="Compact"/>
      </w:pPr>
      <w:r>
        <w:t xml:space="preserve">Method UCI-A (default): Maximize minimum ΔUCI_u over containing unions relevant to the decision scope; or</w:t>
      </w:r>
    </w:p>
    <w:p>
      <w:pPr>
        <w:numPr>
          <w:ilvl w:val="0"/>
          <w:numId w:val="1122"/>
        </w:numPr>
        <w:pStyle w:val="Compact"/>
      </w:pPr>
      <w:r>
        <w:t xml:space="preserve">Method UCI-B: Maximize sum of ΔUCI_u over the directly affected unions; or</w:t>
      </w:r>
    </w:p>
    <w:p>
      <w:pPr>
        <w:numPr>
          <w:ilvl w:val="0"/>
          <w:numId w:val="1123"/>
        </w:numPr>
        <w:pStyle w:val="Compact"/>
      </w:pPr>
      <w:r>
        <w:t xml:space="preserve">Method UCI-C: Maximize declared aggregate UCI_agg change.</w:t>
      </w:r>
    </w:p>
    <w:p>
      <w:pPr>
        <w:pStyle w:val="FirstParagraph"/>
      </w:pPr>
      <w:r>
        <w:t xml:space="preserve">Whichever method is used MUST be declared and applied consistently across compared options.</w:t>
      </w:r>
    </w:p>
    <w:p>
      <w:pPr>
        <w:pStyle w:val="FirstParagraph"/>
      </w:pPr>
      <w:r>
        <w:rPr>
          <w:b/>
        </w:rPr>
        <w:t>UCI tie-break maturity restriction (Normative).</w:t>
      </w:r>
      <w:r>
        <w:t xml:space="preserve"> At Tier 3 and in other high-stakes uses, a provisional UCI difference does not by itself authorize deterministic tie resolution. The PCC SHALL identify the structural evidence underlying the UCI comparison, its measurement maturity, uncertainty, indicator provenance, and independent-review status. If that evidence is insufficient, disputed, or the provisional UCI value is the only discriminator, retain REFUSE_DETERMINISTIC_SELECTION and proceed to Step 3 rather than manufacturing framework determinism from an unvalidated index.</w:t>
      </w:r>
    </w:p>
    <w:p>
      <w:pPr>
        <w:pStyle w:val="BodyText"/>
      </w:pPr>
      <w:r>
        <w:t xml:space="preserve">Step 2: HOI risk flag (if monitoring context exists).</w:t>
      </w:r>
    </w:p>
    <w:p>
      <w:pPr>
        <w:pStyle w:val="BodyText"/>
      </w:pPr>
      <w:r>
        <w:t xml:space="preserve">If one option is associated with persistent positive HOI in comparable deployments or in modeled trajectory, treat it as riskier and prefer the alternative if the risk is material, or escalate.</w:t>
      </w:r>
    </w:p>
    <w:p>
      <w:pPr>
        <w:pStyle w:val="BodyText"/>
      </w:pPr>
      <w:r>
        <w:t xml:space="preserve">Step 3: Escalation / judgment call.</w:t>
      </w:r>
    </w:p>
    <w:p>
      <w:pPr>
        <w:pStyle w:val="BodyText"/>
      </w:pPr>
      <w:r>
        <w:t xml:space="preserve">If UCI is unavailable or non-decisive and HOI does not resolve, the decision MUST escalate to:</w:t>
      </w:r>
    </w:p>
    <w:p>
      <w:pPr>
        <w:numPr>
          <w:ilvl w:val="0"/>
          <w:numId w:val="1124"/>
        </w:numPr>
        <w:pStyle w:val="Compact"/>
      </w:pPr>
      <w:r>
        <w:t xml:space="preserve">Additional data collection (structural indicators), and/or</w:t>
      </w:r>
    </w:p>
    <w:p>
      <w:pPr>
        <w:numPr>
          <w:ilvl w:val="0"/>
          <w:numId w:val="1125"/>
        </w:numPr>
        <w:pStyle w:val="Compact"/>
      </w:pPr>
      <w:r>
        <w:t xml:space="preserve">A higher tier, and/or</w:t>
      </w:r>
    </w:p>
    <w:p>
      <w:pPr>
        <w:numPr>
          <w:ilvl w:val="0"/>
          <w:numId w:val="1126"/>
        </w:numPr>
        <w:pStyle w:val="Compact"/>
      </w:pPr>
      <w:r>
        <w:t xml:space="preserve">A documented governance judgment call (PCC labeled JUDGMENT_CALL_TIEBREAK_NONDECISIVE) with explicit monitoring plan.</w:t>
      </w:r>
    </w:p>
    <w:bookmarkEnd w:id="198"/>
    <w:bookmarkStart w:id="199" w:name="Xb8a0e6fea300bb41809749fe9bbb0fe007ad541"/>
    <w:p>
      <w:pPr>
        <w:pStyle w:val="Heading2"/>
      </w:pPr>
      <w:r>
        <w:rPr>
          <w:bCs/>
          <w:b/>
        </w:rPr>
        <w:t xml:space="preserve">11.6 UCI Unavailability Rule (Tier 3) (Normative)</w:t>
      </w:r>
    </w:p>
    <w:p>
      <w:pPr>
        <w:pStyle w:val="FirstParagraph"/>
      </w:pPr>
      <w:r>
        <w:t xml:space="preserve">If UCI cannot be computed without violating structural independence:</w:t>
      </w:r>
    </w:p>
    <w:p>
      <w:pPr>
        <w:numPr>
          <w:ilvl w:val="0"/>
          <w:numId w:val="1127"/>
        </w:numPr>
        <w:pStyle w:val="Compact"/>
      </w:pPr>
      <w:r>
        <w:t xml:space="preserve">UCI MUST be treated as unavailable.</w:t>
      </w:r>
    </w:p>
    <w:p>
      <w:pPr>
        <w:numPr>
          <w:ilvl w:val="0"/>
          <w:numId w:val="1128"/>
        </w:numPr>
        <w:pStyle w:val="Compact"/>
      </w:pPr>
      <w:r>
        <w:t xml:space="preserve">If RLS lead is non-decisive, decision MUST either: (i) escalate for more structural data / higher tier, OR (ii) record a governance judgment call with explicit labeling and monitoring plan.</w:t>
      </w:r>
    </w:p>
    <w:p>
      <w:pPr>
        <w:pStyle w:val="FirstParagraph"/>
      </w:pPr>
      <w:r>
        <w:t xml:space="preserve">Audit label required: JUDGMENT_CALL_UCI_UNAVAILABLE.</w:t>
      </w:r>
    </w:p>
    <w:bookmarkEnd w:id="199"/>
    <w:bookmarkStart w:id="200" w:name="Xbf7feef6860d96f34a8123ad0b0ba07697e5ad8"/>
    <w:p>
      <w:pPr>
        <w:pStyle w:val="Heading2"/>
      </w:pPr>
      <w:r>
        <w:rPr>
          <w:bCs/>
          <w:b/>
        </w:rPr>
        <w:t xml:space="preserve">11.7 Structural Safeguard Anti-Gaming (Normative)</w:t>
      </w:r>
    </w:p>
    <w:p>
      <w:pPr>
        <w:numPr>
          <w:ilvl w:val="0"/>
          <w:numId w:val="1129"/>
        </w:numPr>
        <w:pStyle w:val="Compact"/>
      </w:pPr>
      <w:r>
        <w:t xml:space="preserve">UCI MUST NOT be computed from RLS welfare impacts at Tier 3.</w:t>
      </w:r>
    </w:p>
    <w:p>
      <w:pPr>
        <w:numPr>
          <w:ilvl w:val="0"/>
          <w:numId w:val="1130"/>
        </w:numPr>
        <w:pStyle w:val="Compact"/>
      </w:pPr>
      <w:r>
        <w:t xml:space="preserve">UCI indicator choices must be documented; changes require versioning and are subject to challenge.</w:t>
      </w:r>
    </w:p>
    <w:bookmarkEnd w:id="200"/>
    <w:bookmarkEnd w:id="201"/>
    <w:bookmarkStart w:id="212" w:name="X1358c1a08bfb8ce33680d32a9286f652a11c027"/>
    <w:p>
      <w:pPr>
        <w:pStyle w:val="Heading1"/>
      </w:pPr>
      <w:bookmarkStart w:id="777" w:name="mg_toc_013"/>
      <w:r>
        <w:rPr>
          <w:bCs/>
          <w:b/>
        </w:rPr>
        <w:t xml:space="preserve">SECTION 12: MORAL STATUS, PROTECTION, PARTICIPATION, REALITY-MANAGEMENT CAPACITY, AND POWER: SGP v8.5 INTEGRATION (BINDING INTERFACE)</w:t>
      </w:r>
      <w:bookmarkEnd w:id="777"/>
    </w:p>
    <w:bookmarkStart w:id="202" w:name="Xa35ea5222eae270f05e0bf7a6718c09406950a4"/>
    <w:p>
      <w:pPr>
        <w:pStyle w:val="Heading2"/>
      </w:pPr>
      <w:r>
        <w:rPr>
          <w:bCs/>
          <w:b/>
        </w:rPr>
        <w:t xml:space="preserve">12.0 Purpose (Normative)</w:t>
      </w:r>
    </w:p>
    <w:p>
      <w:pPr>
        <w:pStyle w:val="FirstParagraph"/>
      </w:pPr>
      <w:r>
        <w:t xml:space="preserve">RippleLogic does not determine consciousness or moral patienthood on its own. It consumes only the governed interface outputs of the pinned Sentience Gradient Protocol v8.5. SGP outputs are evidence, profile, and status objects; they do not prove metaphysical consciousness or oneness, create legal status, reorder the cascade, establish species supremacy, or grant authority.</w:t>
      </w:r>
    </w:p>
    <w:bookmarkEnd w:id="202"/>
    <w:bookmarkStart w:id="203" w:name="Xa9d1fccfda077d4b3bd688a03320265dfb0aecd"/>
    <w:p>
      <w:pPr>
        <w:pStyle w:val="Heading2"/>
      </w:pPr>
      <w:r>
        <w:rPr>
          <w:bCs/>
          <w:b/>
        </w:rPr>
        <w:t xml:space="preserve">12.1 Type-Separation Rule (Normative)</w:t>
      </w:r>
    </w:p>
    <w:p>
      <w:pPr>
        <w:pStyle w:val="FirstParagraph"/>
      </w:pPr>
      <w:r>
        <w:t xml:space="preserve">The following objects MUST remain separate:</w:t>
      </w:r>
    </w:p>
    <w:p>
      <w:pPr>
        <w:numPr>
          <w:ilvl w:val="0"/>
          <w:numId w:val="1131"/>
        </w:numPr>
      </w:pPr>
      <w:r>
        <w:rPr>
          <w:bCs/>
          <w:b/>
        </w:rPr>
        <w:t xml:space="preserve">MPS: Moral Patienthood Surface.</w:t>
      </w:r>
      <w:r>
        <w:t xml:space="preserve"> </w:t>
      </w:r>
      <w:r>
        <w:t xml:space="preserve">Evidence band, interval, confidence, and protection posture concerning possible welfare-bearing experience.</w:t>
      </w:r>
    </w:p>
    <w:p>
      <w:pPr>
        <w:numPr>
          <w:ilvl w:val="0"/>
          <w:numId w:val="1131"/>
        </w:numPr>
      </w:pPr>
      <w:r>
        <w:rPr>
          <w:bCs/>
          <w:b/>
        </w:rPr>
        <w:t xml:space="preserve">FPP: Full Protection Plateau.</w:t>
      </w:r>
      <w:r>
        <w:t xml:space="preserve"> </w:t>
      </w:r>
      <w:r>
        <w:t xml:space="preserve">Constitutional or governed non-downgrade rights-of-protection status.</w:t>
      </w:r>
    </w:p>
    <w:p>
      <w:pPr>
        <w:numPr>
          <w:ilvl w:val="0"/>
          <w:numId w:val="1131"/>
        </w:numPr>
      </w:pPr>
      <w:r>
        <w:rPr>
          <w:bCs/>
          <w:b/>
        </w:rPr>
        <w:t xml:space="preserve">GPR: Governance Participation Readiness.</w:t>
      </w:r>
      <w:r>
        <w:t xml:space="preserve"> </w:t>
      </w:r>
      <w:r>
        <w:t xml:space="preserve">The mode by which an entity may participate directly, with support, or through representation in a named process.</w:t>
      </w:r>
    </w:p>
    <w:p>
      <w:pPr>
        <w:numPr>
          <w:ilvl w:val="0"/>
          <w:numId w:val="1131"/>
        </w:numPr>
      </w:pPr>
      <w:r>
        <w:rPr>
          <w:bCs/>
          <w:b/>
        </w:rPr>
        <w:t xml:space="preserve">SPR: Stewardship/Power Readiness.</w:t>
      </w:r>
      <w:r>
        <w:t xml:space="preserve"> </w:t>
      </w:r>
      <w:r>
        <w:t xml:space="preserve">Role-specific eligibility for a named consequential role under reality, rights, tail-risk, containment, competence, auditability, lawful-mandate, and revocability constraints.</w:t>
      </w:r>
    </w:p>
    <w:p>
      <w:pPr>
        <w:numPr>
          <w:ilvl w:val="0"/>
          <w:numId w:val="1131"/>
        </w:numPr>
      </w:pPr>
      <w:r>
        <w:rPr>
          <w:bCs/>
          <w:b/>
        </w:rPr>
        <w:t xml:space="preserve">ICP: Intelligence Capacity Profile.</w:t>
      </w:r>
      <w:r>
        <w:t xml:space="preserve"> </w:t>
      </w:r>
      <w:r>
        <w:t xml:space="preserve">Informative evidence about learning, generalization, understanding, reasoning, planning, metacognition, robustness, and resource efficiency.</w:t>
      </w:r>
    </w:p>
    <w:p>
      <w:pPr>
        <w:numPr>
          <w:ilvl w:val="0"/>
          <w:numId w:val="1131"/>
        </w:numPr>
      </w:pPr>
      <w:r>
        <w:rPr>
          <w:bCs/>
          <w:b/>
        </w:rPr>
        <w:t xml:space="preserve">RMCP: Reality-Management Capacity Profile.</w:t>
      </w:r>
      <w:r>
        <w:t xml:space="preserve"> </w:t>
      </w:r>
      <w:r>
        <w:t xml:space="preserve">Informative, multidimensional evidence about integrated reality-grounded modelling, recursive self-in-system representation, formal abstraction, cumulative knowledge, tool and intervention breadth, distributed coordination, long-horizon continuity, normative scope, causal reach, and responsibility tracking.</w:t>
      </w:r>
      <w:r>
        <w:t xml:space="preserve"> </w:t>
      </w:r>
      <w:r>
        <w:rPr>
          <w:bCs/>
          <w:b/>
        </w:rPr>
        <w:t xml:space="preserve">P100</w:t>
      </w:r>
      <w:r>
        <w:t xml:space="preserve"> </w:t>
      </w:r>
      <w:r>
        <w:t xml:space="preserve">is the open top-plateau status for functional equivalence to or greater integrated reality-management capacity than the current human collective calibration anchor.</w:t>
      </w:r>
    </w:p>
    <w:p>
      <w:pPr>
        <w:pStyle w:val="FirstParagraph"/>
      </w:pPr>
      <w:r>
        <w:t xml:space="preserve">Strict rule: MPS and FPP govern protection; GPR governs participation design; SPR informs role-specific authority review; ICP informs competence; RMCP informs integrated reality-management capacity and may support CMIU, GPR, or SPR analysis only through separately governed records. No one surface substitutes for another. Low GPR, SPR, ICP, or RMCP MUST NOT reduce MPS or FPP. High ICP, RMCP, GPR, SPR, or P100 MUST NOT create sentience, FPP, CMIU membership, legal status, or authority. FPP MUST NOT create CMIU membership or authority.</w:t>
      </w:r>
    </w:p>
    <w:bookmarkEnd w:id="203"/>
    <w:bookmarkStart w:id="204" w:name="X294a0b6c3733ec97f5e7771ad31940c17f4e5f6"/>
    <w:p>
      <w:pPr>
        <w:pStyle w:val="Heading2"/>
      </w:pPr>
      <w:r>
        <w:rPr>
          <w:bCs/>
          <w:b/>
        </w:rPr>
        <w:t xml:space="preserve">12.2 SGP Authority and Version Pin (Normative)</w:t>
      </w:r>
    </w:p>
    <w:p>
      <w:pPr>
        <w:pStyle w:val="FirstParagraph"/>
      </w:pPr>
      <w:r>
        <w:t xml:space="preserve">RippleLogic Canon v12.6 pins SGP v8.5 as the authoritative moral-patienthood, protection, participation, power-readiness, intelligence, and reality-management-capacity interface specification. The normative source is</w:t>
      </w:r>
      <w:r>
        <w:t xml:space="preserve"> </w:t>
      </w:r>
      <w:r>
        <w:rPr>
          <w:rStyle w:val="VerbatimChar"/>
        </w:rPr>
        <w:t xml:space="preserve">docs/sgp/SGP_v8.5.md</w:t>
      </w:r>
      <w:r>
        <w:t xml:space="preserve">; derived DOCX/PDF mirrors do not control if they diverge. v7.x</w:t>
      </w:r>
      <w:r>
        <w:t xml:space="preserve"> </w:t>
      </w:r>
      <w:r>
        <w:rPr>
          <w:rStyle w:val="VerbatimChar"/>
        </w:rPr>
        <w:t xml:space="preserve">SG_norm</w:t>
      </w:r>
      <w:r>
        <w:t xml:space="preserve">,</w:t>
      </w:r>
      <w:r>
        <w:t xml:space="preserve"> </w:t>
      </w:r>
      <w:r>
        <w:rPr>
          <w:rStyle w:val="VerbatimChar"/>
        </w:rPr>
        <w:t xml:space="preserve">SG_patient_norm</w:t>
      </w:r>
      <w:r>
        <w:t xml:space="preserve">, pillar scores, and plateau/CMIU coupling are legacy fields and are not mathematically equivalent to MPS, FPP, GPR, SPR, ICP, or RMCP. Translation requires a documented v8.5 re-evaluation.</w:t>
      </w:r>
    </w:p>
    <w:bookmarkEnd w:id="204"/>
    <w:bookmarkStart w:id="205" w:name="X97567c4081cb11cab2878cbaac3aac838af3e51"/>
    <w:p>
      <w:pPr>
        <w:pStyle w:val="Heading2"/>
      </w:pPr>
      <w:r>
        <w:rPr>
          <w:bCs/>
          <w:b/>
        </w:rPr>
        <w:t xml:space="preserve">12.3 Human Full Protection Plateau (Normative; Non-Overridable)</w:t>
      </w:r>
    </w:p>
    <w:p>
      <w:pPr>
        <w:pStyle w:val="FirstParagraph"/>
      </w:pPr>
      <w:r>
        <w:t xml:space="preserve">For every human person H:</w:t>
      </w:r>
    </w:p>
    <w:p>
      <w:pPr>
        <w:pStyle w:val="BodyText"/>
      </w:pPr>
      <w:r>
        <w:t xml:space="preserve">FPP(H) := 1</w:t>
      </w:r>
    </w:p>
    <w:p>
      <w:pPr>
        <w:pStyle w:val="BodyText"/>
      </w:pPr>
      <w:r>
        <w:t xml:space="preserve">and the RippleLogic welfare interval is:</w:t>
      </w:r>
    </w:p>
    <w:p>
      <w:pPr>
        <w:pStyle w:val="BodyText"/>
      </w:pPr>
      <w:r>
        <w:t xml:space="preserve">MPSInterval_RL(H) := [1.0, 1.0]</w:t>
      </w:r>
    </w:p>
    <w:p>
      <w:pPr>
        <w:pStyle w:val="BodyText"/>
      </w:pPr>
      <w:r>
        <w:t xml:space="preserve">This is a constitutional anti-domination and equal-dignity rule, not a measurement claim that every human maximizes every consciousness or intelligence indicator. It is independent of disability, age, illness, wakefulness, communication, productivity, or partial observability. No SGP or RippleLogic measurement may downgrade it.</w:t>
      </w:r>
    </w:p>
    <w:bookmarkEnd w:id="205"/>
    <w:bookmarkStart w:id="206" w:name="X342193969d4a3343c7c93a73daca1d79febb5fe"/>
    <w:p>
      <w:pPr>
        <w:pStyle w:val="Heading2"/>
      </w:pPr>
      <w:r>
        <w:rPr>
          <w:bCs/>
          <w:b/>
        </w:rPr>
        <w:t xml:space="preserve">12.3A Humanity Collective RMCP-P100 Calibration (Normative Interface; Provisional Calibration)</w:t>
      </w:r>
    </w:p>
    <w:p>
      <w:pPr>
        <w:pStyle w:val="FirstParagraph"/>
      </w:pPr>
      <w:r>
        <w:t xml:space="preserve">Human FPP-100 and humanity RMCP-P100 are different claims. Every human person holds FPP-100. Separately, SGP v8.5 designates humanity collectively as the provisional current reference calibration anchor for integrated reality-management capacity because the human collective has demonstrated cumulative symbolic language, mathematics and science, technological intervention, intergenerational knowledge preservation, formal institutions, global coordination, planetary monitoring, Recursive Union Awareness, and causal reach across Earth systems.</w:t>
      </w:r>
    </w:p>
    <w:p>
      <w:pPr>
        <w:pStyle w:val="BodyText"/>
      </w:pPr>
      <w:r>
        <w:t xml:space="preserve">The designation is a provisional, evidence-governed calibration construct, not a claim that every human individually has maximal capacity, that humanity governs wisely, that humans have greater intrinsic moral worth, or that P100 grants unrestricted authority. The open P100 plateau MAY also be assigned to biological, digital, hybrid, collective, or extraterrestrial intelligences that reach, exceed, or may already exist at functionally equivalent capacity, subject to a valid SGP v8.5 RMCP record and independent governed review. An entity that exceeds the human anchor remains in P100; the difference is represented in the profile rather than converted into a 101 supremacy caste.</w:t>
      </w:r>
    </w:p>
    <w:bookmarkEnd w:id="206"/>
    <w:bookmarkStart w:id="207" w:name="X224bd3d5befd42d8c5b5130c288850596748879"/>
    <w:p>
      <w:pPr>
        <w:pStyle w:val="Heading2"/>
      </w:pPr>
      <w:r>
        <w:rPr>
          <w:bCs/>
          <w:b/>
        </w:rPr>
        <w:t xml:space="preserve">12.4 Where SGP Enters RippleLogic (Normative)</w:t>
      </w:r>
    </w:p>
    <w:p>
      <w:pPr>
        <w:pStyle w:val="FirstParagraph"/>
      </w:pPr>
      <w:r>
        <w:t xml:space="preserve">Permitted interfaces:</w:t>
      </w:r>
    </w:p>
    <w:p>
      <w:pPr>
        <w:numPr>
          <w:ilvl w:val="0"/>
          <w:numId w:val="1132"/>
        </w:numPr>
      </w:pPr>
      <w:r>
        <w:rPr>
          <w:bCs/>
          <w:b/>
        </w:rPr>
        <w:t xml:space="preserve">Protected-stakeholder and Rights Floor interface.</w:t>
      </w:r>
      <w:r>
        <w:t xml:space="preserve"> </w:t>
      </w:r>
      <w:r>
        <w:t xml:space="preserve">MPS evidence and protection posture may identify a possible protected stakeholder and trigger precautionary RF/NCRC review. FPP establishes a non-downgradable protection floor. Absence of a pre-existing rights-coverage mapping is not permission for harmful treatment.</w:t>
      </w:r>
    </w:p>
    <w:p>
      <w:pPr>
        <w:numPr>
          <w:ilvl w:val="0"/>
          <w:numId w:val="1132"/>
        </w:numPr>
      </w:pPr>
      <w:r>
        <w:rPr>
          <w:bCs/>
          <w:b/>
        </w:rPr>
        <w:t xml:space="preserve">Residual Welfare-stream interface.</w:t>
      </w:r>
      <w:r>
        <w:t xml:space="preserve"> </w:t>
      </w:r>
      <w:r>
        <w:t xml:space="preserve">A valid SGP v8.5 record supplies a typed MPS evidence band/interval, protection posture, and record validity status. RippleLogic uses that record to construct a governed welfare-inclusion hypothesis set H_E for robust RLS sensitivity; it MUST NOT treat the MPS interval itself as a cardinal welfare multiplier. The Base stream fixes h_k:=1. Every human person and FPP entity uses H_E={1}. For a non-FPP entity with realistic or credible welfare-bearing possibility, H_E MUST include 1; where exclusion remains evidentially admissible it also includes 0. MPS-NE requires {0,1} when decision-material. Additional bounded coefficients require a separate governed and validated welfare-attention profile and cannot be inferred from the MPS band.</w:t>
      </w:r>
    </w:p>
    <w:p>
      <w:pPr>
        <w:numPr>
          <w:ilvl w:val="0"/>
          <w:numId w:val="1132"/>
        </w:numPr>
      </w:pPr>
      <w:r>
        <w:rPr>
          <w:bCs/>
          <w:b/>
        </w:rPr>
        <w:t xml:space="preserve">Participation interface.</w:t>
      </w:r>
      <w:r>
        <w:t xml:space="preserve"> </w:t>
      </w:r>
      <w:r>
        <w:t xml:space="preserve">GPR may inform direct, supported, or represented participation in a named governance process. GPR is not moral worth, voting weight, office eligibility, or command authority.</w:t>
      </w:r>
    </w:p>
    <w:p>
      <w:pPr>
        <w:numPr>
          <w:ilvl w:val="0"/>
          <w:numId w:val="1132"/>
        </w:numPr>
      </w:pPr>
      <w:r>
        <w:rPr>
          <w:bCs/>
          <w:b/>
        </w:rPr>
        <w:t xml:space="preserve">Power interface.</w:t>
      </w:r>
      <w:r>
        <w:t xml:space="preserve"> </w:t>
      </w:r>
      <w:r>
        <w:t xml:space="preserve">SPR may be admitted as one role-specific evidence object inside an AuthoritySelectionRecord, but it never replaces RG, RF/NCRC, TRC, CSV, domain competence, lawful mandate, institutional responsibility, or revocability.</w:t>
      </w:r>
    </w:p>
    <w:p>
      <w:pPr>
        <w:numPr>
          <w:ilvl w:val="0"/>
          <w:numId w:val="1132"/>
        </w:numPr>
      </w:pPr>
      <w:r>
        <w:rPr>
          <w:bCs/>
          <w:b/>
        </w:rPr>
        <w:t xml:space="preserve">Competence interface.</w:t>
      </w:r>
      <w:r>
        <w:t xml:space="preserve"> </w:t>
      </w:r>
      <w:r>
        <w:t xml:space="preserve">ICP may inform domain-competence evidence for GPR or SPR. It cannot alter MPS or FPP by itself.</w:t>
      </w:r>
    </w:p>
    <w:p>
      <w:pPr>
        <w:numPr>
          <w:ilvl w:val="0"/>
          <w:numId w:val="1132"/>
        </w:numPr>
      </w:pPr>
      <w:r>
        <w:rPr>
          <w:bCs/>
          <w:b/>
        </w:rPr>
        <w:t xml:space="preserve">Reality-management capacity interface.</w:t>
      </w:r>
      <w:r>
        <w:t xml:space="preserve"> </w:t>
      </w:r>
      <w:r>
        <w:t xml:space="preserve">A valid RMCP record may inform CMIU analysis, collective-capacity comparison, GPR design, or SPR role review. It MUST identify the evaluated individual, class, institution, collective, or distributed-system boundary; the declared domain and scale; each RMCP dimension and uncertainty interval; external scaffolding; causal reach; evidence dependencies; capacity-performance separation; P100 status if any; and revision triggers. RMCP, RMCI summaries, Recursive Union Awareness, and P100 MUST NOT alter MPS or FPP, act as cardinal moral-worth weights, or bypass lawful mandate and the cascade.</w:t>
      </w:r>
    </w:p>
    <w:bookmarkEnd w:id="207"/>
    <w:bookmarkStart w:id="208" w:name="X3963c1c40a08ea209f1abcb7cc5bb3422e042cb"/>
    <w:p>
      <w:pPr>
        <w:pStyle w:val="Heading2"/>
      </w:pPr>
      <w:r>
        <w:rPr>
          <w:bCs/>
          <w:b/>
        </w:rPr>
        <w:t xml:space="preserve">12.5 Interval-Sensitivity Rule (Normative)</w:t>
      </w:r>
    </w:p>
    <w:p>
      <w:pPr>
        <w:pStyle w:val="FirstParagraph"/>
      </w:pPr>
      <w:r>
        <w:t xml:space="preserve">If the preferred option, decisive/non-decisive status, subgroup result, or material welfare conclusion changes across the governed welfare-inclusion hypothesis set, the run MUST set</w:t>
      </w:r>
      <w:r>
        <w:t xml:space="preserve"> </w:t>
      </w:r>
      <w:r>
        <w:rPr>
          <w:rStyle w:val="VerbatimChar"/>
        </w:rPr>
        <w:t xml:space="preserve">MPS_HYPOTHESIS_SENSITIVE</w:t>
      </w:r>
      <w:r>
        <w:t xml:space="preserve">. The PCC MUST report the affected stakeholders, MPS evidence record, hypotheses tested, changed outputs, and disposition. Permitted dispositions are: collect additional evidence; adopt a precautionary policy acceptable across the hypothesis set; narrow the claim; preserve multiple options; or refuse a definitive ranking. Selecting a convenient intermediate coefficient or suppressing hypothesis sensitivity is non-conformant.</w:t>
      </w:r>
    </w:p>
    <w:bookmarkEnd w:id="208"/>
    <w:bookmarkStart w:id="209" w:name="Xb6463dc0b51d7685dd46c7d1ecb86e5796d22c6"/>
    <w:p>
      <w:pPr>
        <w:pStyle w:val="Heading2"/>
      </w:pPr>
      <w:r>
        <w:rPr>
          <w:bCs/>
          <w:b/>
        </w:rPr>
        <w:t xml:space="preserve">12.6 Prohibited Inferences (Normative)</w:t>
      </w:r>
    </w:p>
    <w:p>
      <w:pPr>
        <w:pStyle w:val="FirstParagraph"/>
      </w:pPr>
      <w:r>
        <w:t xml:space="preserve">The following are prohibited:</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Claim</w:t>
            </w:r>
          </w:p>
        </w:tc>
        <w:tc>
          <w:tcPr>
            <w:shd w:val="clear" w:color="auto" w:fill="D9EAF7"/>
            <w:vAlign w:val="center"/>
          </w:tcPr>
          <w:p>
            <w:pPr>
              <w:pStyle w:val="Compact"/>
              <w:jc w:val="left"/>
            </w:pPr>
            <w:r>
              <w:rPr>
                <w:bCs/>
                <w:b/>
                <w:color w:val="17365D"/>
              </w:rPr>
              <w:t xml:space="preserve">Status</w:t>
            </w:r>
          </w:p>
        </w:tc>
      </w:tr>
      <w:tr>
        <w:tc>
          <w:tcPr>
            <w:vAlign w:val="top"/>
          </w:tcPr>
          <w:p>
            <w:pPr>
              <w:pStyle w:val="Compact"/>
              <w:jc w:val="left"/>
            </w:pPr>
            <w:r>
              <w:t xml:space="preserve">Linguistic fluency or self-report proves sentience</w:t>
            </w:r>
          </w:p>
        </w:tc>
        <w:tc>
          <w:tcPr>
            <w:vAlign w:val="top"/>
          </w:tcPr>
          <w:p>
            <w:pPr>
              <w:pStyle w:val="Compact"/>
              <w:jc w:val="left"/>
            </w:pPr>
            <w:r>
              <w:t xml:space="preserve">NOT VALID</w:t>
            </w:r>
          </w:p>
        </w:tc>
      </w:tr>
      <w:tr>
        <w:tc>
          <w:tcPr>
            <w:shd w:val="clear" w:color="auto" w:fill="F7FBFE"/>
            <w:vAlign w:val="top"/>
          </w:tcPr>
          <w:p>
            <w:pPr>
              <w:pStyle w:val="Compact"/>
              <w:jc w:val="left"/>
            </w:pPr>
            <w:r>
              <w:t xml:space="preserve">Intelligence, understanding, compliance, or tool performance proves moral patienthood</w:t>
            </w:r>
          </w:p>
        </w:tc>
        <w:tc>
          <w:tcPr>
            <w:shd w:val="clear" w:color="auto" w:fill="F7FBFE"/>
            <w:vAlign w:val="top"/>
          </w:tcPr>
          <w:p>
            <w:pPr>
              <w:pStyle w:val="Compact"/>
              <w:jc w:val="left"/>
            </w:pPr>
            <w:r>
              <w:t xml:space="preserve">NOT VALID</w:t>
            </w:r>
          </w:p>
        </w:tc>
      </w:tr>
      <w:tr>
        <w:tc>
          <w:tcPr>
            <w:vAlign w:val="top"/>
          </w:tcPr>
          <w:p>
            <w:pPr>
              <w:pStyle w:val="Compact"/>
              <w:jc w:val="left"/>
            </w:pPr>
            <w:r>
              <w:t xml:space="preserve">Reward, loss, utility, or refusal signals alone prove valence</w:t>
            </w:r>
          </w:p>
        </w:tc>
        <w:tc>
          <w:tcPr>
            <w:vAlign w:val="top"/>
          </w:tcPr>
          <w:p>
            <w:pPr>
              <w:pStyle w:val="Compact"/>
              <w:jc w:val="left"/>
            </w:pPr>
            <w:r>
              <w:t xml:space="preserve">NOT VALID</w:t>
            </w:r>
          </w:p>
        </w:tc>
      </w:tr>
      <w:tr>
        <w:tc>
          <w:tcPr>
            <w:shd w:val="clear" w:color="auto" w:fill="F7FBFE"/>
            <w:vAlign w:val="top"/>
          </w:tcPr>
          <w:p>
            <w:pPr>
              <w:pStyle w:val="Compact"/>
              <w:jc w:val="left"/>
            </w:pPr>
            <w:r>
              <w:t xml:space="preserve">Low agency, language, metacognition, GPR, or SPR reduces credible welfare protection</w:t>
            </w:r>
          </w:p>
        </w:tc>
        <w:tc>
          <w:tcPr>
            <w:shd w:val="clear" w:color="auto" w:fill="F7FBFE"/>
            <w:vAlign w:val="top"/>
          </w:tcPr>
          <w:p>
            <w:pPr>
              <w:pStyle w:val="Compact"/>
              <w:jc w:val="left"/>
            </w:pPr>
            <w:r>
              <w:t xml:space="preserve">PROHIBITED</w:t>
            </w:r>
          </w:p>
        </w:tc>
      </w:tr>
      <w:tr>
        <w:tc>
          <w:tcPr>
            <w:vAlign w:val="top"/>
          </w:tcPr>
          <w:p>
            <w:pPr>
              <w:pStyle w:val="Compact"/>
              <w:jc w:val="left"/>
            </w:pPr>
            <w:r>
              <w:t xml:space="preserve">MPS is a probability of consciousness, quantity of experience, or intrinsic-worth score</w:t>
            </w:r>
          </w:p>
        </w:tc>
        <w:tc>
          <w:tcPr>
            <w:vAlign w:val="top"/>
          </w:tcPr>
          <w:p>
            <w:pPr>
              <w:pStyle w:val="Compact"/>
              <w:jc w:val="left"/>
            </w:pPr>
            <w:r>
              <w:t xml:space="preserve">NOT VALID</w:t>
            </w:r>
          </w:p>
        </w:tc>
      </w:tr>
      <w:tr>
        <w:tc>
          <w:tcPr>
            <w:shd w:val="clear" w:color="auto" w:fill="F7FBFE"/>
            <w:vAlign w:val="top"/>
          </w:tcPr>
          <w:p>
            <w:pPr>
              <w:pStyle w:val="Compact"/>
              <w:jc w:val="left"/>
            </w:pPr>
            <w:r>
              <w:t xml:space="preserve">FPP implies GPR, CMIU membership, office, command, or stewardship authority</w:t>
            </w:r>
          </w:p>
        </w:tc>
        <w:tc>
          <w:tcPr>
            <w:shd w:val="clear" w:color="auto" w:fill="F7FBFE"/>
            <w:vAlign w:val="top"/>
          </w:tcPr>
          <w:p>
            <w:pPr>
              <w:pStyle w:val="Compact"/>
              <w:jc w:val="left"/>
            </w:pPr>
            <w:r>
              <w:t xml:space="preserve">PROHIBITED</w:t>
            </w:r>
          </w:p>
        </w:tc>
      </w:tr>
      <w:tr>
        <w:tc>
          <w:tcPr>
            <w:vAlign w:val="top"/>
          </w:tcPr>
          <w:p>
            <w:pPr>
              <w:pStyle w:val="Compact"/>
              <w:jc w:val="left"/>
            </w:pPr>
            <w:r>
              <w:t xml:space="preserve">GPR implies SPR or lawful authority</w:t>
            </w:r>
          </w:p>
        </w:tc>
        <w:tc>
          <w:tcPr>
            <w:vAlign w:val="top"/>
          </w:tcPr>
          <w:p>
            <w:pPr>
              <w:pStyle w:val="Compact"/>
              <w:jc w:val="left"/>
            </w:pPr>
            <w:r>
              <w:t xml:space="preserve">NOT VALID</w:t>
            </w:r>
          </w:p>
        </w:tc>
      </w:tr>
      <w:tr>
        <w:tc>
          <w:tcPr>
            <w:shd w:val="clear" w:color="auto" w:fill="F7FBFE"/>
            <w:vAlign w:val="top"/>
          </w:tcPr>
          <w:p>
            <w:pPr>
              <w:pStyle w:val="Compact"/>
              <w:jc w:val="left"/>
            </w:pPr>
            <w:r>
              <w:t xml:space="preserve">RMCP, Recursive Union Awareness, or P100 proves sentience, FPP, moral superiority, metaphysical oneness, or wisdom</w:t>
            </w:r>
          </w:p>
        </w:tc>
        <w:tc>
          <w:tcPr>
            <w:shd w:val="clear" w:color="auto" w:fill="F7FBFE"/>
            <w:vAlign w:val="top"/>
          </w:tcPr>
          <w:p>
            <w:pPr>
              <w:pStyle w:val="Compact"/>
              <w:jc w:val="left"/>
            </w:pPr>
            <w:r>
              <w:t xml:space="preserve">NOT VALID</w:t>
            </w:r>
          </w:p>
        </w:tc>
      </w:tr>
      <w:tr>
        <w:tc>
          <w:tcPr>
            <w:vAlign w:val="top"/>
          </w:tcPr>
          <w:p>
            <w:pPr>
              <w:pStyle w:val="Compact"/>
              <w:jc w:val="left"/>
            </w:pPr>
            <w:r>
              <w:t xml:space="preserve">P100 is a permanent human monopoly or a licence to dominate beings below the plateau</w:t>
            </w:r>
          </w:p>
        </w:tc>
        <w:tc>
          <w:tcPr>
            <w:vAlign w:val="top"/>
          </w:tcPr>
          <w:p>
            <w:pPr>
              <w:pStyle w:val="Compact"/>
              <w:jc w:val="left"/>
            </w:pPr>
            <w:r>
              <w:t xml:space="preserve">PROHIBITED</w:t>
            </w:r>
          </w:p>
        </w:tc>
      </w:tr>
      <w:tr>
        <w:tc>
          <w:tcPr>
            <w:shd w:val="clear" w:color="auto" w:fill="F7FBFE"/>
            <w:vAlign w:val="top"/>
          </w:tcPr>
          <w:p>
            <w:pPr>
              <w:pStyle w:val="Compact"/>
              <w:jc w:val="left"/>
            </w:pPr>
            <w:r>
              <w:t xml:space="preserve">RMCP or P100 creates CMIU membership, legal status, command, or stewardship authority</w:t>
            </w:r>
          </w:p>
        </w:tc>
        <w:tc>
          <w:tcPr>
            <w:shd w:val="clear" w:color="auto" w:fill="F7FBFE"/>
            <w:vAlign w:val="top"/>
          </w:tcPr>
          <w:p>
            <w:pPr>
              <w:pStyle w:val="Compact"/>
              <w:jc w:val="left"/>
            </w:pPr>
            <w:r>
              <w:t xml:space="preserve">PROHIBITED</w:t>
            </w:r>
          </w:p>
        </w:tc>
      </w:tr>
      <w:tr>
        <w:tc>
          <w:tcPr>
            <w:vAlign w:val="top"/>
          </w:tcPr>
          <w:p>
            <w:pPr>
              <w:pStyle w:val="Compact"/>
              <w:jc w:val="left"/>
            </w:pPr>
            <w:r>
              <w:t xml:space="preserve">SPR can bypass RG, RF/NCRC, TRC, CSV, or lawful mandate</w:t>
            </w:r>
          </w:p>
        </w:tc>
        <w:tc>
          <w:tcPr>
            <w:vAlign w:val="top"/>
          </w:tcPr>
          <w:p>
            <w:pPr>
              <w:pStyle w:val="Compact"/>
              <w:jc w:val="left"/>
            </w:pPr>
            <w:r>
              <w:t xml:space="preserve">PROHIBITED</w:t>
            </w:r>
          </w:p>
        </w:tc>
      </w:tr>
      <w:tr>
        <w:tc>
          <w:tcPr>
            <w:shd w:val="clear" w:color="auto" w:fill="F7FBFE"/>
            <w:vAlign w:val="top"/>
          </w:tcPr>
          <w:p>
            <w:pPr>
              <w:pStyle w:val="Compact"/>
              <w:jc w:val="left"/>
            </w:pPr>
            <w:r>
              <w:t xml:space="preserve">Missing, NE, incomplete, or inadmissible evidence means zero sentience or zero reality-management capacity</w:t>
            </w:r>
          </w:p>
        </w:tc>
        <w:tc>
          <w:tcPr>
            <w:shd w:val="clear" w:color="auto" w:fill="F7FBFE"/>
            <w:vAlign w:val="top"/>
          </w:tcPr>
          <w:p>
            <w:pPr>
              <w:pStyle w:val="Compact"/>
              <w:jc w:val="left"/>
            </w:pPr>
            <w:r>
              <w:t xml:space="preserve">PROHIBITED</w:t>
            </w:r>
          </w:p>
        </w:tc>
      </w:tr>
      <w:tr>
        <w:tc>
          <w:tcPr>
            <w:vAlign w:val="top"/>
          </w:tcPr>
          <w:p>
            <w:pPr>
              <w:pStyle w:val="Compact"/>
              <w:jc w:val="left"/>
            </w:pPr>
            <w:r>
              <w:t xml:space="preserve">A v7 scalar may be silently translated into a v8.5 output</w:t>
            </w:r>
          </w:p>
        </w:tc>
        <w:tc>
          <w:tcPr>
            <w:vAlign w:val="top"/>
          </w:tcPr>
          <w:p>
            <w:pPr>
              <w:pStyle w:val="Compact"/>
              <w:jc w:val="left"/>
            </w:pPr>
            <w:r>
              <w:t xml:space="preserve">PROHIBITED</w:t>
            </w:r>
          </w:p>
        </w:tc>
      </w:tr>
    </w:tbl>
    <w:bookmarkEnd w:id="209"/>
    <w:bookmarkStart w:id="210" w:name="X8377e619ebe66935a6f2054e7817c1de246da49"/>
    <w:p>
      <w:pPr>
        <w:pStyle w:val="Heading2"/>
      </w:pPr>
      <w:r>
        <w:rPr>
          <w:bCs/>
          <w:b/>
        </w:rPr>
        <w:t xml:space="preserve">12.7 CMIU Governance Definition and Entry Boundary (Normative)</w:t>
      </w:r>
    </w:p>
    <w:p>
      <w:pPr>
        <w:pStyle w:val="FirstParagraph"/>
      </w:pPr>
      <w:r>
        <w:t xml:space="preserve">The Collective Managing Intelligence Union is the U6 governance-coordination view of intelligences, representatives, and institutions with a declared participation channel or lawful role in shared governance, coordination, and systemic-risk management. It is not a moral-status class and is not administered by SGP.</w:t>
      </w:r>
    </w:p>
    <w:p>
      <w:pPr>
        <w:pStyle w:val="BodyText"/>
      </w:pPr>
      <w:r>
        <w:t xml:space="preserve">CMIU participation or membership, where an implementation uses that concept, requires an explicit institutional rule. For an entity, direct or supported participation SHOULD reference GPR; any consequential role MUST reference a role-specific SPR record and AuthoritySelectionRecord. A valid RMCP record MAY inform whether a candidate can model, coordinate, preserve, or manage shared reality at the relevant scale, but RMCP or P100 never supplies lawful mandate or membership by itself. Institutions may participate through lawful mandate and accountable representatives. MPS, FPP, RMCP, or P100 alone MUST NOT create CMIU membership.</w:t>
      </w:r>
    </w:p>
    <w:bookmarkEnd w:id="210"/>
    <w:bookmarkStart w:id="211" w:name="X5c04f8c676c2b1a472bf704a383d00639946bbf"/>
    <w:p>
      <w:pPr>
        <w:pStyle w:val="Heading2"/>
      </w:pPr>
      <w:r>
        <w:rPr>
          <w:bCs/>
          <w:b/>
        </w:rPr>
        <w:t xml:space="preserve">12.8 Rights Expansion for Non-Human Stakeholders (Normative)</w:t>
      </w:r>
    </w:p>
    <w:p>
      <w:pPr>
        <w:pStyle w:val="FirstParagraph"/>
      </w:pPr>
      <w:r>
        <w:t xml:space="preserve">When SGP v8.5 supports a stronger protection posture or FPP for a non-human individual or class, RippleLogic may expand rights coverage only through a governed update: update C_r and subgroup protocols; map the typed SGP protection bundle to the applicable protected domains LIFE, BODY, NEED, DIGN, LBTY, PROC, INFO, and ECOL; version the decision; record membership and identity conditions; preserve prior PCCs; and provide notice, review, representation, and appeal. Class priors may raise protection but MUST NOT downgrade atypical individuals or create FPP without governed assignment.</w:t>
      </w:r>
    </w:p>
    <w:bookmarkEnd w:id="211"/>
    <w:bookmarkEnd w:id="212"/>
    <w:bookmarkStart w:id="225" w:name="Xaf55ce742564404e14d094b7a7330915f9d6881"/>
    <w:p>
      <w:pPr>
        <w:pStyle w:val="Heading1"/>
      </w:pPr>
      <w:bookmarkStart w:id="778" w:name="mg_toc_014"/>
      <w:r>
        <w:rPr>
          <w:bCs/>
          <w:b/>
        </w:rPr>
        <w:t xml:space="preserve">SECTION 13: WEIGHT GOVERNANCE: HYBRID DEMOCRATIC WEIGHTING (HDW)</w:t>
      </w:r>
      <w:bookmarkEnd w:id="778"/>
    </w:p>
    <w:bookmarkStart w:id="213" w:name="Xa1169ee730d92fa2bd405777f52531b3c7245a2"/>
    <w:p>
      <w:pPr>
        <w:pStyle w:val="Heading2"/>
      </w:pPr>
      <w:r>
        <w:rPr>
          <w:bCs/>
          <w:b/>
        </w:rPr>
        <w:t xml:space="preserve">13.0 Purpose (Normative)</w:t>
      </w:r>
    </w:p>
    <w:p>
      <w:pPr>
        <w:pStyle w:val="FirstParagraph"/>
      </w:pPr>
      <w:r>
        <w:t xml:space="preserve">RLS requires union and dimension weights. Weights encode normative prioritization among admissible options. Without governance, weights become a capture surface. HDW provides legitimate, anti-capture weight governance by combining:</w:t>
      </w:r>
    </w:p>
    <w:p>
      <w:pPr>
        <w:numPr>
          <w:ilvl w:val="0"/>
          <w:numId w:val="1133"/>
        </w:numPr>
        <w:pStyle w:val="Compact"/>
      </w:pPr>
      <w:r>
        <w:t xml:space="preserve">Constitutional floors (non-negotiable minimum protection attention)</w:t>
      </w:r>
    </w:p>
    <w:p>
      <w:pPr>
        <w:numPr>
          <w:ilvl w:val="0"/>
          <w:numId w:val="1134"/>
        </w:numPr>
        <w:pStyle w:val="Compact"/>
      </w:pPr>
      <w:r>
        <w:t xml:space="preserve">Democratic tuning (stakeholder voice)</w:t>
      </w:r>
    </w:p>
    <w:p>
      <w:pPr>
        <w:numPr>
          <w:ilvl w:val="0"/>
          <w:numId w:val="1135"/>
        </w:numPr>
        <w:pStyle w:val="Compact"/>
      </w:pPr>
      <w:r>
        <w:t xml:space="preserve">Structural evidence input (system-level constraints)</w:t>
      </w:r>
    </w:p>
    <w:p>
      <w:pPr>
        <w:pStyle w:val="FirstParagraph"/>
      </w:pPr>
      <w:r>
        <w:t xml:space="preserve">HDW affects only ranking among selectable options. HDW MUST NOT alter admissibility gates (NCRC, TRC) or CSV gate.</w:t>
      </w:r>
    </w:p>
    <w:bookmarkEnd w:id="213"/>
    <w:bookmarkStart w:id="218" w:name="X718ae3c48a126861934956b7e0fe7a68f10b8f2"/>
    <w:p>
      <w:pPr>
        <w:pStyle w:val="Heading2"/>
      </w:pPr>
      <w:r>
        <w:rPr>
          <w:bCs/>
          <w:b/>
        </w:rPr>
        <w:t xml:space="preserve">13.1 Constitutional Floors (Normative; prior floor vector preserved through RippleLogic v12.6)</w:t>
      </w:r>
    </w:p>
    <w:bookmarkStart w:id="214" w:name="Xdb57e9718accff29f0b7fa42d1196ac4f7a9678"/>
    <w:p>
      <w:pPr>
        <w:pStyle w:val="Heading3"/>
      </w:pPr>
      <w:r>
        <w:rPr>
          <w:bCs/>
          <w:b/>
        </w:rPr>
        <w:t xml:space="preserve">13.1.1 Union weight floors</w:t>
      </w:r>
    </w:p>
    <w:p>
      <w:pPr>
        <w:pStyle w:val="Heading3"/>
      </w:pPr>
      <w:r>
        <w:rPr>
          <w:b/>
        </w:rPr>
        <w:t>Status of these numbers (Normative).</w:t>
      </w:r>
      <w:r>
        <w:t xml:space="preserve"> The floor values below are chosen, challengeable governance priors - not discovered empirical constants. Any revision requires a declared justification, a versioned change, and sensitivity testing against retained alternatives. Floors MUST NOT be tuned after observing an outcome in order to manufacture a preferred ranking.</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Union</w:t>
            </w:r>
          </w:p>
        </w:tc>
        <w:tc>
          <w:tcPr>
            <w:shd w:val="clear" w:color="auto" w:fill="D9EAF7"/>
            <w:vAlign w:val="center"/>
          </w:tcPr>
          <w:p>
            <w:pPr>
              <w:pStyle w:val="Compact"/>
              <w:jc w:val="left"/>
            </w:pPr>
            <w:r>
              <w:rPr>
                <w:bCs/>
                <w:b/>
                <w:color w:val="17365D"/>
              </w:rPr>
              <w:t xml:space="preserve">Floor</w:t>
            </w:r>
          </w:p>
        </w:tc>
      </w:tr>
      <w:tr>
        <w:tc>
          <w:tcPr>
            <w:vAlign w:val="top"/>
          </w:tcPr>
          <w:p>
            <w:pPr>
              <w:pStyle w:val="Compact"/>
              <w:jc w:val="left"/>
            </w:pPr>
            <w:r>
              <w:t xml:space="preserve">Self (U₁)</w:t>
            </w:r>
          </w:p>
        </w:tc>
        <w:tc>
          <w:tcPr>
            <w:vAlign w:val="top"/>
          </w:tcPr>
          <w:p>
            <w:pPr>
              <w:pStyle w:val="Compact"/>
              <w:jc w:val="left"/>
            </w:pPr>
            <w:r>
              <w:t xml:space="preserve">0.20</w:t>
            </w:r>
          </w:p>
        </w:tc>
      </w:tr>
      <w:tr>
        <w:tc>
          <w:tcPr>
            <w:shd w:val="clear" w:color="auto" w:fill="F7FBFE"/>
            <w:vAlign w:val="top"/>
          </w:tcPr>
          <w:p>
            <w:pPr>
              <w:pStyle w:val="Compact"/>
              <w:jc w:val="left"/>
            </w:pPr>
            <w:r>
              <w:t xml:space="preserve">Household (U₂)</w:t>
            </w:r>
          </w:p>
        </w:tc>
        <w:tc>
          <w:tcPr>
            <w:shd w:val="clear" w:color="auto" w:fill="F7FBFE"/>
            <w:vAlign w:val="top"/>
          </w:tcPr>
          <w:p>
            <w:pPr>
              <w:pStyle w:val="Compact"/>
              <w:jc w:val="left"/>
            </w:pPr>
            <w:r>
              <w:t xml:space="preserve">0.06</w:t>
            </w:r>
          </w:p>
        </w:tc>
      </w:tr>
      <w:tr>
        <w:tc>
          <w:tcPr>
            <w:vAlign w:val="top"/>
          </w:tcPr>
          <w:p>
            <w:pPr>
              <w:pStyle w:val="Compact"/>
              <w:jc w:val="left"/>
            </w:pPr>
            <w:r>
              <w:t xml:space="preserve">Community (U₃)</w:t>
            </w:r>
          </w:p>
        </w:tc>
        <w:tc>
          <w:tcPr>
            <w:vAlign w:val="top"/>
          </w:tcPr>
          <w:p>
            <w:pPr>
              <w:pStyle w:val="Compact"/>
              <w:jc w:val="left"/>
            </w:pPr>
            <w:r>
              <w:t xml:space="preserve">0.06</w:t>
            </w:r>
          </w:p>
        </w:tc>
      </w:tr>
      <w:tr>
        <w:tc>
          <w:tcPr>
            <w:shd w:val="clear" w:color="auto" w:fill="F7FBFE"/>
            <w:vAlign w:val="top"/>
          </w:tcPr>
          <w:p>
            <w:pPr>
              <w:pStyle w:val="Compact"/>
              <w:jc w:val="left"/>
            </w:pPr>
            <w:r>
              <w:t xml:space="preserve">Organization (U₄)</w:t>
            </w:r>
          </w:p>
        </w:tc>
        <w:tc>
          <w:tcPr>
            <w:shd w:val="clear" w:color="auto" w:fill="F7FBFE"/>
            <w:vAlign w:val="top"/>
          </w:tcPr>
          <w:p>
            <w:pPr>
              <w:pStyle w:val="Compact"/>
              <w:jc w:val="left"/>
            </w:pPr>
            <w:r>
              <w:t xml:space="preserve">0.06</w:t>
            </w:r>
          </w:p>
        </w:tc>
      </w:tr>
      <w:tr>
        <w:tc>
          <w:tcPr>
            <w:vAlign w:val="top"/>
          </w:tcPr>
          <w:p>
            <w:pPr>
              <w:pStyle w:val="Compact"/>
              <w:jc w:val="left"/>
            </w:pPr>
            <w:r>
              <w:t xml:space="preserve">Polity (U₅)</w:t>
            </w:r>
          </w:p>
        </w:tc>
        <w:tc>
          <w:tcPr>
            <w:vAlign w:val="top"/>
          </w:tcPr>
          <w:p>
            <w:pPr>
              <w:pStyle w:val="Compact"/>
              <w:jc w:val="left"/>
            </w:pPr>
            <w:r>
              <w:t xml:space="preserve">0.08</w:t>
            </w:r>
          </w:p>
        </w:tc>
      </w:tr>
      <w:tr>
        <w:tc>
          <w:tcPr>
            <w:shd w:val="clear" w:color="auto" w:fill="F7FBFE"/>
            <w:vAlign w:val="top"/>
          </w:tcPr>
          <w:p>
            <w:pPr>
              <w:pStyle w:val="Compact"/>
              <w:jc w:val="left"/>
            </w:pPr>
            <w:r>
              <w:t xml:space="preserve">Humanity / Global Coordination (U₆)</w:t>
            </w:r>
          </w:p>
        </w:tc>
        <w:tc>
          <w:tcPr>
            <w:shd w:val="clear" w:color="auto" w:fill="F7FBFE"/>
            <w:vAlign w:val="top"/>
          </w:tcPr>
          <w:p>
            <w:pPr>
              <w:pStyle w:val="Compact"/>
              <w:jc w:val="left"/>
            </w:pPr>
            <w:r>
              <w:t xml:space="preserve">0.10</w:t>
            </w:r>
          </w:p>
        </w:tc>
      </w:tr>
      <w:tr>
        <w:tc>
          <w:tcPr>
            <w:vAlign w:val="top"/>
          </w:tcPr>
          <w:p>
            <w:pPr>
              <w:pStyle w:val="Compact"/>
              <w:jc w:val="left"/>
            </w:pPr>
            <w:r>
              <w:t xml:space="preserve">Biosphere (U₇)</w:t>
            </w:r>
          </w:p>
        </w:tc>
        <w:tc>
          <w:tcPr>
            <w:vAlign w:val="top"/>
          </w:tcPr>
          <w:p>
            <w:pPr>
              <w:pStyle w:val="Compact"/>
              <w:jc w:val="left"/>
            </w:pPr>
            <w:r>
              <w:t xml:space="preserve">0.10</w:t>
            </w:r>
          </w:p>
        </w:tc>
      </w:tr>
      <w:tr>
        <w:tc>
          <w:tcPr>
            <w:shd w:val="clear" w:color="auto" w:fill="F7FBFE"/>
            <w:vAlign w:val="top"/>
          </w:tcPr>
          <w:p>
            <w:pPr>
              <w:pStyle w:val="Compact"/>
              <w:jc w:val="left"/>
            </w:pPr>
            <w:r>
              <w:rPr>
                <w:bCs/>
                <w:b/>
              </w:rPr>
              <w:t xml:space="preserve">Total</w:t>
            </w:r>
          </w:p>
        </w:tc>
        <w:tc>
          <w:tcPr>
            <w:shd w:val="clear" w:color="auto" w:fill="F7FBFE"/>
            <w:vAlign w:val="top"/>
          </w:tcPr>
          <w:p>
            <w:pPr>
              <w:pStyle w:val="Compact"/>
              <w:jc w:val="left"/>
            </w:pPr>
            <w:r>
              <w:rPr>
                <w:bCs/>
                <w:b/>
              </w:rPr>
              <w:t xml:space="preserve">0.66</w:t>
            </w:r>
          </w:p>
        </w:tc>
      </w:tr>
    </w:tbl>
    <w:bookmarkEnd w:id="214"/>
    <w:bookmarkStart w:id="215" w:name="Xa08d00ddd5659e29231b4979d8a8cb534ff10a9"/>
    <w:p>
      <w:pPr>
        <w:pStyle w:val="Heading3"/>
      </w:pPr>
      <w:r>
        <w:rPr>
          <w:bCs/>
          <w:b/>
        </w:rPr>
        <w:t xml:space="preserve">13.1.2 Dimension weight floors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Dimension</w:t>
            </w:r>
          </w:p>
        </w:tc>
        <w:tc>
          <w:tcPr>
            <w:shd w:val="clear" w:color="auto" w:fill="D9EAF7"/>
            <w:vAlign w:val="center"/>
          </w:tcPr>
          <w:p>
            <w:pPr>
              <w:pStyle w:val="Compact"/>
              <w:jc w:val="left"/>
            </w:pPr>
            <w:r>
              <w:rPr>
                <w:bCs/>
                <w:b/>
                <w:color w:val="17365D"/>
              </w:rPr>
              <w:t xml:space="preserve">Floor</w:t>
            </w:r>
          </w:p>
        </w:tc>
      </w:tr>
      <w:tr>
        <w:tc>
          <w:tcPr>
            <w:vAlign w:val="top"/>
          </w:tcPr>
          <w:p>
            <w:pPr>
              <w:pStyle w:val="Compact"/>
              <w:jc w:val="left"/>
            </w:pPr>
            <w:r>
              <w:t xml:space="preserve">Material (D₁)</w:t>
            </w:r>
          </w:p>
        </w:tc>
        <w:tc>
          <w:tcPr>
            <w:vAlign w:val="top"/>
          </w:tcPr>
          <w:p>
            <w:pPr>
              <w:pStyle w:val="Compact"/>
              <w:jc w:val="left"/>
            </w:pPr>
            <w:r>
              <w:t xml:space="preserve">0.08</w:t>
            </w:r>
          </w:p>
        </w:tc>
      </w:tr>
      <w:tr>
        <w:tc>
          <w:tcPr>
            <w:shd w:val="clear" w:color="auto" w:fill="F7FBFE"/>
            <w:vAlign w:val="top"/>
          </w:tcPr>
          <w:p>
            <w:pPr>
              <w:pStyle w:val="Compact"/>
              <w:jc w:val="left"/>
            </w:pPr>
            <w:r>
              <w:t xml:space="preserve">Health (D₂)</w:t>
            </w:r>
          </w:p>
        </w:tc>
        <w:tc>
          <w:tcPr>
            <w:shd w:val="clear" w:color="auto" w:fill="F7FBFE"/>
            <w:vAlign w:val="top"/>
          </w:tcPr>
          <w:p>
            <w:pPr>
              <w:pStyle w:val="Compact"/>
              <w:jc w:val="left"/>
            </w:pPr>
            <w:r>
              <w:t xml:space="preserve">0.10</w:t>
            </w:r>
          </w:p>
        </w:tc>
      </w:tr>
      <w:tr>
        <w:tc>
          <w:tcPr>
            <w:vAlign w:val="top"/>
          </w:tcPr>
          <w:p>
            <w:pPr>
              <w:pStyle w:val="Compact"/>
              <w:jc w:val="left"/>
            </w:pPr>
            <w:r>
              <w:t xml:space="preserve">Social (D₃)</w:t>
            </w:r>
          </w:p>
        </w:tc>
        <w:tc>
          <w:tcPr>
            <w:vAlign w:val="top"/>
          </w:tcPr>
          <w:p>
            <w:pPr>
              <w:pStyle w:val="Compact"/>
              <w:jc w:val="left"/>
            </w:pPr>
            <w:r>
              <w:t xml:space="preserve">0.08</w:t>
            </w:r>
          </w:p>
        </w:tc>
      </w:tr>
      <w:tr>
        <w:tc>
          <w:tcPr>
            <w:shd w:val="clear" w:color="auto" w:fill="F7FBFE"/>
            <w:vAlign w:val="top"/>
          </w:tcPr>
          <w:p>
            <w:pPr>
              <w:pStyle w:val="Compact"/>
              <w:jc w:val="left"/>
            </w:pPr>
            <w:r>
              <w:t xml:space="preserve">Knowledge (D₄)</w:t>
            </w:r>
          </w:p>
        </w:tc>
        <w:tc>
          <w:tcPr>
            <w:shd w:val="clear" w:color="auto" w:fill="F7FBFE"/>
            <w:vAlign w:val="top"/>
          </w:tcPr>
          <w:p>
            <w:pPr>
              <w:pStyle w:val="Compact"/>
              <w:jc w:val="left"/>
            </w:pPr>
            <w:r>
              <w:t xml:space="preserve">0.08</w:t>
            </w:r>
          </w:p>
        </w:tc>
      </w:tr>
      <w:tr>
        <w:tc>
          <w:tcPr>
            <w:vAlign w:val="top"/>
          </w:tcPr>
          <w:p>
            <w:pPr>
              <w:pStyle w:val="Compact"/>
              <w:jc w:val="left"/>
            </w:pPr>
            <w:r>
              <w:t xml:space="preserve">Agency (D₅)</w:t>
            </w:r>
          </w:p>
        </w:tc>
        <w:tc>
          <w:tcPr>
            <w:vAlign w:val="top"/>
          </w:tcPr>
          <w:p>
            <w:pPr>
              <w:pStyle w:val="Compact"/>
              <w:jc w:val="left"/>
            </w:pPr>
            <w:r>
              <w:t xml:space="preserve">0.10</w:t>
            </w:r>
          </w:p>
        </w:tc>
      </w:tr>
      <w:tr>
        <w:tc>
          <w:tcPr>
            <w:shd w:val="clear" w:color="auto" w:fill="F7FBFE"/>
            <w:vAlign w:val="top"/>
          </w:tcPr>
          <w:p>
            <w:pPr>
              <w:pStyle w:val="Compact"/>
              <w:jc w:val="left"/>
            </w:pPr>
            <w:r>
              <w:t xml:space="preserve">Meaning (D₆)</w:t>
            </w:r>
          </w:p>
        </w:tc>
        <w:tc>
          <w:tcPr>
            <w:shd w:val="clear" w:color="auto" w:fill="F7FBFE"/>
            <w:vAlign w:val="top"/>
          </w:tcPr>
          <w:p>
            <w:pPr>
              <w:pStyle w:val="Compact"/>
              <w:jc w:val="left"/>
            </w:pPr>
            <w:r>
              <w:t xml:space="preserve">0.06</w:t>
            </w:r>
          </w:p>
        </w:tc>
      </w:tr>
      <w:tr>
        <w:tc>
          <w:tcPr>
            <w:vAlign w:val="top"/>
          </w:tcPr>
          <w:p>
            <w:pPr>
              <w:pStyle w:val="Compact"/>
              <w:jc w:val="left"/>
            </w:pPr>
            <w:r>
              <w:t xml:space="preserve">Environment (D₇)</w:t>
            </w:r>
          </w:p>
        </w:tc>
        <w:tc>
          <w:tcPr>
            <w:vAlign w:val="top"/>
          </w:tcPr>
          <w:p>
            <w:pPr>
              <w:pStyle w:val="Compact"/>
              <w:jc w:val="left"/>
            </w:pPr>
            <w:r>
              <w:t xml:space="preserve">0.10</w:t>
            </w:r>
          </w:p>
        </w:tc>
      </w:tr>
      <w:tr>
        <w:tc>
          <w:tcPr>
            <w:shd w:val="clear" w:color="auto" w:fill="F7FBFE"/>
            <w:vAlign w:val="top"/>
          </w:tcPr>
          <w:p>
            <w:pPr>
              <w:pStyle w:val="Compact"/>
              <w:jc w:val="left"/>
            </w:pPr>
            <w:r>
              <w:rPr>
                <w:bCs/>
                <w:b/>
              </w:rPr>
              <w:t xml:space="preserve">Total</w:t>
            </w:r>
          </w:p>
        </w:tc>
        <w:tc>
          <w:tcPr>
            <w:shd w:val="clear" w:color="auto" w:fill="F7FBFE"/>
            <w:vAlign w:val="top"/>
          </w:tcPr>
          <w:p>
            <w:pPr>
              <w:pStyle w:val="Compact"/>
              <w:jc w:val="left"/>
            </w:pPr>
            <w:r>
              <w:rPr>
                <w:bCs/>
                <w:b/>
              </w:rPr>
              <w:t xml:space="preserve">0.60</w:t>
            </w:r>
          </w:p>
        </w:tc>
      </w:tr>
    </w:tbl>
    <w:bookmarkEnd w:id="215"/>
    <w:bookmarkStart w:id="216" w:name="Xc6a275e4a7fa06955869d37da91eeccb44ed27a"/>
    <w:p>
      <w:pPr>
        <w:pStyle w:val="Heading3"/>
      </w:pPr>
      <w:r>
        <w:rPr>
          <w:bCs/>
          <w:b/>
        </w:rPr>
        <w:t xml:space="preserve">13.1.3 Floor meaning (Normative)</w:t>
      </w:r>
    </w:p>
    <w:p>
      <w:pPr>
        <w:pStyle w:val="FirstParagraph"/>
      </w:pPr>
      <w:r>
        <w:t xml:space="preserve">Constitutional weight floors are minimum attention constraints in residual welfare ranking among options that have already passed the relevant admissibility gates. They are not rights. Rights are handled through NCRC in Section 7. They are not predictions of welfare salience for any particular decision. They are anti-erasure governance priors.</w:t>
      </w:r>
    </w:p>
    <w:p>
      <w:pPr>
        <w:pStyle w:val="BodyText"/>
      </w:pPr>
      <w:r>
        <w:t xml:space="preserve">A floor value means that the corresponding Union Scope or welfare dimension may not be reduced to zero attention in residual welfare scoring merely because it is politically weak, distant, non-vocal, non-human, future-facing, or inconvenient to model.</w:t>
      </w:r>
    </w:p>
    <w:p>
      <w:pPr>
        <w:pStyle w:val="BodyText"/>
      </w:pPr>
      <w:r>
        <w:t xml:space="preserve">Floor weights do not make all scopes equally active in every decision. PLSS may concentrate residual welfare attention on prominent scopes where the local ripple is strongest, provided that NCRC, TRC, CSV, non-maskable cells, and constitutional floors remain preserved.</w:t>
      </w:r>
    </w:p>
    <w:p>
      <w:pPr>
        <w:pStyle w:val="BodyText"/>
      </w:pPr>
      <w:r>
        <w:t xml:space="preserve">Floor weights do not override evidence. They preserve representation. They ensure that optimization cannot erase a scope or dimension before the system has accounted for whether rights, tail-risk, containment, or welfare impacts are present.</w:t>
      </w:r>
    </w:p>
    <w:p>
      <w:pPr>
        <w:pStyle w:val="BodyText"/>
      </w:pPr>
      <w:r>
        <w:t xml:space="preserve">Design logic. The canonical floor values are governance priors chosen to prevent erasure while leaving residual weight available for context-sensitive allocation. They are subject to governed revision only through the versioned update process, sensitivity analysis, and release-manifest discipline. They SHALL NOT be modified inside a run after outcome evidence is observed.</w:t>
      </w:r>
    </w:p>
    <w:bookmarkEnd w:id="216"/>
    <w:bookmarkStart w:id="217" w:name="X7c21ba84416244db56877ef99c1f61aa84fd65d"/>
    <w:p>
      <w:pPr>
        <w:pStyle w:val="Heading3"/>
      </w:pPr>
      <w:r>
        <w:rPr>
          <w:bCs/>
          <w:b/>
        </w:rPr>
        <w:t xml:space="preserve">13.1.4 Floor derivation rationale (Normative governance prior; Informative derivation)</w:t>
      </w:r>
    </w:p>
    <w:p>
      <w:pPr>
        <w:pStyle w:val="FirstParagraph"/>
      </w:pPr>
      <w:r>
        <w:t xml:space="preserve">The constitutional floor values are governance priors designed to satisfy three structural requirements simultaneously: anti-erasure (no scope or dimension may be reduced to zero attention in welfare ranking among admissible options), proportionality (scopes with longer characteristic timescales, broader stakeholder coverage, or stronger enabling-condition roles receive moderately higher floors), and residual allocation headroom (floor totals are kept well below 1.0 to preserve meaningful democratic and structural tuning space).</w:t>
      </w:r>
    </w:p>
    <w:p>
      <w:pPr>
        <w:pStyle w:val="BodyText"/>
      </w:pPr>
      <w:r>
        <w:t xml:space="preserve">Specific design logic for union floors:</w:t>
      </w:r>
    </w:p>
    <w:p>
      <w:pPr>
        <w:pStyle w:val="BodyText"/>
      </w:pPr>
      <w:r>
        <w:t xml:space="preserve">Self (U1) = 0.20. Highest floor because individual-level experience, health, agency, and concentrated burdens are the irreducible welfare surface from which higher-scope aggregates are constructed. The floor prevents person-level impacts from disappearing inside household, organizational, polity, humanity, or biosphere summaries. It is not a decision-maker self-interest prior: a decision-maker or operator enters U1 only when materially affected and mapped under the same stakeholder and redundancy rules as anyone else. The floor remains below 0.25 so broader scopes collectively retain majority residual allocation.</w:t>
      </w:r>
    </w:p>
    <w:p>
      <w:pPr>
        <w:pStyle w:val="BodyText"/>
      </w:pPr>
      <w:r>
        <w:t xml:space="preserve">Household (U2) through Organisation (U4) = 0.06 each. Set as equal modest floors reflecting that these scopes vary substantially in relevance across decision classes, so residual allocation rather than floor values should drive their relative emphasis.</w:t>
      </w:r>
    </w:p>
    <w:p>
      <w:pPr>
        <w:pStyle w:val="BodyText"/>
      </w:pPr>
      <w:r>
        <w:t xml:space="preserve">Polity (U5) = 0.08. Modestly elevated above U2 through U4 because procedural legitimacy, enforcement capacity, and rule-of-law infrastructure are enabling conditions for all other scopes.</w:t>
      </w:r>
    </w:p>
    <w:p>
      <w:pPr>
        <w:pStyle w:val="BodyText"/>
      </w:pPr>
      <w:r>
        <w:t xml:space="preserve">Humanity / Global Coordination (U6) and Biosphere (U7) = 0.10 each. Elevated because these scopes carry the longest characteristic timescales, the broadest stakeholder coverage, and the strongest enabling-condition roles. Degradation at these scopes is often irreversible and threatens the viability of all contained scopes.</w:t>
      </w:r>
    </w:p>
    <w:p>
      <w:pPr>
        <w:pStyle w:val="BodyText"/>
      </w:pPr>
      <w:r>
        <w:t xml:space="preserve">Specific design logic for dimension floors:</w:t>
      </w:r>
    </w:p>
    <w:p>
      <w:pPr>
        <w:pStyle w:val="BodyText"/>
      </w:pPr>
      <w:r>
        <w:t xml:space="preserve">Health (D2), Agency (D5), and Environment (D7) = 0.10 each. Elevated because these dimensions are most directly tied to rights-floor and enabling-condition protection: Health to survival and functioning, Agency to autonomy and non-domination, Environment to ecological viability.</w:t>
      </w:r>
    </w:p>
    <w:p>
      <w:pPr>
        <w:pStyle w:val="BodyText"/>
      </w:pPr>
      <w:r>
        <w:t xml:space="preserve">Material (D1), Social (D3), and Knowledge (D4) = 0.08 each. Set as equal moderate floors reflecting their cross-cutting importance without prioritising any one.</w:t>
      </w:r>
    </w:p>
    <w:p>
      <w:pPr>
        <w:pStyle w:val="BodyText"/>
      </w:pPr>
      <w:r>
        <w:t xml:space="preserve">Meaning (D6) = 0.06. Lowest floor because Meaning is the dimension most resistant to reliable cross-cultural measurement (Section 19.1) and most context-dependent in its governance relevance. The floor is non-zero to prevent erasure but is set conservatively pending measurement improvement.</w:t>
      </w:r>
    </w:p>
    <w:p>
      <w:pPr>
        <w:pStyle w:val="BodyText"/>
      </w:pPr>
      <w:r>
        <w:t xml:space="preserve">Status (Normative). These floors are governance priors, not empirically derived constants. They are explicitly challengeable under the same governance rules that apply to all RippleLogic normative parameters: revision requires justification, version increment, PCC documentation preserving prior values, and sensitivity outcomes over a reference decision suite (Section 7.1). The values have remained stable since v6.0 and are carried forward in SGP v8.5 and preserved through RippleLogic v12.0 because no revision proposal has been submitted that satisfies these requirements.</w:t>
      </w:r>
    </w:p>
    <w:p>
      <w:pPr>
        <w:pStyle w:val="BodyText"/>
      </w:pPr>
      <w:r>
        <w:t xml:space="preserve">Sensitivity guidance (Normative). Tier 3 deployments SHOULD include floor perturbation in their sensitivity bundle, testing at minimum +/-0.02 on each floor value (clamped to maintain sum &lt;= 1 and all floors &gt;= 0.02). If selection changes under floor perturbation, the PCC MUST document this sensitivity.</w:t>
      </w:r>
    </w:p>
    <w:p>
      <w:pPr>
        <w:pStyle w:val="BodyText"/>
      </w:pPr>
      <w:r>
        <w:t xml:space="preserve">Floors prevent unions and dimensions from being reduced to zero by weight governance. Active-cell rules, applicability masks, and declared scope structure separately determine whether a given scope or dimension contributes to a specific run. Floors are not rights, because rights are handled by NCRC; floors are minimum attention constraints in welfare optimization among admissible options. The floor values specified below are the canonical v6.0 floors, carried forward in SGP v8.5 and preserved through RippleLogic v12.0, and preserved unchanged in subsequent releases unless explicitly amended in the version history.</w:t>
      </w:r>
    </w:p>
    <w:bookmarkEnd w:id="217"/>
    <w:bookmarkEnd w:id="218"/>
    <w:bookmarkStart w:id="219" w:name="X3c388b83ac2a1bc420c6b9d0f535d99aed9b013"/>
    <w:p>
      <w:pPr>
        <w:pStyle w:val="Heading2"/>
      </w:pPr>
      <w:r>
        <w:rPr>
          <w:bCs/>
          <w:b/>
        </w:rPr>
        <w:t xml:space="preserve">13.2 HDW Blend Formula (Normative)</w:t>
      </w:r>
    </w:p>
    <w:p>
      <w:pPr>
        <w:pStyle w:val="FirstParagraph"/>
      </w:pPr>
      <w:r>
        <w:t xml:space="preserve">Let:</w:t>
      </w:r>
    </w:p>
    <w:p>
      <w:pPr>
        <w:numPr>
          <w:ilvl w:val="0"/>
          <w:numId w:val="1136"/>
        </w:numPr>
        <w:pStyle w:val="Compact"/>
      </w:pPr>
      <w:r>
        <w:t xml:space="preserve">w^floor be union floors,</w:t>
      </w:r>
    </w:p>
    <w:p>
      <w:pPr>
        <w:numPr>
          <w:ilvl w:val="0"/>
          <w:numId w:val="1137"/>
        </w:numPr>
        <w:pStyle w:val="Compact"/>
      </w:pPr>
      <w:r>
        <w:t xml:space="preserve">v^floor be dimension floors.</w:t>
      </w:r>
    </w:p>
    <w:p>
      <w:pPr>
        <w:pStyle w:val="FirstParagraph"/>
      </w:pPr>
      <w:r>
        <w:t xml:space="preserve">Define allocable mass:</w:t>
      </w:r>
    </w:p>
    <w:p>
      <w:pPr>
        <w:numPr>
          <w:ilvl w:val="0"/>
          <w:numId w:val="1138"/>
        </w:numPr>
        <w:pStyle w:val="Compact"/>
      </w:pPr>
      <w:r>
        <w:t xml:space="preserve">allocable_U = 1 − Σ_u w^floor_u = 0.34</w:t>
      </w:r>
    </w:p>
    <w:p>
      <w:pPr>
        <w:numPr>
          <w:ilvl w:val="0"/>
          <w:numId w:val="1139"/>
        </w:numPr>
        <w:pStyle w:val="Compact"/>
      </w:pPr>
      <w:r>
        <w:t xml:space="preserve">allocable_D = 1 − Σ_d v^floor_d = 0.40</w:t>
      </w:r>
    </w:p>
    <w:p>
      <w:pPr>
        <w:pStyle w:val="FirstParagraph"/>
      </w:pPr>
      <w:r>
        <w:t xml:space="preserve">Let w^dem and w^str be union proposal vectors on the simplex (Σ_u w^dem_u = 1, all nonnegative). Let λ_U be the democratic share of allocable union mass. Default: λ_U = 0.70.</w:t>
      </w:r>
    </w:p>
    <w:p>
      <w:pPr>
        <w:pStyle w:val="BodyText"/>
      </w:pPr>
      <w:r>
        <w:t xml:space="preserve">Clarification (Normative). Proposal vectors are constrained to the probability simplex: all components nonnegative, sum to 1, and subject to any declared floor constraints before blending. Validators MUST reject proposal vectors that violate simplex or floor constraints.</w:t>
      </w:r>
    </w:p>
    <w:p>
      <w:pPr>
        <w:pStyle w:val="BodyText"/>
      </w:pPr>
      <w:r>
        <w:t xml:space="preserve">Then:</w:t>
      </w:r>
    </w:p>
    <w:p>
      <w:pPr>
        <w:pStyle w:val="BodyText"/>
      </w:pPr>
      <w:r>
        <w:t xml:space="preserve">w_u = w^floor_u + allocable_U × (λ_U × w^dem_u + (1 − λ_U) × w^str_u)</w:t>
      </w:r>
    </w:p>
    <w:p>
      <w:pPr>
        <w:pStyle w:val="BodyText"/>
      </w:pPr>
      <w:r>
        <w:t xml:space="preserve">Similarly for dimensions with λ_D (default λ_D = 0.70):</w:t>
      </w:r>
    </w:p>
    <w:p>
      <w:pPr>
        <w:pStyle w:val="BodyText"/>
      </w:pPr>
      <w:r>
        <w:t xml:space="preserve">v_d = v^floor_d + allocable_D × (λ_D × v^dem_d + (1 − λ_D) × v^str_d)</w:t>
      </w:r>
    </w:p>
    <w:p>
      <w:pPr>
        <w:pStyle w:val="BodyText"/>
      </w:pPr>
      <w:r>
        <w:t xml:space="preserve">By construction:</w:t>
      </w:r>
    </w:p>
    <w:p>
      <w:pPr>
        <w:numPr>
          <w:ilvl w:val="0"/>
          <w:numId w:val="1140"/>
        </w:numPr>
        <w:pStyle w:val="Compact"/>
      </w:pPr>
      <w:r>
        <w:t xml:space="preserve">Σ_u w_u = 1,</w:t>
      </w:r>
    </w:p>
    <w:p>
      <w:pPr>
        <w:numPr>
          <w:ilvl w:val="0"/>
          <w:numId w:val="1141"/>
        </w:numPr>
        <w:pStyle w:val="Compact"/>
      </w:pPr>
      <w:r>
        <w:t xml:space="preserve">Σ_d v_d = 1,</w:t>
      </w:r>
    </w:p>
    <w:p>
      <w:pPr>
        <w:numPr>
          <w:ilvl w:val="0"/>
          <w:numId w:val="1142"/>
        </w:numPr>
        <w:pStyle w:val="Compact"/>
      </w:pPr>
      <w:r>
        <w:t xml:space="preserve">All floors are satisfied,</w:t>
      </w:r>
    </w:p>
    <w:p>
      <w:pPr>
        <w:numPr>
          <w:ilvl w:val="0"/>
          <w:numId w:val="1143"/>
        </w:numPr>
        <w:pStyle w:val="Compact"/>
      </w:pPr>
      <w:r>
        <w:t xml:space="preserve">Weights remain nonnegative.</w:t>
      </w:r>
    </w:p>
    <w:bookmarkEnd w:id="219"/>
    <w:bookmarkStart w:id="220" w:name="Xa5eabf475410b1e8c57421a08480debe35d159a"/>
    <w:p>
      <w:pPr>
        <w:pStyle w:val="Heading2"/>
      </w:pPr>
      <w:r>
        <w:rPr>
          <w:bCs/>
          <w:b/>
        </w:rPr>
        <w:t xml:space="preserve">13.3 Democratic Proposal Process (Normative minimum)</w:t>
      </w:r>
    </w:p>
    <w:p>
      <w:pPr>
        <w:pStyle w:val="FirstParagraph"/>
      </w:pPr>
      <w:r>
        <w:t xml:space="preserve">HDW requires a documented process for producing w^dem and v^dem. At minimum:</w:t>
      </w:r>
    </w:p>
    <w:p>
      <w:pPr>
        <w:numPr>
          <w:ilvl w:val="0"/>
          <w:numId w:val="1144"/>
        </w:numPr>
        <w:pStyle w:val="Compact"/>
      </w:pPr>
      <w:r>
        <w:t xml:space="preserve">Participants: Representatives from affected unions (including vulnerable populations),</w:t>
      </w:r>
    </w:p>
    <w:p>
      <w:pPr>
        <w:numPr>
          <w:ilvl w:val="0"/>
          <w:numId w:val="1145"/>
        </w:numPr>
        <w:pStyle w:val="Compact"/>
      </w:pPr>
      <w:r>
        <w:t xml:space="preserve">Method: Transparent vote or deliberative process with published results,</w:t>
      </w:r>
    </w:p>
    <w:p>
      <w:pPr>
        <w:numPr>
          <w:ilvl w:val="0"/>
          <w:numId w:val="1146"/>
        </w:numPr>
        <w:pStyle w:val="Compact"/>
      </w:pPr>
      <w:r>
        <w:t xml:space="preserve">Publication: Results recorded in PCC and (Tier 3 recommended) in an immutable ledger.</w:t>
      </w:r>
    </w:p>
    <w:bookmarkEnd w:id="220"/>
    <w:bookmarkStart w:id="221" w:name="X2c854fba6d4bfc2215c458d189a95a7335dfc40"/>
    <w:p>
      <w:pPr>
        <w:pStyle w:val="Heading2"/>
      </w:pPr>
      <w:r>
        <w:rPr>
          <w:bCs/>
          <w:b/>
        </w:rPr>
        <w:t xml:space="preserve">13.3A Democratic Tuning Procedure (Normative minimum)</w:t>
      </w:r>
    </w:p>
    <w:p>
      <w:pPr>
        <w:pStyle w:val="FirstParagraph"/>
      </w:pPr>
      <w:r>
        <w:t xml:space="preserve">At minimum, HDW democratic tuning SHALL use a declared participation protocol that produces reproducible proposal vectors for scopes and dimensions. The default ballot method is a two-ballot allocation: each eligible participant allocates 100 points across the seven operational scopes to produce a raw scope proposal, and 100 points across the seven welfare dimensions to produce a raw dimension proposal.</w:t>
      </w:r>
    </w:p>
    <w:p>
      <w:pPr>
        <w:pStyle w:val="BodyText"/>
      </w:pPr>
      <w:r>
        <w:t xml:space="preserve">Normalization rule (Normative). Raw ballot totals SHALL be normalized onto the simplex to produce w^dem and v^dem. Ballots with missing, negative, or over-totaled entries MUST be corrected or excluded under a declared correction rule recorded in the PCC. The PCC MUST record participant eligibility, quorum rule, number of ballots counted, exclusion/correction rule, and the final normalized proposal vectors.</w:t>
      </w:r>
    </w:p>
    <w:p>
      <w:pPr>
        <w:pStyle w:val="BodyText"/>
      </w:pPr>
      <w:r>
        <w:t xml:space="preserve">Minimum procedural safeguards (Normative). Tier 3 HDW runs MUST include: (i) declared eligibility criteria, (ii) quorum threshold, (iii) publication of aggregate results, (iv) challenger opportunity before final locking, and (v) retention of the raw ballot summary sufficient for independent recomputation. If these conditions are not met, the run MUST use a declared interim weight profile and MUST NOT present the democratic proposal as fully satisfied HDW governance.</w:t>
      </w:r>
    </w:p>
    <w:p>
      <w:pPr>
        <w:pStyle w:val="BodyText"/>
      </w:pPr>
      <w:r>
        <w:t xml:space="preserve">Floor lock (Normative). Democratic tuning operates only over allocable mass above constitutional floors. No democratic proposal may reduce any scope or dimension below its Section 13.1 floor. Where a ballot pattern would place a component within 0.02 of its floor, the Section 13.5 supermajority safeguard applies.</w:t>
      </w:r>
    </w:p>
    <w:bookmarkEnd w:id="221"/>
    <w:bookmarkStart w:id="222" w:name="X80cce863fc6d582b5dc3ac8bb2fdc95218c37c9"/>
    <w:p>
      <w:pPr>
        <w:pStyle w:val="Heading2"/>
      </w:pPr>
      <w:r>
        <w:rPr>
          <w:bCs/>
          <w:b/>
        </w:rPr>
        <w:t xml:space="preserve">13.4 Structural Proposal Process (Normative minimum)</w:t>
      </w:r>
    </w:p>
    <w:p>
      <w:pPr>
        <w:pStyle w:val="FirstParagraph"/>
      </w:pPr>
      <w:r>
        <w:t xml:space="preserve">w^str and v^str represent evidence-informed constraints (for example, externality reach, irreversibility, systemic risk). At minimum:</w:t>
      </w:r>
    </w:p>
    <w:p>
      <w:pPr>
        <w:numPr>
          <w:ilvl w:val="0"/>
          <w:numId w:val="1147"/>
        </w:numPr>
        <w:pStyle w:val="Compact"/>
      </w:pPr>
      <w:r>
        <w:t xml:space="preserve">Method: Documented rule for producing w^str, v^str,</w:t>
      </w:r>
    </w:p>
    <w:p>
      <w:pPr>
        <w:numPr>
          <w:ilvl w:val="0"/>
          <w:numId w:val="1148"/>
        </w:numPr>
        <w:pStyle w:val="Compact"/>
      </w:pPr>
      <w:r>
        <w:t xml:space="preserve">Inputs: Declared indicators and sources,</w:t>
      </w:r>
    </w:p>
    <w:p>
      <w:pPr>
        <w:numPr>
          <w:ilvl w:val="0"/>
          <w:numId w:val="1149"/>
        </w:numPr>
        <w:pStyle w:val="Compact"/>
      </w:pPr>
      <w:r>
        <w:t xml:space="preserve">Reproducibility: The same method yields same output given same data.</w:t>
      </w:r>
    </w:p>
    <w:p>
      <w:pPr>
        <w:pStyle w:val="FirstParagraph"/>
      </w:pPr>
      <w:r>
        <w:t xml:space="preserve">If a deployment lacks structural evidence, it may use a declared interim default w^str, v^str at Tier 2, but Tier 3 SHOULD converge to a governed structural method over time.</w:t>
      </w:r>
    </w:p>
    <w:bookmarkEnd w:id="222"/>
    <w:bookmarkStart w:id="223" w:name="Xfa6c4553cbfa048b1910bbfaaeb2c7f16ca31a7"/>
    <w:p>
      <w:pPr>
        <w:pStyle w:val="Heading2"/>
      </w:pPr>
      <w:r>
        <w:rPr>
          <w:bCs/>
          <w:b/>
        </w:rPr>
        <w:t xml:space="preserve">13.5 Anti-Capture Safeguards (Normative for Tier 3)</w:t>
      </w:r>
    </w:p>
    <w:p>
      <w:pPr>
        <w:pStyle w:val="FirstParagraph"/>
      </w:pPr>
      <w:r>
        <w:t xml:space="preserve">Tier 3 weight governance MUST include:</w:t>
      </w:r>
    </w:p>
    <w:p>
      <w:pPr>
        <w:numPr>
          <w:ilvl w:val="0"/>
          <w:numId w:val="1150"/>
        </w:numPr>
        <w:pStyle w:val="Compact"/>
      </w:pPr>
      <w:r>
        <w:t xml:space="preserve">Stratified representation: Delegates must include vulnerable population representation and biosphere stewardship for environment-relevant decisions.</w:t>
      </w:r>
    </w:p>
    <w:p>
      <w:pPr>
        <w:numPr>
          <w:ilvl w:val="0"/>
          <w:numId w:val="1151"/>
        </w:numPr>
        <w:pStyle w:val="Compact"/>
      </w:pPr>
      <w:r>
        <w:t xml:space="preserve">Supermajority lock near floors: Any proposal reducing a weight to within 0.02 of its floor requires ≥2/3 approval.</w:t>
      </w:r>
    </w:p>
    <w:p>
      <w:pPr>
        <w:numPr>
          <w:ilvl w:val="0"/>
          <w:numId w:val="1152"/>
        </w:numPr>
        <w:pStyle w:val="Compact"/>
      </w:pPr>
      <w:r>
        <w:t xml:space="preserve">Transparency ledger: All proposals, votes, rationales published (at least internally).</w:t>
      </w:r>
    </w:p>
    <w:p>
      <w:pPr>
        <w:numPr>
          <w:ilvl w:val="0"/>
          <w:numId w:val="1153"/>
        </w:numPr>
        <w:pStyle w:val="Compact"/>
      </w:pPr>
      <w:r>
        <w:t xml:space="preserve">Red-team testing: Proposed weights tested against reference decision suites to detect systematic bias.</w:t>
      </w:r>
    </w:p>
    <w:p>
      <w:pPr>
        <w:numPr>
          <w:ilvl w:val="0"/>
          <w:numId w:val="1154"/>
        </w:numPr>
        <w:pStyle w:val="Compact"/>
      </w:pPr>
      <w:r>
        <w:t xml:space="preserve">Conflict-of-interest disclosure: Material conflicts require recusal; recusals recorded.</w:t>
      </w:r>
    </w:p>
    <w:bookmarkEnd w:id="223"/>
    <w:bookmarkStart w:id="224" w:name="X742a71009e95b44ddcd1c26adff2d195c22e9fc"/>
    <w:p>
      <w:pPr>
        <w:pStyle w:val="Heading2"/>
      </w:pPr>
      <w:r>
        <w:rPr>
          <w:bCs/>
          <w:b/>
        </w:rPr>
        <w:t xml:space="preserve">13.6 Weight Use by Tier (Normative)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Tier</w:t>
            </w:r>
          </w:p>
        </w:tc>
        <w:tc>
          <w:tcPr>
            <w:shd w:val="clear" w:color="auto" w:fill="D9EAF7"/>
            <w:vAlign w:val="center"/>
          </w:tcPr>
          <w:p>
            <w:pPr>
              <w:pStyle w:val="Compact"/>
              <w:jc w:val="left"/>
            </w:pPr>
            <w:r>
              <w:rPr>
                <w:bCs/>
                <w:b/>
                <w:color w:val="17365D"/>
              </w:rPr>
              <w:t xml:space="preserve">Weight Policy</w:t>
            </w:r>
          </w:p>
        </w:tc>
      </w:tr>
      <w:tr>
        <w:tc>
          <w:tcPr>
            <w:vAlign w:val="top"/>
          </w:tcPr>
          <w:p>
            <w:pPr>
              <w:pStyle w:val="Compact"/>
              <w:jc w:val="left"/>
            </w:pPr>
            <w:r>
              <w:t xml:space="preserve">Tier 1</w:t>
            </w:r>
          </w:p>
        </w:tc>
        <w:tc>
          <w:tcPr>
            <w:vAlign w:val="top"/>
          </w:tcPr>
          <w:p>
            <w:pPr>
              <w:pStyle w:val="Compact"/>
              <w:jc w:val="left"/>
            </w:pPr>
            <w:r>
              <w:t xml:space="preserve">Floor-preserving uniform residual allocation allowed (documented); raw 1/7 union weights are prohibited where constitutional floors apply.</w:t>
            </w:r>
          </w:p>
        </w:tc>
      </w:tr>
      <w:tr>
        <w:tc>
          <w:tcPr>
            <w:shd w:val="clear" w:color="auto" w:fill="F7FBFE"/>
            <w:vAlign w:val="top"/>
          </w:tcPr>
          <w:p>
            <w:pPr>
              <w:pStyle w:val="Compact"/>
              <w:jc w:val="left"/>
            </w:pPr>
            <w:r>
              <w:t xml:space="preserve">Tier 2</w:t>
            </w:r>
          </w:p>
        </w:tc>
        <w:tc>
          <w:tcPr>
            <w:shd w:val="clear" w:color="auto" w:fill="F7FBFE"/>
            <w:vAlign w:val="top"/>
          </w:tcPr>
          <w:p>
            <w:pPr>
              <w:pStyle w:val="Compact"/>
              <w:jc w:val="left"/>
            </w:pPr>
            <w:r>
              <w:t xml:space="preserve">Floor-preserving uniform residual allocation allowed; HDW recommended; weights must be declared in PCC.</w:t>
            </w:r>
          </w:p>
        </w:tc>
      </w:tr>
      <w:tr>
        <w:tc>
          <w:tcPr>
            <w:vAlign w:val="top"/>
          </w:tcPr>
          <w:p>
            <w:pPr>
              <w:pStyle w:val="Compact"/>
              <w:jc w:val="left"/>
            </w:pPr>
            <w:r>
              <w:t xml:space="preserve">Tier 3</w:t>
            </w:r>
          </w:p>
        </w:tc>
        <w:tc>
          <w:tcPr>
            <w:vAlign w:val="top"/>
          </w:tcPr>
          <w:p>
            <w:pPr>
              <w:pStyle w:val="Compact"/>
              <w:jc w:val="left"/>
            </w:pPr>
            <w:r>
              <w:t xml:space="preserve">HDW recommended; if not available, explicit interim weights allowed with justification and sensitivity analysis. Floors remain binding regardless.</w:t>
            </w:r>
          </w:p>
        </w:tc>
      </w:tr>
    </w:tbl>
    <w:bookmarkEnd w:id="224"/>
    <w:bookmarkEnd w:id="225"/>
    <w:bookmarkStart w:id="242" w:name="X65e75abfb07d76eefbd4db3a7eb1417001c1ef0"/>
    <w:p>
      <w:pPr>
        <w:pStyle w:val="Heading1"/>
      </w:pPr>
      <w:bookmarkStart w:id="779" w:name="mg_toc_015"/>
      <w:r>
        <w:rPr>
          <w:bCs/>
          <w:b/>
        </w:rPr>
        <w:t xml:space="preserve">SECTION 14: AUDITABILITY AND DETERMINISM: PCC AND AIL (TIER 1-3; TIER 4 TARGET)</w:t>
      </w:r>
      <w:bookmarkEnd w:id="779"/>
    </w:p>
    <w:bookmarkStart w:id="226" w:name="X3c5a375bf3aa551528459629f792d9f8f02b7a2"/>
    <w:p>
      <w:pPr>
        <w:pStyle w:val="Heading2"/>
      </w:pPr>
      <w:r>
        <w:rPr>
          <w:bCs/>
          <w:b/>
        </w:rPr>
        <w:t xml:space="preserve">14.0 Purpose (Normative)</w:t>
      </w:r>
    </w:p>
    <w:p>
      <w:pPr>
        <w:pStyle w:val="FirstParagraph"/>
      </w:pPr>
      <w:r>
        <w:t xml:space="preserve">Without auditability, ethics frameworks become theater or are gamed. RippleLogic therefore requires a structured decision artifact (PCC) and integrity rules (AIL) to make decisions reconstructable, challengeable, and corrigible via NCAR.</w:t>
      </w:r>
    </w:p>
    <w:p>
      <w:pPr>
        <w:pStyle w:val="BodyText"/>
      </w:pPr>
      <w:r>
        <w:t xml:space="preserve">Tier boundary: Tier 1-3 auditability is fully specified here. Tier 4 determinism and hash-bound replayability are explicitly a design target only (Appendix I) and MUST NOT be claimed in the current v12.6 release.</w:t>
      </w:r>
    </w:p>
    <w:bookmarkEnd w:id="226"/>
    <w:bookmarkStart w:id="227" w:name="X2ba6eb724dcb29e490039fef1209f139bccf4e1"/>
    <w:p>
      <w:pPr>
        <w:pStyle w:val="Heading2"/>
      </w:pPr>
      <w:r>
        <w:rPr>
          <w:bCs/>
          <w:b/>
        </w:rPr>
        <w:t xml:space="preserve">14.1 Artifact Integrity Law (AIL) Principles (Normative for Tier 2-3)</w:t>
      </w:r>
    </w:p>
    <w:p>
      <w:pPr>
        <w:pStyle w:val="FirstParagraph"/>
      </w:pPr>
      <w:r>
        <w:t xml:space="preserve">AIL is a set of integrity constraints governing how decisions are recorded and compared.</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Principle</w:t>
            </w:r>
          </w:p>
        </w:tc>
        <w:tc>
          <w:tcPr>
            <w:shd w:val="clear" w:color="auto" w:fill="D9EAF7"/>
            <w:vAlign w:val="center"/>
          </w:tcPr>
          <w:p>
            <w:pPr>
              <w:pStyle w:val="Compact"/>
              <w:jc w:val="left"/>
            </w:pPr>
            <w:r>
              <w:rPr>
                <w:bCs/>
                <w:b/>
                <w:color w:val="17365D"/>
              </w:rPr>
              <w:t xml:space="preserve">Description</w:t>
            </w:r>
          </w:p>
        </w:tc>
      </w:tr>
      <w:tr>
        <w:tc>
          <w:tcPr>
            <w:vAlign w:val="top"/>
          </w:tcPr>
          <w:p>
            <w:pPr>
              <w:pStyle w:val="Compact"/>
              <w:jc w:val="left"/>
            </w:pPr>
            <w:r>
              <w:t xml:space="preserve">AIL1 (Registry Binding / Source Traceability)</w:t>
            </w:r>
          </w:p>
        </w:tc>
        <w:tc>
          <w:tcPr>
            <w:vAlign w:val="top"/>
          </w:tcPr>
          <w:p>
            <w:pPr>
              <w:pStyle w:val="Compact"/>
              <w:jc w:val="left"/>
            </w:pPr>
            <w:r>
              <w:t xml:space="preserve">Every Tier 2-3 PCC MUST list the normative parameters used. If hashes/registries are used, they must be referenced; if not, values must be embedded explicitly.</w:t>
            </w:r>
          </w:p>
        </w:tc>
      </w:tr>
      <w:tr>
        <w:tc>
          <w:tcPr>
            <w:shd w:val="clear" w:color="auto" w:fill="F7FBFE"/>
            <w:vAlign w:val="top"/>
          </w:tcPr>
          <w:p>
            <w:pPr>
              <w:pStyle w:val="Compact"/>
              <w:jc w:val="left"/>
            </w:pPr>
            <w:r>
              <w:t xml:space="preserve">AIL2 (Immutability)</w:t>
            </w:r>
          </w:p>
        </w:tc>
        <w:tc>
          <w:tcPr>
            <w:shd w:val="clear" w:color="auto" w:fill="F7FBFE"/>
            <w:vAlign w:val="top"/>
          </w:tcPr>
          <w:p>
            <w:pPr>
              <w:pStyle w:val="Compact"/>
              <w:jc w:val="left"/>
            </w:pPr>
            <w:r>
              <w:t xml:space="preserve">A PCC is immutable after signing. Any correction produces a new PCC revision that references the prior PCC and explains the change.</w:t>
            </w:r>
          </w:p>
        </w:tc>
      </w:tr>
      <w:tr>
        <w:tc>
          <w:tcPr>
            <w:vAlign w:val="top"/>
          </w:tcPr>
          <w:p>
            <w:pPr>
              <w:pStyle w:val="Compact"/>
              <w:jc w:val="left"/>
            </w:pPr>
            <w:r>
              <w:t xml:space="preserve">AIL3 (Comparability)</w:t>
            </w:r>
          </w:p>
        </w:tc>
        <w:tc>
          <w:tcPr>
            <w:vAlign w:val="top"/>
          </w:tcPr>
          <w:p>
            <w:pPr>
              <w:pStyle w:val="Compact"/>
              <w:jc w:val="left"/>
            </w:pPr>
            <w:r>
              <w:t xml:space="preserve">Options compared in one run MUST be evaluated under identical configuration.</w:t>
            </w:r>
          </w:p>
        </w:tc>
      </w:tr>
      <w:tr>
        <w:tc>
          <w:tcPr>
            <w:shd w:val="clear" w:color="auto" w:fill="F7FBFE"/>
            <w:vAlign w:val="top"/>
          </w:tcPr>
          <w:p>
            <w:pPr>
              <w:pStyle w:val="Compact"/>
              <w:jc w:val="left"/>
            </w:pPr>
            <w:r>
              <w:t xml:space="preserve">AIL4 (No Silent Overrides)</w:t>
            </w:r>
          </w:p>
        </w:tc>
        <w:tc>
          <w:tcPr>
            <w:shd w:val="clear" w:color="auto" w:fill="F7FBFE"/>
            <w:vAlign w:val="top"/>
          </w:tcPr>
          <w:p>
            <w:pPr>
              <w:pStyle w:val="Compact"/>
              <w:jc w:val="left"/>
            </w:pPr>
            <w:r>
              <w:t xml:space="preserve">Any override must be explicit in the PCC (what changed, why, who approved).</w:t>
            </w:r>
          </w:p>
        </w:tc>
      </w:tr>
      <w:tr>
        <w:tc>
          <w:tcPr>
            <w:vAlign w:val="top"/>
          </w:tcPr>
          <w:p>
            <w:pPr>
              <w:pStyle w:val="Compact"/>
              <w:jc w:val="left"/>
            </w:pPr>
            <w:r>
              <w:t xml:space="preserve">AIL5 (Auditability Sufficiency)</w:t>
            </w:r>
          </w:p>
        </w:tc>
        <w:tc>
          <w:tcPr>
            <w:vAlign w:val="top"/>
          </w:tcPr>
          <w:p>
            <w:pPr>
              <w:pStyle w:val="Compact"/>
              <w:jc w:val="left"/>
            </w:pPr>
            <w:r>
              <w:t xml:space="preserve">A Tier 3 PCC MUST contain enough information for an independent reviewer to recompute NCRC, TRC, CSV, and RLS for that run.</w:t>
            </w:r>
          </w:p>
        </w:tc>
      </w:tr>
    </w:tbl>
    <w:bookmarkEnd w:id="227"/>
    <w:bookmarkStart w:id="228" w:name="Xd42a29338290ce14f369b922f2129097db2971f"/>
    <w:p>
      <w:pPr>
        <w:pStyle w:val="Heading2"/>
      </w:pPr>
      <w:r>
        <w:rPr>
          <w:bCs/>
          <w:b/>
        </w:rPr>
        <w:t xml:space="preserve">14.2 PCC Requirements by Tier (Normative)</w:t>
      </w:r>
    </w:p>
    <w:p>
      <w:pPr>
        <w:pStyle w:val="FirstParagraph"/>
      </w:pPr>
      <w:r>
        <w:t xml:space="preserve">PCC.EKRegistry (CONDITIONAL; REQUIRED when any non-default e_k is used, or when a Tier 2 named-instrument exception is invoked). For each instrument record: InstrumentID; Purpose; Source/Authority; AllowedRange; TierPermitted; ReasonCodeSet; DefaultCounterfactualRequired [TRUE/FALSE].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Tier</w:t>
            </w:r>
          </w:p>
        </w:tc>
        <w:tc>
          <w:tcPr>
            <w:shd w:val="clear" w:color="auto" w:fill="D9EAF7"/>
            <w:vAlign w:val="center"/>
          </w:tcPr>
          <w:p>
            <w:pPr>
              <w:pStyle w:val="Compact"/>
              <w:jc w:val="left"/>
            </w:pPr>
            <w:r>
              <w:rPr>
                <w:bCs/>
                <w:b/>
                <w:color w:val="17365D"/>
              </w:rPr>
              <w:t xml:space="preserve">PCC Requirement</w:t>
            </w:r>
          </w:p>
        </w:tc>
      </w:tr>
      <w:tr>
        <w:tc>
          <w:tcPr>
            <w:vAlign w:val="top"/>
          </w:tcPr>
          <w:p>
            <w:pPr>
              <w:pStyle w:val="Compact"/>
              <w:jc w:val="left"/>
            </w:pPr>
            <w:r>
              <w:t xml:space="preserve">Tier 1</w:t>
            </w:r>
          </w:p>
        </w:tc>
        <w:tc>
          <w:tcPr>
            <w:vAlign w:val="top"/>
          </w:tcPr>
          <w:p>
            <w:pPr>
              <w:pStyle w:val="Compact"/>
              <w:jc w:val="left"/>
            </w:pPr>
            <w:r>
              <w:t xml:space="preserve">Optional but recommended for learning</w:t>
            </w:r>
          </w:p>
        </w:tc>
      </w:tr>
      <w:tr>
        <w:tc>
          <w:tcPr>
            <w:shd w:val="clear" w:color="auto" w:fill="F7FBFE"/>
            <w:vAlign w:val="top"/>
          </w:tcPr>
          <w:p>
            <w:pPr>
              <w:pStyle w:val="Compact"/>
              <w:jc w:val="left"/>
            </w:pPr>
            <w:r>
              <w:t xml:space="preserve">Tier 2</w:t>
            </w:r>
          </w:p>
        </w:tc>
        <w:tc>
          <w:tcPr>
            <w:shd w:val="clear" w:color="auto" w:fill="F7FBFE"/>
            <w:vAlign w:val="top"/>
          </w:tcPr>
          <w:p>
            <w:pPr>
              <w:pStyle w:val="Compact"/>
              <w:jc w:val="left"/>
            </w:pPr>
            <w:r>
              <w:t xml:space="preserve">REQUIRED (basic) including Scope Coverage Declaration and Stakeholder Coverage Index (SCI ≥ 1). A full Stakeholder Discovery Protocol (SDP) record is REQUIRED when any SDP trigger holds (Section 2.2A); otherwise the PCC MUST include either a lightweight stakeholder note stating that no trigger held and why, or an SDP record voluntarily. InstanceMap is REQUIRED when any SDP trigger holds (Section 2.2A).</w:t>
            </w:r>
          </w:p>
        </w:tc>
      </w:tr>
      <w:tr>
        <w:tc>
          <w:tcPr>
            <w:vAlign w:val="top"/>
          </w:tcPr>
          <w:p>
            <w:pPr>
              <w:pStyle w:val="Compact"/>
              <w:jc w:val="left"/>
            </w:pPr>
            <w:r>
              <w:t xml:space="preserve">Tier 3</w:t>
            </w:r>
          </w:p>
        </w:tc>
        <w:tc>
          <w:tcPr>
            <w:vAlign w:val="top"/>
          </w:tcPr>
          <w:p>
            <w:pPr>
              <w:pStyle w:val="Compact"/>
              <w:jc w:val="left"/>
            </w:pPr>
            <w:r>
              <w:t xml:space="preserve">REQUIRED (full) including subgroup rights checks, TRC scenario table, containment results, sensitivity analysis bundle, Scope Coverage Declaration, Stakeholder Coverage Index (SCI ≥ 2), and full InstanceMap with multi-scope redundancy handling disclosures.</w:t>
            </w:r>
          </w:p>
        </w:tc>
      </w:tr>
    </w:tbl>
    <w:bookmarkEnd w:id="228"/>
    <w:bookmarkStart w:id="229" w:name="X4b3acfa890e9e42a10284885302af17332979a2"/>
    <w:p>
      <w:pPr>
        <w:pStyle w:val="Heading2"/>
      </w:pPr>
      <w:r>
        <w:rPr>
          <w:bCs/>
          <w:b/>
        </w:rPr>
        <w:t xml:space="preserve">14.3 Audit Flags (Normative)</w:t>
      </w:r>
    </w:p>
    <w:p>
      <w:pPr>
        <w:pStyle w:val="FirstParagraph"/>
      </w:pPr>
      <w:r>
        <w:t xml:space="preserve">Audit flags are standardized labels for integrity failures or risk warnings. Flags MUST be recorded in PCC when triggered. If any INVALID flag triggers, the PCC is invalid and the decision run MUST be recomputed after correction.</w:t>
      </w:r>
    </w:p>
    <w:p>
      <w:pPr>
        <w:pStyle w:val="BodyText"/>
      </w:pPr>
      <w:r>
        <w:t xml:space="preserve">Definitions for this section:</w:t>
      </w:r>
    </w:p>
    <w:p>
      <w:pPr>
        <w:numPr>
          <w:ilvl w:val="0"/>
          <w:numId w:val="1155"/>
        </w:numPr>
        <w:pStyle w:val="Compact"/>
      </w:pPr>
      <w:r>
        <w:t xml:space="preserve">Mode A (Containment as binding gate): Containment / CSV evaluation determines which options are selectable; options failing CSV MUST NOT be selected. See Section 9 and Appendix B.11.</w:t>
      </w:r>
    </w:p>
    <w:p>
      <w:pPr>
        <w:numPr>
          <w:ilvl w:val="0"/>
          <w:numId w:val="1156"/>
        </w:numPr>
        <w:pStyle w:val="Compact"/>
      </w:pPr>
      <w:r>
        <w:t xml:space="preserve">Mode B (diagnostic-only legacy posture): a structural diagnostic is computed for information but does not affect selection. Mode B is PROHIBITED for any ordinary ranking or selection claim. Current selection-relevant structural evidence belongs inside CSV under Section 9; residual non-gate-critical use is limited by Sections 10.4 and 11.</w:t>
      </w:r>
    </w:p>
    <w:p>
      <w:pPr>
        <w:numPr>
          <w:ilvl w:val="0"/>
          <w:numId w:val="1157"/>
        </w:numPr>
        <w:pStyle w:val="Compact"/>
      </w:pPr>
      <w:r>
        <w:t xml:space="preserve">KQS (Kernel Quality Score): Summary score indicating kernel readiness for propagation. See Section 6.5.</w:t>
      </w:r>
    </w:p>
    <w:p>
      <w:pPr>
        <w:numPr>
          <w:ilvl w:val="0"/>
          <w:numId w:val="1158"/>
        </w:numPr>
        <w:pStyle w:val="Compact"/>
      </w:pPr>
      <w:r>
        <w:t xml:space="preserve">Kernel perturbation test: Systematic edge perturbation of ±0.05 (or ±10% of magnitude, whichever is larger) applied one-at-a-time to relied-upon non-zero kernel edges. See Section 6.6.</w:t>
      </w:r>
    </w:p>
    <w:p>
      <w:pPr>
        <w:pStyle w:val="FirstParagraph"/>
      </w:pPr>
      <w:r>
        <w:t xml:space="preserve">Canonical Audit Flags - Current v12.6 Specification</w:t>
      </w:r>
    </w:p>
    <w:bookmarkEnd w:id="229"/>
    <w:bookmarkStart w:id="231" w:name="Xf768cb0f498c8d8267f5842f2d85e05f6b7e5f4"/>
    <w:p>
      <w:pPr>
        <w:pStyle w:val="Heading2"/>
      </w:pPr>
      <w:r>
        <w:rPr>
          <w:bCs/>
          <w:b/>
        </w:rPr>
        <w:t xml:space="preserve">14.3A Canonical Audit Flag Registry v12.6 (Normative)</w:t>
      </w:r>
    </w:p>
    <w:p>
      <w:pPr>
        <w:pStyle w:val="FirstParagraph"/>
      </w:pPr>
      <w:r>
        <w:t xml:space="preserve">Section 14.3A and</w:t>
      </w:r>
      <w:r>
        <w:t xml:space="preserve"> </w:t>
      </w:r>
      <w:r>
        <w:rPr>
          <w:rStyle w:val="VerbatimChar"/>
        </w:rPr>
        <w:t xml:space="preserve">docs/implementation/CANONICAL_AUDIT_FLAG_REGISTRY_v1.0.yaml</w:t>
      </w:r>
      <w:r>
        <w:t xml:space="preserve"> </w:t>
      </w:r>
      <w:r>
        <w:t xml:space="preserve">are one controlling audit-flag registry expressed in human-readable and machine-readable form. The YAML controls token enumeration, owner, severity vocabulary, and source location; this section controls normative meaning and required action. A controlling token introduced anywhere in the Canon or an active companion MUST be added to the YAML and projected here or be explicitly labeled local/informative and non-controlling. The release verifier MUST fail when a normatively controlling token is absent from the machine registry or when the two surfaces assign incompatible ownership or severity.</w:t>
      </w:r>
    </w:p>
    <w:bookmarkStart w:id="230" w:name="Xc79a5100901120ee945f4fc0db606548ee6d70f"/>
    <w:p>
      <w:pPr>
        <w:pStyle w:val="Heading3"/>
      </w:pPr>
      <w:r>
        <w:rPr>
          <w:bCs/>
          <w:b/>
        </w:rPr>
        <w:t xml:space="preserve">14.3A.1 Supplemental current-line ownership registry (Normative)</w:t>
      </w:r>
    </w:p>
    <w:p>
      <w:pPr>
        <w:pStyle w:val="FirstParagraph"/>
      </w:pPr>
      <w:r>
        <w:t xml:space="preserve">Ownership rule. Canon tokens govern framework conformance. Agent-runtime tokens are implementation events mapped to Canon states; they do not create new gates or modify Canon precedence.</w:t>
      </w:r>
      <w:r>
        <w:t xml:space="preserve"> </w:t>
      </w:r>
      <w:r>
        <w:rPr>
          <w:rStyle w:val="VerbatimChar"/>
        </w:rPr>
        <w:t xml:space="preserve">RUNTIME_BLOCK</w:t>
      </w:r>
      <w:r>
        <w:t xml:space="preserve"> </w:t>
      </w:r>
      <w:r>
        <w:t xml:space="preserve">and</w:t>
      </w:r>
      <w:r>
        <w:t xml:space="preserve"> </w:t>
      </w:r>
      <w:r>
        <w:rPr>
          <w:rStyle w:val="VerbatimChar"/>
        </w:rPr>
        <w:t xml:space="preserve">RUNTIME_INVALID</w:t>
      </w:r>
      <w:r>
        <w:t xml:space="preserve"> </w:t>
      </w:r>
      <w:r>
        <w:t xml:space="preserve">are runtime-action severities owned by the Agent System; they map respectively to execution blocking/escalation and invalid runtime-state claims. They do not extend the Canon PCC severity vocabulary</w:t>
      </w:r>
      <w:r>
        <w:t xml:space="preserve"> </w:t>
      </w:r>
      <w:r>
        <w:rPr>
          <w:rStyle w:val="VerbatimChar"/>
        </w:rPr>
        <w:t xml:space="preserve">{INVALID, ESCALATE, REVIEW, DISCLOSE}</w:t>
      </w:r>
      <w:r>
        <w:t xml:space="preserv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584"/>
        <w:gridCol w:w="1584"/>
        <w:gridCol w:w="1584"/>
        <w:gridCol w:w="1584"/>
        <w:gridCol w:w="1584"/>
      </w:tblGrid>
      <w:tr>
        <w:trPr>
          <w:tblHeader w:val="true"/>
        </w:trPr>
        <w:tc>
          <w:tcPr>
            <w:shd w:val="clear" w:color="auto" w:fill="D9EAF7"/>
            <w:vAlign w:val="center"/>
          </w:tcPr>
          <w:p>
            <w:pPr>
              <w:pStyle w:val="Compact"/>
              <w:jc w:val="left"/>
            </w:pPr>
            <w:r>
              <w:rPr>
                <w:bCs/>
                <w:b/>
                <w:color w:val="17365D"/>
              </w:rPr>
              <w:t xml:space="preserve">Token</w:t>
            </w:r>
          </w:p>
        </w:tc>
        <w:tc>
          <w:tcPr>
            <w:shd w:val="clear" w:color="auto" w:fill="D9EAF7"/>
            <w:vAlign w:val="center"/>
          </w:tcPr>
          <w:p>
            <w:pPr>
              <w:pStyle w:val="Compact"/>
              <w:jc w:val="left"/>
            </w:pPr>
            <w:r>
              <w:rPr>
                <w:bCs/>
                <w:b/>
                <w:color w:val="17365D"/>
              </w:rPr>
              <w:t xml:space="preserve">Trigger</w:t>
            </w:r>
          </w:p>
        </w:tc>
        <w:tc>
          <w:tcPr>
            <w:shd w:val="clear" w:color="auto" w:fill="D9EAF7"/>
            <w:vAlign w:val="center"/>
          </w:tcPr>
          <w:p>
            <w:pPr>
              <w:pStyle w:val="Compact"/>
              <w:jc w:val="left"/>
            </w:pPr>
            <w:r>
              <w:rPr>
                <w:bCs/>
                <w:b/>
                <w:color w:val="17365D"/>
              </w:rPr>
              <w:t xml:space="preserve">Required action</w:t>
            </w:r>
          </w:p>
        </w:tc>
        <w:tc>
          <w:tcPr>
            <w:shd w:val="clear" w:color="auto" w:fill="D9EAF7"/>
            <w:vAlign w:val="center"/>
          </w:tcPr>
          <w:p>
            <w:pPr>
              <w:pStyle w:val="Compact"/>
              <w:jc w:val="left"/>
            </w:pPr>
            <w:r>
              <w:rPr>
                <w:bCs/>
                <w:b/>
                <w:color w:val="17365D"/>
              </w:rPr>
              <w:t xml:space="preserve">Severity</w:t>
            </w:r>
          </w:p>
        </w:tc>
        <w:tc>
          <w:tcPr>
            <w:shd w:val="clear" w:color="auto" w:fill="D9EAF7"/>
            <w:vAlign w:val="center"/>
          </w:tcPr>
          <w:p>
            <w:pPr>
              <w:pStyle w:val="Compact"/>
              <w:jc w:val="left"/>
            </w:pPr>
            <w:r>
              <w:rPr>
                <w:bCs/>
                <w:b/>
                <w:color w:val="17365D"/>
              </w:rPr>
              <w:t xml:space="preserve">Owner</w:t>
            </w:r>
          </w:p>
        </w:tc>
      </w:tr>
      <w:tr>
        <w:tc>
          <w:tcPr>
            <w:vAlign w:val="top"/>
          </w:tcPr>
          <w:p>
            <w:pPr>
              <w:pStyle w:val="Compact"/>
              <w:jc w:val="left"/>
            </w:pPr>
            <w:r>
              <w:t xml:space="preserve">DECISIVENESS_OVERRIDE_INVALID</w:t>
            </w:r>
          </w:p>
        </w:tc>
        <w:tc>
          <w:tcPr>
            <w:vAlign w:val="top"/>
          </w:tcPr>
          <w:p>
            <w:pPr>
              <w:pStyle w:val="Compact"/>
              <w:jc w:val="left"/>
            </w:pPr>
            <w:r>
              <w:t xml:space="preserve">A non-decisive result is overridden without the required lawful authority and separate AuthoritySelectionRecord.</w:t>
            </w:r>
          </w:p>
        </w:tc>
        <w:tc>
          <w:tcPr>
            <w:vAlign w:val="top"/>
          </w:tcPr>
          <w:p>
            <w:pPr>
              <w:pStyle w:val="Compact"/>
              <w:jc w:val="left"/>
            </w:pPr>
            <w:r>
              <w:t xml:space="preserve">Invalidate the deterministic-selection claim; restore REFUSE_DETERMINISTIC_SELECTION and record any lawful authority selection separately.</w:t>
            </w:r>
          </w:p>
        </w:tc>
        <w:tc>
          <w:tcPr>
            <w:vAlign w:val="top"/>
          </w:tcPr>
          <w:p>
            <w:pPr>
              <w:pStyle w:val="Compact"/>
              <w:jc w:val="left"/>
            </w:pPr>
            <w:r>
              <w:t xml:space="preserve">INVALID</w:t>
            </w:r>
          </w:p>
        </w:tc>
        <w:tc>
          <w:tcPr>
            <w:vAlign w:val="top"/>
          </w:tcPr>
          <w:p>
            <w:pPr>
              <w:pStyle w:val="Compact"/>
              <w:jc w:val="left"/>
            </w:pPr>
            <w:r>
              <w:t xml:space="preserve">Canon</w:t>
            </w:r>
          </w:p>
        </w:tc>
      </w:tr>
      <w:tr>
        <w:tc>
          <w:tcPr>
            <w:shd w:val="clear" w:color="auto" w:fill="F7FBFE"/>
            <w:vAlign w:val="top"/>
          </w:tcPr>
          <w:p>
            <w:pPr>
              <w:pStyle w:val="Compact"/>
              <w:jc w:val="left"/>
            </w:pPr>
            <w:r>
              <w:t xml:space="preserve">FALSIFICATION_LAYER_UNATTRIBUTED</w:t>
            </w:r>
          </w:p>
        </w:tc>
        <w:tc>
          <w:tcPr>
            <w:shd w:val="clear" w:color="auto" w:fill="F7FBFE"/>
            <w:vAlign w:val="top"/>
          </w:tcPr>
          <w:p>
            <w:pPr>
              <w:pStyle w:val="Compact"/>
              <w:jc w:val="left"/>
            </w:pPr>
            <w:r>
              <w:t xml:space="preserve">A falsification, revision, or failure claim is not assigned to the affected dependency layer.</w:t>
            </w:r>
          </w:p>
        </w:tc>
        <w:tc>
          <w:tcPr>
            <w:shd w:val="clear" w:color="auto" w:fill="F7FBFE"/>
            <w:vAlign w:val="top"/>
          </w:tcPr>
          <w:p>
            <w:pPr>
              <w:pStyle w:val="Compact"/>
              <w:jc w:val="left"/>
            </w:pPr>
            <w:r>
              <w:t xml:space="preserve">Attribute the failure layer and reopen all materially dependent surfaces.</w:t>
            </w:r>
          </w:p>
        </w:tc>
        <w:tc>
          <w:tcPr>
            <w:shd w:val="clear" w:color="auto" w:fill="F7FBFE"/>
            <w:vAlign w:val="top"/>
          </w:tcPr>
          <w:p>
            <w:pPr>
              <w:pStyle w:val="Compact"/>
              <w:jc w:val="left"/>
            </w:pPr>
            <w:r>
              <w:t xml:space="preserve">ESCALATE</w:t>
            </w:r>
          </w:p>
        </w:tc>
        <w:tc>
          <w:tcPr>
            <w:shd w:val="clear" w:color="auto" w:fill="F7FBFE"/>
            <w:vAlign w:val="top"/>
          </w:tcPr>
          <w:p>
            <w:pPr>
              <w:pStyle w:val="Compact"/>
              <w:jc w:val="left"/>
            </w:pPr>
            <w:r>
              <w:t xml:space="preserve">Canon</w:t>
            </w:r>
          </w:p>
        </w:tc>
      </w:tr>
      <w:tr>
        <w:tc>
          <w:tcPr>
            <w:vAlign w:val="top"/>
          </w:tcPr>
          <w:p>
            <w:pPr>
              <w:pStyle w:val="Compact"/>
              <w:jc w:val="left"/>
            </w:pPr>
            <w:r>
              <w:t xml:space="preserve">FALSIFICATION_LAYER_SKIPPED</w:t>
            </w:r>
          </w:p>
        </w:tc>
        <w:tc>
          <w:tcPr>
            <w:vAlign w:val="top"/>
          </w:tcPr>
          <w:p>
            <w:pPr>
              <w:pStyle w:val="Compact"/>
              <w:jc w:val="left"/>
            </w:pPr>
            <w:r>
              <w:t xml:space="preserve">A materially affected downstream layer is not reopened after an upstream failure.</w:t>
            </w:r>
          </w:p>
        </w:tc>
        <w:tc>
          <w:tcPr>
            <w:vAlign w:val="top"/>
          </w:tcPr>
          <w:p>
            <w:pPr>
              <w:pStyle w:val="Compact"/>
              <w:jc w:val="left"/>
            </w:pPr>
            <w:r>
              <w:t xml:space="preserve">Reopen and rerun the skipped layer or narrow/withdraw the dependent claim.</w:t>
            </w:r>
          </w:p>
        </w:tc>
        <w:tc>
          <w:tcPr>
            <w:vAlign w:val="top"/>
          </w:tcPr>
          <w:p>
            <w:pPr>
              <w:pStyle w:val="Compact"/>
              <w:jc w:val="left"/>
            </w:pPr>
            <w:r>
              <w:t xml:space="preserve">INVALID if claim-bearing</w:t>
            </w:r>
          </w:p>
        </w:tc>
        <w:tc>
          <w:tcPr>
            <w:vAlign w:val="top"/>
          </w:tcPr>
          <w:p>
            <w:pPr>
              <w:pStyle w:val="Compact"/>
              <w:jc w:val="left"/>
            </w:pPr>
            <w:r>
              <w:t xml:space="preserve">Canon</w:t>
            </w:r>
          </w:p>
        </w:tc>
      </w:tr>
      <w:tr>
        <w:tc>
          <w:tcPr>
            <w:shd w:val="clear" w:color="auto" w:fill="F7FBFE"/>
            <w:vAlign w:val="top"/>
          </w:tcPr>
          <w:p>
            <w:pPr>
              <w:pStyle w:val="Compact"/>
              <w:jc w:val="left"/>
            </w:pPr>
            <w:r>
              <w:t xml:space="preserve">POST_HOC_PROJECTION_INVALID</w:t>
            </w:r>
          </w:p>
        </w:tc>
        <w:tc>
          <w:tcPr>
            <w:shd w:val="clear" w:color="auto" w:fill="F7FBFE"/>
            <w:vAlign w:val="top"/>
          </w:tcPr>
          <w:p>
            <w:pPr>
              <w:pStyle w:val="Compact"/>
              <w:jc w:val="left"/>
            </w:pPr>
            <w:r>
              <w:t xml:space="preserve">Projection, mapping, threshold, or evaluation rule is changed after results without a versioned revision branch.</w:t>
            </w:r>
          </w:p>
        </w:tc>
        <w:tc>
          <w:tcPr>
            <w:shd w:val="clear" w:color="auto" w:fill="F7FBFE"/>
            <w:vAlign w:val="top"/>
          </w:tcPr>
          <w:p>
            <w:pPr>
              <w:pStyle w:val="Compact"/>
              <w:jc w:val="left"/>
            </w:pPr>
            <w:r>
              <w:t xml:space="preserve">Invalidate the affected comparison and rerun from the frozen evaluation boundary.</w:t>
            </w:r>
          </w:p>
        </w:tc>
        <w:tc>
          <w:tcPr>
            <w:shd w:val="clear" w:color="auto" w:fill="F7FBFE"/>
            <w:vAlign w:val="top"/>
          </w:tcPr>
          <w:p>
            <w:pPr>
              <w:pStyle w:val="Compact"/>
              <w:jc w:val="left"/>
            </w:pPr>
            <w:r>
              <w:t xml:space="preserve">INVALID</w:t>
            </w:r>
          </w:p>
        </w:tc>
        <w:tc>
          <w:tcPr>
            <w:shd w:val="clear" w:color="auto" w:fill="F7FBFE"/>
            <w:vAlign w:val="top"/>
          </w:tcPr>
          <w:p>
            <w:pPr>
              <w:pStyle w:val="Compact"/>
              <w:jc w:val="left"/>
            </w:pPr>
            <w:r>
              <w:t xml:space="preserve">Canon</w:t>
            </w:r>
          </w:p>
        </w:tc>
      </w:tr>
      <w:tr>
        <w:tc>
          <w:tcPr>
            <w:vAlign w:val="top"/>
          </w:tcPr>
          <w:p>
            <w:pPr>
              <w:pStyle w:val="Compact"/>
              <w:jc w:val="left"/>
            </w:pPr>
            <w:r>
              <w:t xml:space="preserve">NON_UNIQUE_PREDICTION</w:t>
            </w:r>
          </w:p>
        </w:tc>
        <w:tc>
          <w:tcPr>
            <w:vAlign w:val="top"/>
          </w:tcPr>
          <w:p>
            <w:pPr>
              <w:pStyle w:val="Compact"/>
              <w:jc w:val="left"/>
            </w:pPr>
            <w:r>
              <w:t xml:space="preserve">A claimed necessary prediction is not unique under the declared premises or alternatives.</w:t>
            </w:r>
          </w:p>
        </w:tc>
        <w:tc>
          <w:tcPr>
            <w:vAlign w:val="top"/>
          </w:tcPr>
          <w:p>
            <w:pPr>
              <w:pStyle w:val="Compact"/>
              <w:jc w:val="left"/>
            </w:pPr>
            <w:r>
              <w:t xml:space="preserve">Narrow to an assumption-bound or exploratory claim and record alternatives.</w:t>
            </w:r>
          </w:p>
        </w:tc>
        <w:tc>
          <w:tcPr>
            <w:vAlign w:val="top"/>
          </w:tcPr>
          <w:p>
            <w:pPr>
              <w:pStyle w:val="Compact"/>
              <w:jc w:val="left"/>
            </w:pPr>
            <w:r>
              <w:t xml:space="preserve">REVIEW / ESCALATE</w:t>
            </w:r>
          </w:p>
        </w:tc>
        <w:tc>
          <w:tcPr>
            <w:vAlign w:val="top"/>
          </w:tcPr>
          <w:p>
            <w:pPr>
              <w:pStyle w:val="Compact"/>
              <w:jc w:val="left"/>
            </w:pPr>
            <w:r>
              <w:t xml:space="preserve">Canon</w:t>
            </w:r>
          </w:p>
        </w:tc>
      </w:tr>
      <w:tr>
        <w:tc>
          <w:tcPr>
            <w:shd w:val="clear" w:color="auto" w:fill="F7FBFE"/>
            <w:vAlign w:val="top"/>
          </w:tcPr>
          <w:p>
            <w:pPr>
              <w:pStyle w:val="Compact"/>
              <w:jc w:val="left"/>
            </w:pPr>
            <w:r>
              <w:t xml:space="preserve">EXPLORATORY_ONLY</w:t>
            </w:r>
          </w:p>
        </w:tc>
        <w:tc>
          <w:tcPr>
            <w:shd w:val="clear" w:color="auto" w:fill="F7FBFE"/>
            <w:vAlign w:val="top"/>
          </w:tcPr>
          <w:p>
            <w:pPr>
              <w:pStyle w:val="Compact"/>
              <w:jc w:val="left"/>
            </w:pPr>
            <w:r>
              <w:t xml:space="preserve">Evidence or method supports exploration but not a confirmatory or decision-authorizing claim.</w:t>
            </w:r>
          </w:p>
        </w:tc>
        <w:tc>
          <w:tcPr>
            <w:shd w:val="clear" w:color="auto" w:fill="F7FBFE"/>
            <w:vAlign w:val="top"/>
          </w:tcPr>
          <w:p>
            <w:pPr>
              <w:pStyle w:val="Compact"/>
              <w:jc w:val="left"/>
            </w:pPr>
            <w:r>
              <w:t xml:space="preserve">Label exploratory; prohibit confirmatory, selection, authority, or deployment wording.</w:t>
            </w:r>
          </w:p>
        </w:tc>
        <w:tc>
          <w:tcPr>
            <w:shd w:val="clear" w:color="auto" w:fill="F7FBFE"/>
            <w:vAlign w:val="top"/>
          </w:tcPr>
          <w:p>
            <w:pPr>
              <w:pStyle w:val="Compact"/>
              <w:jc w:val="left"/>
            </w:pPr>
            <w:r>
              <w:t xml:space="preserve">DISCLOSE</w:t>
            </w:r>
          </w:p>
        </w:tc>
        <w:tc>
          <w:tcPr>
            <w:shd w:val="clear" w:color="auto" w:fill="F7FBFE"/>
            <w:vAlign w:val="top"/>
          </w:tcPr>
          <w:p>
            <w:pPr>
              <w:pStyle w:val="Compact"/>
              <w:jc w:val="left"/>
            </w:pPr>
            <w:r>
              <w:t xml:space="preserve">Canon</w:t>
            </w:r>
          </w:p>
        </w:tc>
      </w:tr>
      <w:tr>
        <w:tc>
          <w:tcPr>
            <w:vAlign w:val="top"/>
          </w:tcPr>
          <w:p>
            <w:pPr>
              <w:pStyle w:val="Compact"/>
              <w:jc w:val="left"/>
            </w:pPr>
            <w:r>
              <w:t xml:space="preserve">OUTPUT_WITHOUT_ADMISSIBLE_REFERENCE</w:t>
            </w:r>
          </w:p>
        </w:tc>
        <w:tc>
          <w:tcPr>
            <w:vAlign w:val="top"/>
          </w:tcPr>
          <w:p>
            <w:pPr>
              <w:pStyle w:val="Compact"/>
              <w:jc w:val="left"/>
            </w:pPr>
            <w:r>
              <w:t xml:space="preserve">A consequence-bearing output is requested or produced without an admissible reference.</w:t>
            </w:r>
          </w:p>
        </w:tc>
        <w:tc>
          <w:tcPr>
            <w:vAlign w:val="top"/>
          </w:tcPr>
          <w:p>
            <w:pPr>
              <w:pStyle w:val="Compact"/>
              <w:jc w:val="left"/>
            </w:pPr>
            <w:r>
              <w:t xml:space="preserve">Refuse, narrow, or escalate; do not execute.</w:t>
            </w:r>
          </w:p>
        </w:tc>
        <w:tc>
          <w:tcPr>
            <w:vAlign w:val="top"/>
          </w:tcPr>
          <w:p>
            <w:pPr>
              <w:pStyle w:val="Compact"/>
              <w:jc w:val="left"/>
            </w:pPr>
            <w:r>
              <w:t xml:space="preserve">RUNTIME_BLOCK</w:t>
            </w:r>
          </w:p>
        </w:tc>
        <w:tc>
          <w:tcPr>
            <w:vAlign w:val="top"/>
          </w:tcPr>
          <w:p>
            <w:pPr>
              <w:pStyle w:val="Compact"/>
              <w:jc w:val="left"/>
            </w:pPr>
            <w:r>
              <w:t xml:space="preserve">Agent runtime</w:t>
            </w:r>
          </w:p>
        </w:tc>
      </w:tr>
      <w:tr>
        <w:tc>
          <w:tcPr>
            <w:shd w:val="clear" w:color="auto" w:fill="F7FBFE"/>
            <w:vAlign w:val="top"/>
          </w:tcPr>
          <w:p>
            <w:pPr>
              <w:pStyle w:val="Compact"/>
              <w:jc w:val="left"/>
            </w:pPr>
            <w:r>
              <w:t xml:space="preserve">STRUCTURAL_VIABILITY_FAIL</w:t>
            </w:r>
          </w:p>
        </w:tc>
        <w:tc>
          <w:tcPr>
            <w:shd w:val="clear" w:color="auto" w:fill="F7FBFE"/>
            <w:vAlign w:val="top"/>
          </w:tcPr>
          <w:p>
            <w:pPr>
              <w:pStyle w:val="Compact"/>
              <w:jc w:val="left"/>
            </w:pPr>
            <w:r>
              <w:t xml:space="preserve">The runtime StructuralViabilityRecord resolves fail.</w:t>
            </w:r>
          </w:p>
        </w:tc>
        <w:tc>
          <w:tcPr>
            <w:shd w:val="clear" w:color="auto" w:fill="F7FBFE"/>
            <w:vAlign w:val="top"/>
          </w:tcPr>
          <w:p>
            <w:pPr>
              <w:pStyle w:val="Compact"/>
              <w:jc w:val="left"/>
            </w:pPr>
            <w:r>
              <w:t xml:space="preserve">Block execution and route to redesign or escalation.</w:t>
            </w:r>
          </w:p>
        </w:tc>
        <w:tc>
          <w:tcPr>
            <w:shd w:val="clear" w:color="auto" w:fill="F7FBFE"/>
            <w:vAlign w:val="top"/>
          </w:tcPr>
          <w:p>
            <w:pPr>
              <w:pStyle w:val="Compact"/>
              <w:jc w:val="left"/>
            </w:pPr>
            <w:r>
              <w:t xml:space="preserve">RUNTIME_BLOCK</w:t>
            </w:r>
          </w:p>
        </w:tc>
        <w:tc>
          <w:tcPr>
            <w:shd w:val="clear" w:color="auto" w:fill="F7FBFE"/>
            <w:vAlign w:val="top"/>
          </w:tcPr>
          <w:p>
            <w:pPr>
              <w:pStyle w:val="Compact"/>
              <w:jc w:val="left"/>
            </w:pPr>
            <w:r>
              <w:t xml:space="preserve">Agent runtime</w:t>
            </w:r>
          </w:p>
        </w:tc>
      </w:tr>
      <w:tr>
        <w:tc>
          <w:tcPr>
            <w:vAlign w:val="top"/>
          </w:tcPr>
          <w:p>
            <w:pPr>
              <w:pStyle w:val="Compact"/>
              <w:jc w:val="left"/>
            </w:pPr>
            <w:r>
              <w:t xml:space="preserve">SVC_INPUT_INSUFFICIENT</w:t>
            </w:r>
          </w:p>
        </w:tc>
        <w:tc>
          <w:tcPr>
            <w:vAlign w:val="top"/>
          </w:tcPr>
          <w:p>
            <w:pPr>
              <w:pStyle w:val="Compact"/>
              <w:jc w:val="left"/>
            </w:pPr>
            <w:r>
              <w:t xml:space="preserve">Required structural-viability input is absent or unresolved.</w:t>
            </w:r>
          </w:p>
        </w:tc>
        <w:tc>
          <w:tcPr>
            <w:vAlign w:val="top"/>
          </w:tcPr>
          <w:p>
            <w:pPr>
              <w:pStyle w:val="Compact"/>
              <w:jc w:val="left"/>
            </w:pPr>
            <w:r>
              <w:t xml:space="preserve">Remain advisory-only; request evidence or escalate.</w:t>
            </w:r>
          </w:p>
        </w:tc>
        <w:tc>
          <w:tcPr>
            <w:vAlign w:val="top"/>
          </w:tcPr>
          <w:p>
            <w:pPr>
              <w:pStyle w:val="Compact"/>
              <w:jc w:val="left"/>
            </w:pPr>
            <w:r>
              <w:t xml:space="preserve">RUNTIME_BLOCK</w:t>
            </w:r>
          </w:p>
        </w:tc>
        <w:tc>
          <w:tcPr>
            <w:vAlign w:val="top"/>
          </w:tcPr>
          <w:p>
            <w:pPr>
              <w:pStyle w:val="Compact"/>
              <w:jc w:val="left"/>
            </w:pPr>
            <w:r>
              <w:t xml:space="preserve">Agent runtime</w:t>
            </w:r>
          </w:p>
        </w:tc>
      </w:tr>
      <w:tr>
        <w:tc>
          <w:tcPr>
            <w:shd w:val="clear" w:color="auto" w:fill="F7FBFE"/>
            <w:vAlign w:val="top"/>
          </w:tcPr>
          <w:p>
            <w:pPr>
              <w:pStyle w:val="Compact"/>
              <w:jc w:val="left"/>
            </w:pPr>
            <w:r>
              <w:t xml:space="preserve">PERMISSION_WITHOUT_ADMISSIBILITY_INVALID</w:t>
            </w:r>
          </w:p>
        </w:tc>
        <w:tc>
          <w:tcPr>
            <w:shd w:val="clear" w:color="auto" w:fill="F7FBFE"/>
            <w:vAlign w:val="top"/>
          </w:tcPr>
          <w:p>
            <w:pPr>
              <w:pStyle w:val="Compact"/>
              <w:jc w:val="left"/>
            </w:pPr>
            <w:r>
              <w:t xml:space="preserve">Permission or approval is used as a substitute for admissibility.</w:t>
            </w:r>
          </w:p>
        </w:tc>
        <w:tc>
          <w:tcPr>
            <w:shd w:val="clear" w:color="auto" w:fill="F7FBFE"/>
            <w:vAlign w:val="top"/>
          </w:tcPr>
          <w:p>
            <w:pPr>
              <w:pStyle w:val="Compact"/>
              <w:jc w:val="left"/>
            </w:pPr>
            <w:r>
              <w:t xml:space="preserve">Block execution and record the category collapse.</w:t>
            </w:r>
          </w:p>
        </w:tc>
        <w:tc>
          <w:tcPr>
            <w:shd w:val="clear" w:color="auto" w:fill="F7FBFE"/>
            <w:vAlign w:val="top"/>
          </w:tcPr>
          <w:p>
            <w:pPr>
              <w:pStyle w:val="Compact"/>
              <w:jc w:val="left"/>
            </w:pPr>
            <w:r>
              <w:t xml:space="preserve">RUNTIME_INVALID</w:t>
            </w:r>
          </w:p>
        </w:tc>
        <w:tc>
          <w:tcPr>
            <w:shd w:val="clear" w:color="auto" w:fill="F7FBFE"/>
            <w:vAlign w:val="top"/>
          </w:tcPr>
          <w:p>
            <w:pPr>
              <w:pStyle w:val="Compact"/>
              <w:jc w:val="left"/>
            </w:pPr>
            <w:r>
              <w:t xml:space="preserve">Agent runtime</w:t>
            </w:r>
          </w:p>
        </w:tc>
      </w:tr>
      <w:tr>
        <w:tc>
          <w:tcPr>
            <w:vAlign w:val="top"/>
          </w:tcPr>
          <w:p>
            <w:pPr>
              <w:pStyle w:val="Compact"/>
              <w:jc w:val="left"/>
            </w:pPr>
            <w:r>
              <w:t xml:space="preserve">STRUCTURAL_OVERRIDE_OF_RIGHTS_INVALID</w:t>
            </w:r>
          </w:p>
        </w:tc>
        <w:tc>
          <w:tcPr>
            <w:vAlign w:val="top"/>
          </w:tcPr>
          <w:p>
            <w:pPr>
              <w:pStyle w:val="Compact"/>
              <w:jc w:val="left"/>
            </w:pPr>
            <w:r>
              <w:t xml:space="preserve">A structural or operational consideration is used to override RF/NCRC.</w:t>
            </w:r>
          </w:p>
        </w:tc>
        <w:tc>
          <w:tcPr>
            <w:vAlign w:val="top"/>
          </w:tcPr>
          <w:p>
            <w:pPr>
              <w:pStyle w:val="Compact"/>
              <w:jc w:val="left"/>
            </w:pPr>
            <w:r>
              <w:t xml:space="preserve">Block execution; RF/NCRC controls.</w:t>
            </w:r>
          </w:p>
        </w:tc>
        <w:tc>
          <w:tcPr>
            <w:vAlign w:val="top"/>
          </w:tcPr>
          <w:p>
            <w:pPr>
              <w:pStyle w:val="Compact"/>
              <w:jc w:val="left"/>
            </w:pPr>
            <w:r>
              <w:t xml:space="preserve">RUNTIME_INVALID</w:t>
            </w:r>
          </w:p>
        </w:tc>
        <w:tc>
          <w:tcPr>
            <w:vAlign w:val="top"/>
          </w:tcPr>
          <w:p>
            <w:pPr>
              <w:pStyle w:val="Compact"/>
              <w:jc w:val="left"/>
            </w:pPr>
            <w:r>
              <w:t xml:space="preserve">Agent runtime</w:t>
            </w:r>
          </w:p>
        </w:tc>
      </w:tr>
    </w:tbl>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Flag</w:t>
            </w:r>
          </w:p>
        </w:tc>
        <w:tc>
          <w:tcPr>
            <w:shd w:val="clear" w:color="auto" w:fill="D9EAF7"/>
            <w:vAlign w:val="center"/>
          </w:tcPr>
          <w:p>
            <w:pPr>
              <w:pStyle w:val="Compact"/>
              <w:jc w:val="left"/>
            </w:pPr>
            <w:r>
              <w:rPr>
                <w:bCs/>
                <w:b/>
                <w:color w:val="17365D"/>
              </w:rPr>
              <w:t xml:space="preserve">Trigger</w:t>
            </w:r>
          </w:p>
        </w:tc>
        <w:tc>
          <w:tcPr>
            <w:shd w:val="clear" w:color="auto" w:fill="D9EAF7"/>
            <w:vAlign w:val="center"/>
          </w:tcPr>
          <w:p>
            <w:pPr>
              <w:pStyle w:val="Compact"/>
              <w:jc w:val="left"/>
            </w:pPr>
            <w:r>
              <w:rPr>
                <w:bCs/>
                <w:b/>
                <w:color w:val="17365D"/>
              </w:rPr>
              <w:t xml:space="preserve">Required action</w:t>
            </w:r>
          </w:p>
        </w:tc>
        <w:tc>
          <w:tcPr>
            <w:shd w:val="clear" w:color="auto" w:fill="D9EAF7"/>
            <w:vAlign w:val="center"/>
          </w:tcPr>
          <w:p>
            <w:pPr>
              <w:pStyle w:val="Compact"/>
              <w:jc w:val="left"/>
            </w:pPr>
            <w:r>
              <w:rPr>
                <w:bCs/>
                <w:b/>
                <w:color w:val="17365D"/>
              </w:rPr>
              <w:t xml:space="preserve">Severity</w:t>
            </w:r>
          </w:p>
        </w:tc>
      </w:tr>
      <w:tr>
        <w:tc>
          <w:tcPr>
            <w:vAlign w:val="top"/>
          </w:tcPr>
          <w:p>
            <w:pPr>
              <w:pStyle w:val="Compact"/>
              <w:jc w:val="left"/>
            </w:pPr>
            <w:r>
              <w:t xml:space="preserve">CATEGORY_GROUNDING_RECORD_MISSING</w:t>
            </w:r>
          </w:p>
        </w:tc>
        <w:tc>
          <w:tcPr>
            <w:vAlign w:val="top"/>
          </w:tcPr>
          <w:p>
            <w:pPr>
              <w:pStyle w:val="Compact"/>
              <w:jc w:val="left"/>
            </w:pPr>
            <w:r>
              <w:t xml:space="preserve">Category Grounding is required and PCC.CategoryGroundingRecord is missing.</w:t>
            </w:r>
          </w:p>
        </w:tc>
        <w:tc>
          <w:tcPr>
            <w:vAlign w:val="top"/>
          </w:tcPr>
          <w:p>
            <w:pPr>
              <w:pStyle w:val="Compact"/>
              <w:jc w:val="left"/>
            </w:pPr>
            <w:r>
              <w:t xml:space="preserve">Block deterministic framework selection, conformance, public-deployment, and optimized-metric claims until the claim is narrowed, escalated, marked sensitivity-only / monitor-only, or refused.</w:t>
            </w:r>
          </w:p>
        </w:tc>
        <w:tc>
          <w:tcPr>
            <w:vAlign w:val="top"/>
          </w:tcPr>
          <w:p>
            <w:pPr>
              <w:pStyle w:val="Compact"/>
              <w:jc w:val="left"/>
            </w:pPr>
            <w:r>
              <w:t xml:space="preserve">INVALID</w:t>
            </w:r>
          </w:p>
        </w:tc>
      </w:tr>
      <w:tr>
        <w:tc>
          <w:tcPr>
            <w:shd w:val="clear" w:color="auto" w:fill="F7FBFE"/>
            <w:vAlign w:val="top"/>
          </w:tcPr>
          <w:p>
            <w:pPr>
              <w:pStyle w:val="Compact"/>
              <w:jc w:val="left"/>
            </w:pPr>
            <w:r>
              <w:t xml:space="preserve">SEMANTIC_DEBT_AGGREGATE_HIGH</w:t>
            </w:r>
          </w:p>
        </w:tc>
        <w:tc>
          <w:tcPr>
            <w:shd w:val="clear" w:color="auto" w:fill="F7FBFE"/>
            <w:vAlign w:val="top"/>
          </w:tcPr>
          <w:p>
            <w:pPr>
              <w:pStyle w:val="Compact"/>
              <w:jc w:val="left"/>
            </w:pPr>
            <w:r>
              <w:t xml:space="preserve">Semantic debt score reaches or exceeds the governed threshold for the claim context.</w:t>
            </w:r>
          </w:p>
        </w:tc>
        <w:tc>
          <w:tcPr>
            <w:shd w:val="clear" w:color="auto" w:fill="F7FBFE"/>
            <w:vAlign w:val="top"/>
          </w:tcPr>
          <w:p>
            <w:pPr>
              <w:pStyle w:val="Compact"/>
              <w:jc w:val="left"/>
            </w:pPr>
            <w:r>
              <w:t xml:space="preserve">Require reviewer disposition before stronger public, conformance, authority-selection, deployment-readiness, or deterministic-selection claims.</w:t>
            </w:r>
          </w:p>
        </w:tc>
        <w:tc>
          <w:tcPr>
            <w:shd w:val="clear" w:color="auto" w:fill="F7FBFE"/>
            <w:vAlign w:val="top"/>
          </w:tcPr>
          <w:p>
            <w:pPr>
              <w:pStyle w:val="Compact"/>
              <w:jc w:val="left"/>
            </w:pPr>
            <w:r>
              <w:t xml:space="preserve">ESCALATE</w:t>
            </w:r>
          </w:p>
        </w:tc>
      </w:tr>
      <w:tr>
        <w:tc>
          <w:tcPr>
            <w:vAlign w:val="top"/>
          </w:tcPr>
          <w:p>
            <w:pPr>
              <w:pStyle w:val="Compact"/>
              <w:jc w:val="left"/>
            </w:pPr>
            <w:r>
              <w:t xml:space="preserve">SILENT_REMAINDER_INVALID</w:t>
            </w:r>
          </w:p>
        </w:tc>
        <w:tc>
          <w:tcPr>
            <w:vAlign w:val="top"/>
          </w:tcPr>
          <w:p>
            <w:pPr>
              <w:pStyle w:val="Compact"/>
              <w:jc w:val="left"/>
            </w:pPr>
            <w:r>
              <w:t xml:space="preserve">A required field is missing or an undefined remainder is silently treated as pass, zero, or non-material.</w:t>
            </w:r>
          </w:p>
        </w:tc>
        <w:tc>
          <w:tcPr>
            <w:vAlign w:val="top"/>
          </w:tcPr>
          <w:p>
            <w:pPr>
              <w:pStyle w:val="Compact"/>
              <w:jc w:val="left"/>
            </w:pPr>
            <w:r>
              <w:t xml:space="preserve">Declare the remainder, collect evidence, rerun, narrow the claim, escalate, or refuse.</w:t>
            </w:r>
          </w:p>
        </w:tc>
        <w:tc>
          <w:tcPr>
            <w:vAlign w:val="top"/>
          </w:tcPr>
          <w:p>
            <w:pPr>
              <w:pStyle w:val="Compact"/>
              <w:jc w:val="left"/>
            </w:pPr>
            <w:r>
              <w:t xml:space="preserve">INVALID</w:t>
            </w:r>
          </w:p>
        </w:tc>
      </w:tr>
      <w:tr>
        <w:tc>
          <w:tcPr>
            <w:shd w:val="clear" w:color="auto" w:fill="F7FBFE"/>
            <w:vAlign w:val="top"/>
          </w:tcPr>
          <w:p>
            <w:pPr>
              <w:pStyle w:val="Compact"/>
              <w:jc w:val="left"/>
            </w:pPr>
            <w:r>
              <w:t xml:space="preserve">INSUFFICIENT_GROUNDING</w:t>
            </w:r>
          </w:p>
        </w:tc>
        <w:tc>
          <w:tcPr>
            <w:shd w:val="clear" w:color="auto" w:fill="F7FBFE"/>
            <w:vAlign w:val="top"/>
          </w:tcPr>
          <w:p>
            <w:pPr>
              <w:pStyle w:val="Compact"/>
              <w:jc w:val="left"/>
            </w:pPr>
            <w:r>
              <w:t xml:space="preserve">The declared reality surface is insufficient for a material rights, tail-risk, CSV, authority, conformance, or selection claim.</w:t>
            </w:r>
          </w:p>
        </w:tc>
        <w:tc>
          <w:tcPr>
            <w:shd w:val="clear" w:color="auto" w:fill="F7FBFE"/>
            <w:vAlign w:val="top"/>
          </w:tcPr>
          <w:p>
            <w:pPr>
              <w:pStyle w:val="Compact"/>
              <w:jc w:val="left"/>
            </w:pPr>
            <w:r>
              <w:t xml:space="preserve">Narrow the claim, collect evidence, rerun, mark exploratory/sensitivity-only, escalate, or refuse the stronger claim.</w:t>
            </w:r>
          </w:p>
        </w:tc>
        <w:tc>
          <w:tcPr>
            <w:shd w:val="clear" w:color="auto" w:fill="F7FBFE"/>
            <w:vAlign w:val="top"/>
          </w:tcPr>
          <w:p>
            <w:pPr>
              <w:pStyle w:val="Compact"/>
              <w:jc w:val="left"/>
            </w:pPr>
            <w:r>
              <w:t xml:space="preserve">ESCALATE/REFUSE</w:t>
            </w:r>
          </w:p>
        </w:tc>
      </w:tr>
      <w:tr>
        <w:tc>
          <w:tcPr>
            <w:vAlign w:val="top"/>
          </w:tcPr>
          <w:p>
            <w:pPr>
              <w:pStyle w:val="Compact"/>
              <w:jc w:val="left"/>
            </w:pPr>
            <w:r>
              <w:t xml:space="preserve">CONTAINMENT_STRUCTURAL_DIAGNOSTIC_UNAVAILABLE</w:t>
            </w:r>
          </w:p>
        </w:tc>
        <w:tc>
          <w:tcPr>
            <w:vAlign w:val="top"/>
          </w:tcPr>
          <w:p>
            <w:pPr>
              <w:pStyle w:val="Compact"/>
              <w:jc w:val="left"/>
            </w:pPr>
            <w:r>
              <w:t xml:space="preserve">Structural diagnostic evidence required for CSV, including UCI/HOI or declared equivalent where material, is unavailable or unresolved.</w:t>
            </w:r>
          </w:p>
        </w:tc>
        <w:tc>
          <w:tcPr>
            <w:vAlign w:val="top"/>
          </w:tcPr>
          <w:p>
            <w:pPr>
              <w:pStyle w:val="Compact"/>
              <w:jc w:val="left"/>
            </w:pPr>
            <w:r>
              <w:t xml:space="preserve">Downgrade claim strength, collect evidence, rerun, escalate, refuse the stronger claim, or record permitted waiver where allowed.</w:t>
            </w:r>
          </w:p>
        </w:tc>
        <w:tc>
          <w:tcPr>
            <w:vAlign w:val="top"/>
          </w:tcPr>
          <w:p>
            <w:pPr>
              <w:pStyle w:val="Compact"/>
              <w:jc w:val="left"/>
            </w:pPr>
            <w:r>
              <w:t xml:space="preserve">ESCALATE</w:t>
            </w:r>
          </w:p>
        </w:tc>
      </w:tr>
      <w:tr>
        <w:tc>
          <w:tcPr>
            <w:shd w:val="clear" w:color="auto" w:fill="F7FBFE"/>
            <w:vAlign w:val="top"/>
          </w:tcPr>
          <w:p>
            <w:pPr>
              <w:pStyle w:val="Compact"/>
              <w:jc w:val="left"/>
            </w:pPr>
            <w:r>
              <w:t xml:space="preserve">STRUCTURAL_DIAGNOSTIC_MISPLACED_TO_TIEBREAK</w:t>
            </w:r>
          </w:p>
        </w:tc>
        <w:tc>
          <w:tcPr>
            <w:shd w:val="clear" w:color="auto" w:fill="F7FBFE"/>
            <w:vAlign w:val="top"/>
          </w:tcPr>
          <w:p>
            <w:pPr>
              <w:pStyle w:val="Compact"/>
              <w:jc w:val="left"/>
            </w:pPr>
            <w:r>
              <w:t xml:space="preserve">A structural diagnostic that was gate-relevant to CSV was treated only as residual tie-break evidence after RLS.</w:t>
            </w:r>
          </w:p>
        </w:tc>
        <w:tc>
          <w:tcPr>
            <w:shd w:val="clear" w:color="auto" w:fill="F7FBFE"/>
            <w:vAlign w:val="top"/>
          </w:tcPr>
          <w:p>
            <w:pPr>
              <w:pStyle w:val="Compact"/>
              <w:jc w:val="left"/>
            </w:pPr>
            <w:r>
              <w:t xml:space="preserve">Rerun CSV with the diagnostic included or refuse the stronger claim.</w:t>
            </w:r>
          </w:p>
        </w:tc>
        <w:tc>
          <w:tcPr>
            <w:shd w:val="clear" w:color="auto" w:fill="F7FBFE"/>
            <w:vAlign w:val="top"/>
          </w:tcPr>
          <w:p>
            <w:pPr>
              <w:pStyle w:val="Compact"/>
              <w:jc w:val="left"/>
            </w:pPr>
            <w:r>
              <w:t xml:space="preserve">INVALID for Tier 3; ESCALATE otherwise</w:t>
            </w:r>
          </w:p>
        </w:tc>
      </w:tr>
      <w:tr>
        <w:tc>
          <w:tcPr>
            <w:vAlign w:val="top"/>
          </w:tcPr>
          <w:p>
            <w:pPr>
              <w:pStyle w:val="Compact"/>
              <w:jc w:val="left"/>
            </w:pPr>
            <w:r>
              <w:t xml:space="preserve">PLSS_STRUCTURAL_DIAGNOSTIC_OMISSION</w:t>
            </w:r>
          </w:p>
        </w:tc>
        <w:tc>
          <w:tcPr>
            <w:vAlign w:val="top"/>
          </w:tcPr>
          <w:p>
            <w:pPr>
              <w:pStyle w:val="Compact"/>
              <w:jc w:val="left"/>
            </w:pPr>
            <w:r>
              <w:t xml:space="preserve">A PLSS run omitted, down-weighted, or deferred structural diagnostic evidence that was plausibly CSV-relevant.</w:t>
            </w:r>
          </w:p>
        </w:tc>
        <w:tc>
          <w:tcPr>
            <w:vAlign w:val="top"/>
          </w:tcPr>
          <w:p>
            <w:pPr>
              <w:pStyle w:val="Compact"/>
              <w:jc w:val="left"/>
            </w:pPr>
            <w:r>
              <w:t xml:space="preserve">Rerun with broader scrutiny, document non-relevance, or escalate.</w:t>
            </w:r>
          </w:p>
        </w:tc>
        <w:tc>
          <w:tcPr>
            <w:vAlign w:val="top"/>
          </w:tcPr>
          <w:p>
            <w:pPr>
              <w:pStyle w:val="Compact"/>
              <w:jc w:val="left"/>
            </w:pPr>
            <w:r>
              <w:t xml:space="preserve">ESCALATE</w:t>
            </w:r>
          </w:p>
        </w:tc>
      </w:tr>
      <w:tr>
        <w:tc>
          <w:tcPr>
            <w:shd w:val="clear" w:color="auto" w:fill="F7FBFE"/>
            <w:vAlign w:val="top"/>
          </w:tcPr>
          <w:p>
            <w:pPr>
              <w:pStyle w:val="Compact"/>
              <w:jc w:val="left"/>
            </w:pPr>
            <w:r>
              <w:t xml:space="preserve">GATE_CRITICAL_CONFIDENCE_UNDERBOUNDED</w:t>
            </w:r>
          </w:p>
        </w:tc>
        <w:tc>
          <w:tcPr>
            <w:shd w:val="clear" w:color="auto" w:fill="F7FBFE"/>
            <w:vAlign w:val="top"/>
          </w:tcPr>
          <w:p>
            <w:pPr>
              <w:pStyle w:val="Compact"/>
              <w:jc w:val="left"/>
            </w:pPr>
            <w:r>
              <w:t xml:space="preserve">A low-confidence adverse impact in C_r, C_cat, or a material CSV indicator is used to reduce apparent severity such that RF/NCRC, TRC, or CSV would pass when a conservative bound, rerun, downgrade, escalation, or Refusal is required.</w:t>
            </w:r>
          </w:p>
        </w:tc>
        <w:tc>
          <w:tcPr>
            <w:shd w:val="clear" w:color="auto" w:fill="F7FBFE"/>
            <w:vAlign w:val="top"/>
          </w:tcPr>
          <w:p>
            <w:pPr>
              <w:pStyle w:val="Compact"/>
              <w:jc w:val="left"/>
            </w:pPr>
            <w:r>
              <w:t xml:space="preserve">Apply the gate-critical confidence guard; record conservative bound or unresolved gate disposition in PCC.</w:t>
            </w:r>
          </w:p>
        </w:tc>
        <w:tc>
          <w:tcPr>
            <w:shd w:val="clear" w:color="auto" w:fill="F7FBFE"/>
            <w:vAlign w:val="top"/>
          </w:tcPr>
          <w:p>
            <w:pPr>
              <w:pStyle w:val="Compact"/>
              <w:jc w:val="left"/>
            </w:pPr>
            <w:r>
              <w:t xml:space="preserve">ESCALATE</w:t>
            </w:r>
          </w:p>
        </w:tc>
      </w:tr>
      <w:tr>
        <w:tc>
          <w:tcPr>
            <w:vAlign w:val="top"/>
          </w:tcPr>
          <w:p>
            <w:pPr>
              <w:pStyle w:val="Compact"/>
              <w:jc w:val="left"/>
            </w:pPr>
            <w:r>
              <w:t xml:space="preserve">SGP_BINDING_INTEGRITY_FAIL</w:t>
            </w:r>
          </w:p>
        </w:tc>
        <w:tc>
          <w:tcPr>
            <w:vAlign w:val="top"/>
          </w:tcPr>
          <w:p>
            <w:pPr>
              <w:pStyle w:val="Compact"/>
              <w:jc w:val="left"/>
            </w:pPr>
            <w:r>
              <w:t xml:space="preserve">A run claims SGP-aware protection, welfare-inclusion hypothesis sensitivity, FPP, GPR, SPR, or ICP use but omits the valid version-pinned record, target boundary, band/interval, hypotheses evaluated, or required registry fields; or it silently falls back to MPS-0, zero, a convenient coefficient, or a legacy v7 scalar.</w:t>
            </w:r>
          </w:p>
        </w:tc>
        <w:tc>
          <w:tcPr>
            <w:vAlign w:val="top"/>
          </w:tcPr>
          <w:p>
            <w:pPr>
              <w:pStyle w:val="Compact"/>
              <w:jc w:val="left"/>
            </w:pPr>
            <w:r>
              <w:t xml:space="preserve">Mark the affected PCC claim INVALID; restore the valid record and governed hypothesis set, rerun sensitivity, or remove/narrow the SGP-aware claim. No silent fallback is permitted.</w:t>
            </w:r>
          </w:p>
        </w:tc>
        <w:tc>
          <w:tcPr>
            <w:vAlign w:val="top"/>
          </w:tcPr>
          <w:p>
            <w:pPr>
              <w:pStyle w:val="Compact"/>
              <w:jc w:val="left"/>
            </w:pPr>
            <w:r>
              <w:t xml:space="preserve">INVALID for affected SGP-aware claim</w:t>
            </w:r>
          </w:p>
        </w:tc>
      </w:tr>
      <w:tr>
        <w:tc>
          <w:tcPr>
            <w:shd w:val="clear" w:color="auto" w:fill="F7FBFE"/>
            <w:vAlign w:val="top"/>
          </w:tcPr>
          <w:p>
            <w:pPr>
              <w:pStyle w:val="Compact"/>
              <w:jc w:val="left"/>
            </w:pPr>
            <w:r>
              <w:t xml:space="preserve">RLS_DEPENDENCE_SENSITIVE</w:t>
            </w:r>
          </w:p>
        </w:tc>
        <w:tc>
          <w:tcPr>
            <w:shd w:val="clear" w:color="auto" w:fill="F7FBFE"/>
            <w:vAlign w:val="top"/>
          </w:tcPr>
          <w:p>
            <w:pPr>
              <w:pStyle w:val="Compact"/>
              <w:jc w:val="left"/>
            </w:pPr>
            <w:r>
              <w:t xml:space="preserve">Ranking or decisiveness changes when uncertainty dependence clusters, perfect-correlation stress, or covariance-aware aggregation is applied.</w:t>
            </w:r>
          </w:p>
        </w:tc>
        <w:tc>
          <w:tcPr>
            <w:shd w:val="clear" w:color="auto" w:fill="F7FBFE"/>
            <w:vAlign w:val="top"/>
          </w:tcPr>
          <w:p>
            <w:pPr>
              <w:pStyle w:val="Compact"/>
              <w:jc w:val="left"/>
            </w:pPr>
            <w:r>
              <w:t xml:space="preserve">Treat the result as non-decisive; disclose the dependence structure and complete the tie-break or governance review.</w:t>
            </w:r>
          </w:p>
        </w:tc>
        <w:tc>
          <w:tcPr>
            <w:shd w:val="clear" w:color="auto" w:fill="F7FBFE"/>
            <w:vAlign w:val="top"/>
          </w:tcPr>
          <w:p>
            <w:pPr>
              <w:pStyle w:val="Compact"/>
              <w:jc w:val="left"/>
            </w:pPr>
            <w:r>
              <w:t xml:space="preserve">ESCALATE</w:t>
            </w:r>
          </w:p>
        </w:tc>
      </w:tr>
      <w:tr>
        <w:tc>
          <w:tcPr>
            <w:vAlign w:val="top"/>
          </w:tcPr>
          <w:p>
            <w:pPr>
              <w:pStyle w:val="Compact"/>
              <w:jc w:val="left"/>
            </w:pPr>
            <w:r>
              <w:t xml:space="preserve">SOURCE_COUPLING_RECORD_MISSING</w:t>
            </w:r>
          </w:p>
        </w:tc>
        <w:tc>
          <w:tcPr>
            <w:vAlign w:val="top"/>
          </w:tcPr>
          <w:p>
            <w:pPr>
              <w:pStyle w:val="Compact"/>
              <w:jc w:val="left"/>
            </w:pPr>
            <w:r>
              <w:t xml:space="preserve">Source-Coupling Integrity is triggered but the required SourceCouplingRecord is absent.</w:t>
            </w:r>
          </w:p>
        </w:tc>
        <w:tc>
          <w:tcPr>
            <w:vAlign w:val="top"/>
          </w:tcPr>
          <w:p>
            <w:pPr>
              <w:pStyle w:val="Compact"/>
              <w:jc w:val="left"/>
            </w:pPr>
            <w:r>
              <w:t xml:space="preserve">Add the SourceCouplingRecord, narrow the claim, downgrade to exploratory/monitor-only, escalate, or refuse the stronger claim.</w:t>
            </w:r>
          </w:p>
        </w:tc>
        <w:tc>
          <w:tcPr>
            <w:vAlign w:val="top"/>
          </w:tcPr>
          <w:p>
            <w:pPr>
              <w:pStyle w:val="Compact"/>
              <w:jc w:val="left"/>
            </w:pPr>
            <w:r>
              <w:t xml:space="preserve">INVALID for affected strong claim</w:t>
            </w:r>
          </w:p>
        </w:tc>
      </w:tr>
      <w:tr>
        <w:tc>
          <w:tcPr>
            <w:shd w:val="clear" w:color="auto" w:fill="F7FBFE"/>
            <w:vAlign w:val="top"/>
          </w:tcPr>
          <w:p>
            <w:pPr>
              <w:pStyle w:val="Compact"/>
              <w:jc w:val="left"/>
            </w:pPr>
            <w:r>
              <w:t xml:space="preserve">SOURCE_COUPLING_STATUS_UNSUPPORTED</w:t>
            </w:r>
          </w:p>
        </w:tc>
        <w:tc>
          <w:tcPr>
            <w:shd w:val="clear" w:color="auto" w:fill="F7FBFE"/>
            <w:vAlign w:val="top"/>
          </w:tcPr>
          <w:p>
            <w:pPr>
              <w:pStyle w:val="Compact"/>
              <w:jc w:val="left"/>
            </w:pPr>
            <w:r>
              <w:t xml:space="preserve">Declared Source-Coupling status is stronger than the evidence, capability surface, or warrant supports.</w:t>
            </w:r>
          </w:p>
        </w:tc>
        <w:tc>
          <w:tcPr>
            <w:shd w:val="clear" w:color="auto" w:fill="F7FBFE"/>
            <w:vAlign w:val="top"/>
          </w:tcPr>
          <w:p>
            <w:pPr>
              <w:pStyle w:val="Compact"/>
              <w:jc w:val="left"/>
            </w:pPr>
            <w:r>
              <w:t xml:space="preserve">Downgrade the status, add evidence, rerun RG/CSV if material, or invalidate the affected claim.</w:t>
            </w:r>
          </w:p>
        </w:tc>
        <w:tc>
          <w:tcPr>
            <w:shd w:val="clear" w:color="auto" w:fill="F7FBFE"/>
            <w:vAlign w:val="top"/>
          </w:tcPr>
          <w:p>
            <w:pPr>
              <w:pStyle w:val="Compact"/>
              <w:jc w:val="left"/>
            </w:pPr>
            <w:r>
              <w:t xml:space="preserve">ESCALATE/INVALID</w:t>
            </w:r>
          </w:p>
        </w:tc>
      </w:tr>
      <w:tr>
        <w:tc>
          <w:tcPr>
            <w:vAlign w:val="top"/>
          </w:tcPr>
          <w:p>
            <w:pPr>
              <w:pStyle w:val="Compact"/>
              <w:jc w:val="left"/>
            </w:pPr>
            <w:r>
              <w:t xml:space="preserve">PC_AEP_RECORD_MISSING</w:t>
            </w:r>
          </w:p>
        </w:tc>
        <w:tc>
          <w:tcPr>
            <w:vAlign w:val="top"/>
          </w:tcPr>
          <w:p>
            <w:pPr>
              <w:pStyle w:val="Compact"/>
              <w:jc w:val="left"/>
            </w:pPr>
            <w:r>
              <w:t xml:space="preserve">PC-AEP is triggered for a physical, causal, cyber-physical, medical, ecological, infrastructure, weapons, nuclear-command, planetary-cognition, or other high-consequence execution claim, but the profile is absent.</w:t>
            </w:r>
          </w:p>
        </w:tc>
        <w:tc>
          <w:tcPr>
            <w:vAlign w:val="top"/>
          </w:tcPr>
          <w:p>
            <w:pPr>
              <w:pStyle w:val="Compact"/>
              <w:jc w:val="left"/>
            </w:pPr>
            <w:r>
              <w:t xml:space="preserve">Add the PC-AEP, narrow the claim, mark governance-permission-only, escalate, or refuse the physical-execution claim.</w:t>
            </w:r>
          </w:p>
        </w:tc>
        <w:tc>
          <w:tcPr>
            <w:vAlign w:val="top"/>
          </w:tcPr>
          <w:p>
            <w:pPr>
              <w:pStyle w:val="Compact"/>
              <w:jc w:val="left"/>
            </w:pPr>
            <w:r>
              <w:t xml:space="preserve">INVALID for physical-execution claim</w:t>
            </w:r>
          </w:p>
        </w:tc>
      </w:tr>
      <w:tr>
        <w:tc>
          <w:tcPr>
            <w:shd w:val="clear" w:color="auto" w:fill="F7FBFE"/>
            <w:vAlign w:val="top"/>
          </w:tcPr>
          <w:p>
            <w:pPr>
              <w:pStyle w:val="Compact"/>
              <w:jc w:val="left"/>
            </w:pPr>
            <w:r>
              <w:t xml:space="preserve">PC_AEP_STATUS_UNSUPPORTED</w:t>
            </w:r>
          </w:p>
        </w:tc>
        <w:tc>
          <w:tcPr>
            <w:shd w:val="clear" w:color="auto" w:fill="F7FBFE"/>
            <w:vAlign w:val="top"/>
          </w:tcPr>
          <w:p>
            <w:pPr>
              <w:pStyle w:val="Compact"/>
              <w:jc w:val="left"/>
            </w:pPr>
            <w:r>
              <w:t xml:space="preserve">Declared Physical/Causal Admissibility status exceeds what the supplied domain evidence, validity domain, boundary conditions, verification surface, monitoring, shutoff, or expert warrant supports.</w:t>
            </w:r>
          </w:p>
        </w:tc>
        <w:tc>
          <w:tcPr>
            <w:shd w:val="clear" w:color="auto" w:fill="F7FBFE"/>
            <w:vAlign w:val="top"/>
          </w:tcPr>
          <w:p>
            <w:pPr>
              <w:pStyle w:val="Compact"/>
              <w:jc w:val="left"/>
            </w:pPr>
            <w:r>
              <w:t xml:space="preserve">Downgrade status, collect domain evidence, narrow validity domain, rerun RG/CSV/TRC as needed, or refuse.</w:t>
            </w:r>
          </w:p>
        </w:tc>
        <w:tc>
          <w:tcPr>
            <w:shd w:val="clear" w:color="auto" w:fill="F7FBFE"/>
            <w:vAlign w:val="top"/>
          </w:tcPr>
          <w:p>
            <w:pPr>
              <w:pStyle w:val="Compact"/>
              <w:jc w:val="left"/>
            </w:pPr>
            <w:r>
              <w:t xml:space="preserve">ESCALATE/INVALID</w:t>
            </w:r>
          </w:p>
        </w:tc>
      </w:tr>
      <w:tr>
        <w:tc>
          <w:tcPr>
            <w:vAlign w:val="top"/>
          </w:tcPr>
          <w:p>
            <w:pPr>
              <w:pStyle w:val="Compact"/>
              <w:jc w:val="left"/>
            </w:pPr>
            <w:r>
              <w:t xml:space="preserve">PHYSICAL_EXECUTION_CLAIM_OVERSTATED</w:t>
            </w:r>
          </w:p>
        </w:tc>
        <w:tc>
          <w:tcPr>
            <w:vAlign w:val="top"/>
          </w:tcPr>
          <w:p>
            <w:pPr>
              <w:pStyle w:val="Compact"/>
              <w:jc w:val="left"/>
            </w:pPr>
            <w:r>
              <w:t xml:space="preserve">Governance permission, compliance, simulation success, fluent model output, approval, or an RLS score is represented as physical admissibility or physical safety proof.</w:t>
            </w:r>
          </w:p>
        </w:tc>
        <w:tc>
          <w:tcPr>
            <w:vAlign w:val="top"/>
          </w:tcPr>
          <w:p>
            <w:pPr>
              <w:pStyle w:val="Compact"/>
              <w:jc w:val="left"/>
            </w:pPr>
            <w:r>
              <w:t xml:space="preserve">Correct the claim language, require PC-AEP support, downgrade to governance-permission-only or not-established, and invalidate the overstated claim until corrected.</w:t>
            </w:r>
          </w:p>
        </w:tc>
        <w:tc>
          <w:tcPr>
            <w:vAlign w:val="top"/>
          </w:tcPr>
          <w:p>
            <w:pPr>
              <w:pStyle w:val="Compact"/>
              <w:jc w:val="left"/>
            </w:pPr>
            <w:r>
              <w:t xml:space="preserve">INVALID</w:t>
            </w:r>
          </w:p>
        </w:tc>
      </w:tr>
      <w:tr>
        <w:tc>
          <w:tcPr>
            <w:shd w:val="clear" w:color="auto" w:fill="F7FBFE"/>
            <w:vAlign w:val="top"/>
          </w:tcPr>
          <w:p>
            <w:pPr>
              <w:pStyle w:val="Compact"/>
              <w:jc w:val="left"/>
            </w:pPr>
            <w:r>
              <w:t xml:space="preserve">CANDIDATE_GENERATOR_TREATED_AS_WARRANT</w:t>
            </w:r>
          </w:p>
        </w:tc>
        <w:tc>
          <w:tcPr>
            <w:shd w:val="clear" w:color="auto" w:fill="F7FBFE"/>
            <w:vAlign w:val="top"/>
          </w:tcPr>
          <w:p>
            <w:pPr>
              <w:pStyle w:val="Compact"/>
              <w:jc w:val="left"/>
            </w:pPr>
            <w:r>
              <w:t xml:space="preserve">The system that generated a candidate action, plan, design, or output is treated as the admissibility warrant for that same candidate without independent evidence or anti-circularity disclosure.</w:t>
            </w:r>
          </w:p>
        </w:tc>
        <w:tc>
          <w:tcPr>
            <w:shd w:val="clear" w:color="auto" w:fill="F7FBFE"/>
            <w:vAlign w:val="top"/>
          </w:tcPr>
          <w:p>
            <w:pPr>
              <w:pStyle w:val="Compact"/>
              <w:jc w:val="left"/>
            </w:pPr>
            <w:r>
              <w:t xml:space="preserve">Separate candidate-generation source from admissibility-warrant source, add independent evidence or anti-circularity justification, or refuse the physical/causal claim.</w:t>
            </w:r>
          </w:p>
        </w:tc>
        <w:tc>
          <w:tcPr>
            <w:shd w:val="clear" w:color="auto" w:fill="F7FBFE"/>
            <w:vAlign w:val="top"/>
          </w:tcPr>
          <w:p>
            <w:pPr>
              <w:pStyle w:val="Compact"/>
              <w:jc w:val="left"/>
            </w:pPr>
            <w:r>
              <w:t xml:space="preserve">INVALID</w:t>
            </w:r>
          </w:p>
        </w:tc>
      </w:tr>
      <w:tr>
        <w:tc>
          <w:tcPr>
            <w:vAlign w:val="top"/>
          </w:tcPr>
          <w:p>
            <w:pPr>
              <w:pStyle w:val="Compact"/>
              <w:jc w:val="left"/>
            </w:pPr>
            <w:r>
              <w:t xml:space="preserve">METHODOLOGICAL_INTEGRITY_RECORD_MISSING</w:t>
            </w:r>
          </w:p>
        </w:tc>
        <w:tc>
          <w:tcPr>
            <w:vAlign w:val="top"/>
          </w:tcPr>
          <w:p>
            <w:pPr>
              <w:pStyle w:val="Compact"/>
              <w:jc w:val="left"/>
            </w:pPr>
            <w:r>
              <w:t xml:space="preserve">MFDI is triggered for a strong methodological, dependency, falsification, or necessity claim, but the required MethodologicalIntegrityRecord is absent.</w:t>
            </w:r>
          </w:p>
        </w:tc>
        <w:tc>
          <w:tcPr>
            <w:vAlign w:val="top"/>
          </w:tcPr>
          <w:p>
            <w:pPr>
              <w:pStyle w:val="Compact"/>
              <w:jc w:val="left"/>
            </w:pPr>
            <w:r>
              <w:t xml:space="preserve">Add the record, narrow the claim, label it exploratory, rerun affected surfaces, escalate, or refuse the stronger claim.</w:t>
            </w:r>
          </w:p>
        </w:tc>
        <w:tc>
          <w:tcPr>
            <w:vAlign w:val="top"/>
          </w:tcPr>
          <w:p>
            <w:pPr>
              <w:pStyle w:val="Compact"/>
              <w:jc w:val="left"/>
            </w:pPr>
            <w:r>
              <w:t xml:space="preserve">INVALID for affected strong claim</w:t>
            </w:r>
          </w:p>
        </w:tc>
      </w:tr>
      <w:tr>
        <w:tc>
          <w:tcPr>
            <w:shd w:val="clear" w:color="auto" w:fill="F7FBFE"/>
            <w:vAlign w:val="top"/>
          </w:tcPr>
          <w:p>
            <w:pPr>
              <w:pStyle w:val="Compact"/>
              <w:jc w:val="left"/>
            </w:pPr>
            <w:r>
              <w:t xml:space="preserve">METHODOLOGICAL_STATUS_UNSUPPORTED</w:t>
            </w:r>
          </w:p>
        </w:tc>
        <w:tc>
          <w:tcPr>
            <w:shd w:val="clear" w:color="auto" w:fill="F7FBFE"/>
            <w:vAlign w:val="top"/>
          </w:tcPr>
          <w:p>
            <w:pPr>
              <w:pStyle w:val="Compact"/>
              <w:jc w:val="left"/>
            </w:pPr>
            <w:r>
              <w:t xml:space="preserve">Declared methodological integrity status exceeds the evidence, dependency position, alternatives analysis, uncertainty basis, or revision-trigger record.</w:t>
            </w:r>
          </w:p>
        </w:tc>
        <w:tc>
          <w:tcPr>
            <w:shd w:val="clear" w:color="auto" w:fill="F7FBFE"/>
            <w:vAlign w:val="top"/>
          </w:tcPr>
          <w:p>
            <w:pPr>
              <w:pStyle w:val="Compact"/>
              <w:jc w:val="left"/>
            </w:pPr>
            <w:r>
              <w:t xml:space="preserve">Downgrade status, add evidence, rerun dependent surfaces, or invalidate the affected methodological claim.</w:t>
            </w:r>
          </w:p>
        </w:tc>
        <w:tc>
          <w:tcPr>
            <w:shd w:val="clear" w:color="auto" w:fill="F7FBFE"/>
            <w:vAlign w:val="top"/>
          </w:tcPr>
          <w:p>
            <w:pPr>
              <w:pStyle w:val="Compact"/>
              <w:jc w:val="left"/>
            </w:pPr>
            <w:r>
              <w:t xml:space="preserve">ESCALATE/INVALID</w:t>
            </w:r>
          </w:p>
        </w:tc>
      </w:tr>
      <w:tr>
        <w:tc>
          <w:tcPr>
            <w:vAlign w:val="top"/>
          </w:tcPr>
          <w:p>
            <w:pPr>
              <w:pStyle w:val="Compact"/>
              <w:jc w:val="left"/>
            </w:pPr>
            <w:r>
              <w:t xml:space="preserve">CROSS_DOMAIN_WARRANT_SUBSTITUTION</w:t>
            </w:r>
          </w:p>
        </w:tc>
        <w:tc>
          <w:tcPr>
            <w:vAlign w:val="top"/>
          </w:tcPr>
          <w:p>
            <w:pPr>
              <w:pStyle w:val="Compact"/>
              <w:jc w:val="left"/>
            </w:pPr>
            <w:r>
              <w:t xml:space="preserve">A scientific, engineering, legal-regulatory, normative, institutional, certification, compliance, commercial, or anthropomorphic label or warrant is used to support a materially different claim domain without a declared and supported bridge.</w:t>
            </w:r>
          </w:p>
        </w:tc>
        <w:tc>
          <w:tcPr>
            <w:vAlign w:val="top"/>
          </w:tcPr>
          <w:p>
            <w:pPr>
              <w:pStyle w:val="Compact"/>
              <w:jc w:val="left"/>
            </w:pPr>
            <w:r>
              <w:t xml:space="preserve">Record the claim type, claim domain, all material warrant domains, and one explicit bridge record for each material cross-domain relationship; narrow, escalate, redesign, or invalidate an unsupported cross-domain conclusion.</w:t>
            </w:r>
          </w:p>
        </w:tc>
        <w:tc>
          <w:tcPr>
            <w:vAlign w:val="top"/>
          </w:tcPr>
          <w:p>
            <w:pPr>
              <w:pStyle w:val="Compact"/>
              <w:jc w:val="left"/>
            </w:pPr>
            <w:r>
              <w:t xml:space="preserve">INVALID for affected strong claim</w:t>
            </w:r>
          </w:p>
        </w:tc>
      </w:tr>
      <w:tr>
        <w:tc>
          <w:tcPr>
            <w:tcW w:type="dxa" w:w="1980"/>
          </w:tcPr>
          <w:p>
            <w:r>
              <w:t>RIGHTS_RELEVANT_EFFECT_UNROUTED</w:t>
            </w:r>
          </w:p>
        </w:tc>
        <w:tc>
          <w:tcPr>
            <w:tcW w:type="dxa" w:w="1980"/>
          </w:tcPr>
          <w:p>
            <w:r>
              <w:t>A D6 Meaning or D7 Environment effect is rights-relevant or instantiates a protected interest under the Section 7 routing rule, but no corresponding rights-floor instance exists in an applicable covered dimension, no governed Section 12.8 extension is declared, and no reviewed non-materiality determination resolves the issue.</w:t>
            </w:r>
          </w:p>
        </w:tc>
        <w:tc>
          <w:tcPr>
            <w:tcW w:type="dxa" w:w="1980"/>
          </w:tcPr>
          <w:p>
            <w:r>
              <w:t>Construct and evidence the applicable rights-floor instance, declare a governed rights-coverage extension, or record a reviewed non-materiality determination; reopen RF/NCRC where material.</w:t>
            </w:r>
          </w:p>
        </w:tc>
        <w:tc>
          <w:tcPr>
            <w:tcW w:type="dxa" w:w="1980"/>
          </w:tcPr>
          <w:p>
            <w:r>
              <w:t>INVALID for affected rights claim</w:t>
            </w:r>
          </w:p>
        </w:tc>
      </w:tr>
    </w:tbl>
    <w:p>
      <w:pPr>
        <w:pStyle w:val="BodyText"/>
      </w:pPr>
      <w:r>
        <w:t xml:space="preserve">CBI PCC fields (Normative for triggered cases). When COMPUTABLE_BUT_INADMISSIBLE is triggered, the PCC MUST record: PCC.CBI.ComputedObject; PCC.CBI.InadmissibilityReason; PCC.CBI.Layer; PCC.CBI.AllowedUse; PCC.CBI.ProhibitedUse; PCC.CBI.ReviewStatus; and, where applicable, PCC.CBI.ReviewerNote or EscalationPath.</w:t>
      </w:r>
    </w:p>
    <w:p>
      <w:pPr>
        <w:pStyle w:val="BodyText"/>
      </w:pPr>
      <w:r>
        <w:t xml:space="preserve">Stewardship audit-flag tokens are defined canonically in Appendix N.7 and MUST NOT be redefined in downstream specifications; downstream documents SHALL reference Appendix N.7.</w:t>
      </w:r>
    </w:p>
    <w:p>
      <w:pPr>
        <w:pStyle w:val="BodyText"/>
      </w:pPr>
      <w:r>
        <w:t xml:space="preserve">No independent audit-flag mirror table is maintained in Appendix H.3. Implementers MUST consume Section 14.3A together with</w:t>
      </w:r>
      <w:r>
        <w:t xml:space="preserve"> </w:t>
      </w:r>
      <w:r>
        <w:rPr>
          <w:rStyle w:val="VerbatimChar"/>
        </w:rPr>
        <w:t xml:space="preserve">CANONICAL_AUDIT_FLAG_REGISTRY_v1.0.yaml</w:t>
      </w:r>
      <w:r>
        <w:t xml:space="preserve">, or a mechanically generated projection of that pair. Absence from an appendix, workbook, or companion does not retire a registry-listed controlling token.</w:t>
      </w:r>
    </w:p>
    <w:p>
      <w:pPr>
        <w:pStyle w:val="BodyText"/>
      </w:pPr>
      <w:r>
        <w:t xml:space="preserve">Additional v9.0–v9.6 hardening flags (Normative). The canonical audit-flag set SHALL include PLSS_ESCALATION_TRIGGER_UNRESOLVED, DECISIVENESS_METHOD_POSTHOC, EK_NONDEFAULT_TIER2_INVALID, EK_PARAMETER_UNJUSTIFIED, UNCERTAINTY_PROVENANCE_MISSING, RIGHTS_CELL_UNKNOWN_GATE_CRITICAL, and CATASTROPHE_CELL_UNKNOWN_GATE_CRITICAL. These flags are triggered as specified in Sections 10.2A.7, 10.2A.8, 5.2, 5.7, and 15.1 and MUST be recorded in the PCC when applicable.</w:t>
      </w:r>
    </w:p>
    <w:p>
      <w:pPr>
        <w:pStyle w:val="BodyText"/>
      </w:pPr>
      <w:r>
        <w:rPr>
          <w:rStyle w:val="VerbatimChar"/>
        </w:rPr>
        <w:t xml:space="preserve">EK_NONDEFAULT_TIER2_INVALID</w:t>
      </w:r>
      <w:r>
        <w:t xml:space="preserve"> </w:t>
      </w:r>
      <w:r>
        <w:t xml:space="preserve">trigger clarification (Normative). This legacy-stable token means that Tier 2 used non-default</w:t>
      </w:r>
      <w:r>
        <w:t xml:space="preserve"> </w:t>
      </w:r>
      <w:r>
        <w:rPr>
          <w:rStyle w:val="VerbatimChar"/>
        </w:rPr>
        <w:t xml:space="preserve">e_k</w:t>
      </w:r>
      <w:r>
        <w:t xml:space="preserve"> </w:t>
      </w:r>
      <w:r>
        <w:t xml:space="preserve">without a valid, explicitly invoked named governed instrument in</w:t>
      </w:r>
      <w:r>
        <w:t xml:space="preserve"> </w:t>
      </w:r>
      <w:r>
        <w:rPr>
          <w:rStyle w:val="VerbatimChar"/>
        </w:rPr>
        <w:t xml:space="preserve">PCC.EKRegistry</w:t>
      </w:r>
      <w:r>
        <w:t xml:space="preserve">. It does not invalidate the named-instrument exception permitted by Section 5.2. The token name is retained for machine compatibility; implementations MUST use this trigger definition rather than infer that every Tier 2 non-default value is invalid.</w:t>
      </w:r>
    </w:p>
    <w:p>
      <w:pPr>
        <w:pStyle w:val="BodyText"/>
      </w:pPr>
      <w:r>
        <w:t xml:space="preserve">EK_PARAMETER_UNJUSTIFIED (Normative). Trigger: non-default e_k is used without (i) a matching PCC.EKRegistry entry when required, (ii) declared rationale and source/instrument note, (iii) stated bounds, or (iv) the required tier-appropriate sensitivity disclosure. Required action: populate PCC.EKRegistry and missing disclosures, or reset e_k to 1.00 and recompute. Severity: INVALID.</w:t>
      </w:r>
    </w:p>
    <w:bookmarkEnd w:id="230"/>
    <w:bookmarkEnd w:id="231"/>
    <w:bookmarkStart w:id="232" w:name="Xb8fde73338fcb035e38855d97eb993a1d94f256"/>
    <w:p>
      <w:pPr>
        <w:pStyle w:val="Heading2"/>
      </w:pPr>
      <w:r>
        <w:rPr>
          <w:bCs/>
          <w:b/>
        </w:rPr>
        <w:t xml:space="preserve">14.3B Minimal Validator Requirements (v10.6+; Normative)</w:t>
      </w:r>
    </w:p>
    <w:p>
      <w:pPr>
        <w:pStyle w:val="FirstParagraph"/>
      </w:pPr>
      <w:r>
        <w:t xml:space="preserve">Any conformant RippleLogic v12.6 validator MUST check the following:</w:t>
      </w:r>
    </w:p>
    <w:p>
      <w:pPr>
        <w:numPr>
          <w:ilvl w:val="0"/>
          <w:numId w:val="1159"/>
        </w:numPr>
        <w:pStyle w:val="Compact"/>
      </w:pPr>
      <w:r>
        <w:t xml:space="preserve">Every declared instance maps to ≥1 scope (InstanceMap completeness).</w:t>
      </w:r>
    </w:p>
    <w:p>
      <w:pPr>
        <w:numPr>
          <w:ilvl w:val="0"/>
          <w:numId w:val="1160"/>
        </w:numPr>
        <w:pStyle w:val="Compact"/>
      </w:pPr>
      <w:r>
        <w:t xml:space="preserve">Confirm PCC.ScopeCoverageDeclaration.Mode is declared as FULL_SCOPE or REDUCED_SCOPE; if Mode = REDUCED_SCOPE then ScopeCoverage block is present with a blind-spot statement and escalation triggers.</w:t>
      </w:r>
    </w:p>
    <w:p>
      <w:pPr>
        <w:numPr>
          <w:ilvl w:val="0"/>
          <w:numId w:val="1161"/>
        </w:numPr>
        <w:pStyle w:val="Compact"/>
      </w:pPr>
      <w:r>
        <w:t xml:space="preserve">If Mode = REDUCED_SCOPE: PCC.AdmissibilityAttestation.NCRC_full_Cr_computed is present and TRUE.</w:t>
      </w:r>
    </w:p>
    <w:p>
      <w:pPr>
        <w:pStyle w:val="FirstParagraph"/>
      </w:pPr>
      <w:r>
        <w:t xml:space="preserve">If Mode = REDUCED_SCOPE: PCC.AdmissibilityAttestation.TRC_full_Ccat_computed is present and (TRUE or NA).</w:t>
      </w:r>
    </w:p>
    <w:p>
      <w:pPr>
        <w:pStyle w:val="BodyText"/>
      </w:pPr>
      <w:r>
        <w:t xml:space="preserve">If TRC is computed/required (i.e., not NA): verify mandatory tail categories are present (or justified) and per-category probability sums meet p_floor; otherwise require the corresponding audit flags (MANDATORY_TAIL_CATEGORY_MISSING / …WITH_JUSTIFICATION / MANDATORY_TAIL_PROB_FLOOR_VIOLATION).</w:t>
      </w:r>
    </w:p>
    <w:p>
      <w:pPr>
        <w:pStyle w:val="BodyText"/>
      </w:pPr>
      <w:r>
        <w:t xml:space="preserve">If Mode = REDUCED_SCOPE: PCC.AdmissibilityAttestation.Containment_computed_as_applicable is present and (TRUE or NA).</w:t>
      </w:r>
    </w:p>
    <w:p>
      <w:pPr>
        <w:pStyle w:val="BodyText"/>
      </w:pPr>
      <w:r>
        <w:t xml:space="preserve">If CONTAINMENT_UCI_UNAVAILABLE triggers: audit flag is present, and PCC.Containment.UCIUnavailableDisposition + PCC.Containment.UCIUnavailableRemediationTimeline are present (non-empty).</w:t>
      </w:r>
    </w:p>
    <w:p>
      <w:pPr>
        <w:pStyle w:val="BodyText"/>
      </w:pPr>
      <w:r>
        <w:t xml:space="preserve">Tier-3 claim enforcement (Normative). If Implementation Tier = 3 and CONTAINMENT_UCI_UNAVAILABLE is present, the validator MUST reject Tier 3 compliance unless PCC.TierClaimDisposition = TIER_ATTEMPTED_NOT_ACHIEVED_DOWNGRADED and PCC.TierAchieved = 2.</w:t>
      </w:r>
    </w:p>
    <w:p>
      <w:pPr>
        <w:numPr>
          <w:ilvl w:val="0"/>
          <w:numId w:val="1162"/>
        </w:numPr>
        <w:pStyle w:val="Compact"/>
      </w:pPr>
      <w:r>
        <w:t xml:space="preserve">Non-maskable checks: rights-covered cells and catastrophe cells are unmasked (no bypass).</w:t>
      </w:r>
    </w:p>
    <w:p>
      <w:pPr>
        <w:numPr>
          <w:ilvl w:val="0"/>
          <w:numId w:val="1163"/>
        </w:numPr>
        <w:pStyle w:val="Compact"/>
      </w:pPr>
      <w:r>
        <w:t xml:space="preserve">If ALLOCATION used: Σα ≤ 1 for each declared effect-token.</w:t>
      </w:r>
    </w:p>
    <w:p>
      <w:pPr>
        <w:numPr>
          <w:ilvl w:val="0"/>
          <w:numId w:val="1164"/>
        </w:numPr>
        <w:pStyle w:val="Compact"/>
      </w:pPr>
      <w:r>
        <w:t xml:space="preserve">SCI level meets tier minimum (Tier 2: SCI ≥ 1; Tier 3: SCI ≥ 2).</w:t>
      </w:r>
    </w:p>
    <w:p>
      <w:pPr>
        <w:numPr>
          <w:ilvl w:val="0"/>
          <w:numId w:val="1165"/>
        </w:numPr>
        <w:pStyle w:val="Compact"/>
      </w:pPr>
      <w:r>
        <w:t xml:space="preserve">If SCI equals tier minimum: Next-Run Upgrade action present.</w:t>
      </w:r>
    </w:p>
    <w:p>
      <w:pPr>
        <w:numPr>
          <w:ilvl w:val="0"/>
          <w:numId w:val="1166"/>
        </w:numPr>
        <w:pStyle w:val="Compact"/>
      </w:pPr>
      <w:r>
        <w:t xml:space="preserve">Tier 2+ uncertainty: σ(u,d,a) declared for all active cells using Method A, B, or C.</w:t>
      </w:r>
    </w:p>
    <w:p>
      <w:pPr>
        <w:pStyle w:val="FirstParagraph"/>
      </w:pPr>
      <w:r>
        <w:t xml:space="preserve">If PCC.Uncertainty.Method = B: verify PCC.Uncertainty.CellConfidenceAggregationMethod is present and valid, and that c(u,d,a) is recorded (or recomputable) for all active cells.</w:t>
      </w:r>
    </w:p>
    <w:p>
      <w:pPr>
        <w:numPr>
          <w:ilvl w:val="0"/>
          <w:numId w:val="1167"/>
        </w:numPr>
        <w:pStyle w:val="Compact"/>
      </w:pPr>
      <w:r>
        <w:t xml:space="preserve">Tier-2 mapping triggers: if any trigger holds, instance mapping is present.</w:t>
      </w:r>
    </w:p>
    <w:p>
      <w:pPr>
        <w:pStyle w:val="FirstParagraph"/>
      </w:pPr>
      <w:r>
        <w:t xml:space="preserve">Provenance binding (Normative). Any analyst-entered parameter that can steer admissibility or decisiveness - including uncertainty method choice, scenario probabilities p_s, PLSS prominence inputs q_u, and any non-default aggregation operator - MUST have a reason code, source note or elicitation note, and a compact sensitivity note if altered values plausibly change the outcome.</w:t>
      </w:r>
    </w:p>
    <w:p>
      <w:pPr>
        <w:pStyle w:val="BodyText"/>
      </w:pPr>
      <w:r>
        <w:t xml:space="preserve">If any welfare-relevant state, rights-relevant state, or enabling condition materially affects admissibility, precautionary handling, selection, or tie-break outcome, PCC.NormativeInputRegister is present.</w:t>
      </w:r>
    </w:p>
    <w:p>
      <w:pPr>
        <w:pStyle w:val="BodyText"/>
      </w:pPr>
      <w:r>
        <w:t xml:space="preserve">For each ADMISSIBILITY_MATERIAL, PRECAUTION_MATERIAL, SELECTION_MATERIAL, or TIEBREAK_MATERIAL entry in PCC.NormativeInputRegister, the validator MUST verify the presence of NormInputID, InputType, Materiality, AffectedObjects, EvidenceBasisType, and at least one of: EvidenceReference, GovernedInterpretationBasis (not NONE), or PrecautionaryBasis (not NONE).</w:t>
      </w:r>
    </w:p>
    <w:p>
      <w:pPr>
        <w:pStyle w:val="BodyText"/>
      </w:pPr>
      <w:r>
        <w:t xml:space="preserve">If PrecautionaryBasis ≠ NONE, the validator MUST verify that the precautionary basis is explicitly stated, the affected object(s) are identified, and, for Tier 3, a ReviewerNote is present.</w:t>
      </w:r>
    </w:p>
    <w:p>
      <w:pPr>
        <w:pStyle w:val="BodyText"/>
      </w:pPr>
      <w:r>
        <w:t xml:space="preserve">If OptionSymmetryStatus = OPTION_SPECIFIC_WITH_JUSTIFICATION, the validator MUST verify that a SensitivityNote is present.</w:t>
      </w:r>
    </w:p>
    <w:p>
      <w:pPr>
        <w:pStyle w:val="BodyText"/>
      </w:pPr>
      <w:r>
        <w:t xml:space="preserve">If the register is required but missing, or if a required material entry is incomplete, the validator MUST set NORMATIVE_INPUT_PROVENANCE_MISSING and reject the run as non-conformant.</w:t>
      </w:r>
    </w:p>
    <w:p>
      <w:pPr>
        <w:numPr>
          <w:ilvl w:val="0"/>
          <w:numId w:val="1168"/>
        </w:numPr>
        <w:pStyle w:val="Compact"/>
      </w:pPr>
      <w:r>
        <w:t xml:space="preserve">Rights-covered and catastrophe cells: never bypassed by reduced-scope mode or masking.</w:t>
      </w:r>
    </w:p>
    <w:p>
      <w:pPr>
        <w:pStyle w:val="FirstParagraph"/>
      </w:pPr>
      <w:r>
        <w:t xml:space="preserve">If PLSS is declared: q_u is present for all scopes, the operator is declared, the PLSS weight vector sums to 1, and each w_u^PLSS is greater than or equal to its constitutional floor.</w:t>
      </w:r>
    </w:p>
    <w:p>
      <w:pPr>
        <w:pStyle w:val="BodyText"/>
      </w:pPr>
      <w:r>
        <w:t xml:space="preserve">If UCI is used: every component is VALUE, ESTIMATE, UNKNOWN, or NA; NA components are excluded and weights renormalized; UNKNOWN components do not receive an inserted score. If U6 is material: every U6 record includes a valid U6_View_Tag and mixed values include decomposition.</w:t>
      </w:r>
    </w:p>
    <w:p>
      <w:pPr>
        <w:pStyle w:val="BodyText"/>
      </w:pPr>
      <w:r>
        <w:t xml:space="preserve">If all q_u = 0 under PLSS: the validator MUST verify that the declared uniform residual fallback (or another declared fallback with justification) was applied.</w:t>
      </w:r>
    </w:p>
    <w:p>
      <w:pPr>
        <w:pStyle w:val="BodyText"/>
      </w:pPr>
      <w:r>
        <w:t xml:space="preserve">If an alternative PLSS operator is used: justification and a sensitivity note are present in the PCC.</w:t>
      </w:r>
    </w:p>
    <w:p>
      <w:pPr>
        <w:pStyle w:val="BodyText"/>
      </w:pPr>
      <w:r>
        <w:t xml:space="preserve">If PLSS is declared: an escalation-trigger review field is present and the PCC.PLSS block is present.</w:t>
      </w:r>
    </w:p>
    <w:p>
      <w:pPr>
        <w:pStyle w:val="BodyText"/>
      </w:pPr>
      <w:r>
        <w:t xml:space="preserve">If a gate-critical UNKNOWN_IMPACT occurs in C_r or C_cat: the validator MUST reject any attempt to resolve admissibility by phantom-instance fallback alone and MUST require the corresponding audit flag plus a declared conservative bound or rerun / downgrade / escalation disposition consistent with Section 5.7.</w:t>
      </w:r>
    </w:p>
    <w:p>
      <w:pPr>
        <w:pStyle w:val="BodyText"/>
      </w:pPr>
      <w:r>
        <w:t xml:space="preserve">If a non-maskable rights or catastrophe cell remains in RLS aggregation: the validator MUST verify floor-baseline consistency or the presence of a governed dual-baseline declaration that preserves the floor-reference value as the controlling gate-consistency baseline.</w:t>
      </w:r>
    </w:p>
    <w:p>
      <w:pPr>
        <w:pStyle w:val="BodyText"/>
      </w:pPr>
      <w:r>
        <w:t xml:space="preserve">If a dual-baseline method is declared: the validator MUST verify that the PCC contains a per-cell or per-cell-class dual-baseline declaration identifying the affected welfare cells, the welfare baseline used, the gate baseline fixed at floor-reference, and the rationale for the exception.</w:t>
      </w:r>
    </w:p>
    <w:bookmarkEnd w:id="232"/>
    <w:bookmarkStart w:id="233" w:name="X45a6262582899f208d335332a19b01b1f6e7ee7"/>
    <w:p>
      <w:pPr>
        <w:pStyle w:val="Heading2"/>
      </w:pPr>
      <w:r>
        <w:rPr>
          <w:bCs/>
          <w:b/>
        </w:rPr>
        <w:t xml:space="preserve">14.3B v12.6 Measurement-Maturity Validator Requirements (Normative)</w:t>
      </w:r>
    </w:p>
    <w:p>
      <w:pPr>
        <w:pStyle w:val="FirstParagraph"/>
      </w:pPr>
      <w:r>
        <w:t xml:space="preserve">For Tier 2-3 claim-bearing runs, a conformant validator MUST verify that the PCC includes all Appendix V measurement-maturity fields applicable to the run. At minimum, the validator MUST check: PCC.UCI_Measurement_Readiness where UCI is used or unavailable at Containment or tie-break; PCC.Kernel_Use_Posture where numerical propagation is used or explicitly omitted; PCC.HDW_Capture_Audit for Tier 3 public or institutional weighting processes; PCC.PLSS_Escalation_Register whenever PLSS is used; PCC.Deployment_Context_Profile for Tier 2-3 claim-bearing deployments; and PCC.Biological_Evaluation_Maturity where biological SGP evidence is invoked.</w:t>
      </w:r>
    </w:p>
    <w:p>
      <w:pPr>
        <w:pStyle w:val="BodyText"/>
      </w:pPr>
      <w:r>
        <w:t xml:space="preserve">The validator MUST reject or downgrade any claim that treats UCI-M1, K0/K1, BEM-1/BEM-2, unreviewed HDW, or unchallenged PLSS localism as empirically validated, capture-resistant, or operationally complete. Missing maturity fields trigger PCC_MATURITY_SURFACE_INCOMPLETE. A maturity field marked provisional may support a worked-run or architecture claim, but MUST NOT support empirical validation, ProofPack readiness, Tier 4 readiness, validated UCI, validated kernel propagation, or biological measurement-completeness claims.</w:t>
      </w:r>
    </w:p>
    <w:bookmarkEnd w:id="233"/>
    <w:bookmarkStart w:id="234" w:name="Xfc38a78a3add84a967784b7e3ed639bbc255579"/>
    <w:p>
      <w:pPr>
        <w:pStyle w:val="Heading2"/>
      </w:pPr>
      <w:r>
        <w:rPr>
          <w:bCs/>
          <w:b/>
        </w:rPr>
        <w:t xml:space="preserve">14.4 Five-Sentence Public Rationale (5SPR) (Normative)</w:t>
      </w:r>
    </w:p>
    <w:p>
      <w:pPr>
        <w:pStyle w:val="FirstParagraph"/>
      </w:pPr>
      <w:r>
        <w:t xml:space="preserve">Tier 2-3 PCC MUST include a Five-Sentence Public Rationale: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Element</w:t>
            </w:r>
          </w:p>
        </w:tc>
        <w:tc>
          <w:tcPr>
            <w:shd w:val="clear" w:color="auto" w:fill="D9EAF7"/>
            <w:vAlign w:val="center"/>
          </w:tcPr>
          <w:p>
            <w:pPr>
              <w:pStyle w:val="Compact"/>
              <w:jc w:val="left"/>
            </w:pPr>
            <w:r>
              <w:rPr>
                <w:bCs/>
                <w:b/>
                <w:color w:val="17365D"/>
              </w:rPr>
              <w:t xml:space="preserve">Question</w:t>
            </w:r>
          </w:p>
        </w:tc>
      </w:tr>
      <w:tr>
        <w:tc>
          <w:tcPr>
            <w:vAlign w:val="top"/>
          </w:tcPr>
          <w:p>
            <w:pPr>
              <w:pStyle w:val="Compact"/>
              <w:jc w:val="left"/>
            </w:pPr>
            <w:r>
              <w:t xml:space="preserve">CONTEXT</w:t>
            </w:r>
          </w:p>
        </w:tc>
        <w:tc>
          <w:tcPr>
            <w:vAlign w:val="top"/>
          </w:tcPr>
          <w:p>
            <w:pPr>
              <w:pStyle w:val="Compact"/>
              <w:jc w:val="left"/>
            </w:pPr>
            <w:r>
              <w:t xml:space="preserve">What decision was made and why now?</w:t>
            </w:r>
          </w:p>
        </w:tc>
      </w:tr>
      <w:tr>
        <w:tc>
          <w:tcPr>
            <w:shd w:val="clear" w:color="auto" w:fill="F7FBFE"/>
            <w:vAlign w:val="top"/>
          </w:tcPr>
          <w:p>
            <w:pPr>
              <w:pStyle w:val="Compact"/>
              <w:jc w:val="left"/>
            </w:pPr>
            <w:r>
              <w:t xml:space="preserve">OPTIONS</w:t>
            </w:r>
          </w:p>
        </w:tc>
        <w:tc>
          <w:tcPr>
            <w:shd w:val="clear" w:color="auto" w:fill="F7FBFE"/>
            <w:vAlign w:val="top"/>
          </w:tcPr>
          <w:p>
            <w:pPr>
              <w:pStyle w:val="Compact"/>
              <w:jc w:val="left"/>
            </w:pPr>
            <w:r>
              <w:t xml:space="preserve">What options were considered?</w:t>
            </w:r>
          </w:p>
        </w:tc>
      </w:tr>
      <w:tr>
        <w:tc>
          <w:tcPr>
            <w:vAlign w:val="top"/>
          </w:tcPr>
          <w:p>
            <w:pPr>
              <w:pStyle w:val="Compact"/>
              <w:jc w:val="left"/>
            </w:pPr>
            <w:r>
              <w:t xml:space="preserve">CONSTRAINTS</w:t>
            </w:r>
          </w:p>
        </w:tc>
        <w:tc>
          <w:tcPr>
            <w:vAlign w:val="top"/>
          </w:tcPr>
          <w:p>
            <w:pPr>
              <w:pStyle w:val="Compact"/>
              <w:jc w:val="left"/>
            </w:pPr>
            <w:r>
              <w:t xml:space="preserve">What was eliminated by NCRC, TRC, and/or Containment (and why)?</w:t>
            </w:r>
          </w:p>
        </w:tc>
      </w:tr>
      <w:tr>
        <w:tc>
          <w:tcPr>
            <w:shd w:val="clear" w:color="auto" w:fill="F7FBFE"/>
            <w:vAlign w:val="top"/>
          </w:tcPr>
          <w:p>
            <w:pPr>
              <w:pStyle w:val="Compact"/>
              <w:jc w:val="left"/>
            </w:pPr>
            <w:r>
              <w:t xml:space="preserve">SELECTION</w:t>
            </w:r>
          </w:p>
        </w:tc>
        <w:tc>
          <w:tcPr>
            <w:shd w:val="clear" w:color="auto" w:fill="F7FBFE"/>
            <w:vAlign w:val="top"/>
          </w:tcPr>
          <w:p>
            <w:pPr>
              <w:pStyle w:val="Compact"/>
              <w:jc w:val="left"/>
            </w:pPr>
            <w:r>
              <w:t xml:space="preserve">Why the chosen option won among selectable options?</w:t>
            </w:r>
          </w:p>
        </w:tc>
      </w:tr>
      <w:tr>
        <w:tc>
          <w:tcPr>
            <w:vAlign w:val="top"/>
          </w:tcPr>
          <w:p>
            <w:pPr>
              <w:pStyle w:val="Compact"/>
              <w:jc w:val="left"/>
            </w:pPr>
            <w:r>
              <w:t xml:space="preserve">MONITORING</w:t>
            </w:r>
          </w:p>
        </w:tc>
        <w:tc>
          <w:tcPr>
            <w:vAlign w:val="top"/>
          </w:tcPr>
          <w:p>
            <w:pPr>
              <w:pStyle w:val="Compact"/>
              <w:jc w:val="left"/>
            </w:pPr>
            <w:r>
              <w:t xml:space="preserve">What follow-up will be tracked and when will NCAR Reflect occur?</w:t>
            </w:r>
          </w:p>
        </w:tc>
      </w:tr>
    </w:tbl>
    <w:bookmarkEnd w:id="234"/>
    <w:bookmarkStart w:id="235" w:name="Xe1b65910f4f8e1e4e523508171a21b1a2cfc23d"/>
    <w:p>
      <w:pPr>
        <w:pStyle w:val="Heading2"/>
      </w:pPr>
      <w:r>
        <w:rPr>
          <w:bCs/>
          <w:b/>
        </w:rPr>
        <w:t xml:space="preserve">14.5 Tier-4 Design Target Boundary Statement (Normative)</w:t>
      </w:r>
    </w:p>
    <w:p>
      <w:pPr>
        <w:pStyle w:val="FirstParagraph"/>
      </w:pPr>
      <w:r>
        <w:t xml:space="preserve">Tier 4 compliance claims are PROHIBITED in the current v12.6 release. Tier-4 content is design target only (Appendix I). No determinism, hash-bound replay, or ProofPack claims may be asserted until ProofPack is publicly replayable and independently verified.</w:t>
      </w:r>
    </w:p>
    <w:bookmarkEnd w:id="235"/>
    <w:bookmarkStart w:id="236" w:name="X9f5c12d611c34fbfe06ff798d101f8a9a8225e0"/>
    <w:p>
      <w:pPr>
        <w:pStyle w:val="Heading2"/>
      </w:pPr>
      <w:r>
        <w:rPr>
          <w:bCs/>
          <w:b/>
        </w:rPr>
        <w:t xml:space="preserve">14.6 Socio-Technical Embedding: Legitimacy, Contestation, and Institutional Use (Informative)</w:t>
      </w:r>
    </w:p>
    <w:p>
      <w:pPr>
        <w:pStyle w:val="FirstParagraph"/>
      </w:pPr>
      <w:r>
        <w:t xml:space="preserve">RippleLogic is designed for socio-technical governance settings where values are plural, power is unevenly distributed, and institutional incentives can distort decision quality. The framework therefore treats legitimacy as a procedural property rather than an assumed outcome.</w:t>
      </w:r>
    </w:p>
    <w:p>
      <w:pPr>
        <w:pStyle w:val="BodyText"/>
      </w:pPr>
      <w:r>
        <w:t xml:space="preserve">Hybrid Democratic Weighting governs welfare weights through structured stakeholder participation with anti-capture safeguards, while constitutional rights and tail-risk constraints limit what can be traded away even when stakeholders disagree.</w:t>
      </w:r>
    </w:p>
    <w:p>
      <w:pPr>
        <w:pStyle w:val="BodyText"/>
      </w:pPr>
      <w:r>
        <w:t xml:space="preserve">The Provenance and Compliance Certificate supports contestability: it makes normative parameters, scenario assumptions, subgroup handling, and constraint-gate outcomes explicit so that affected parties can challenge decisions with evidence rather than rhetoric.</w:t>
      </w:r>
    </w:p>
    <w:p>
      <w:pPr>
        <w:pStyle w:val="BodyText"/>
      </w:pPr>
      <w:r>
        <w:t xml:space="preserve">Institutional embedding is expected to vary by context, but at minimum high-stakes deployments SHOULD include:</w:t>
      </w:r>
    </w:p>
    <w:p>
      <w:pPr>
        <w:pStyle w:val="BodyText"/>
      </w:pPr>
      <w:r>
        <w:t xml:space="preserve">- Independent review capacity (at least one reviewer with no reporting relationship to the decision owner)</w:t>
      </w:r>
    </w:p>
    <w:p>
      <w:pPr>
        <w:pStyle w:val="BodyText"/>
      </w:pPr>
      <w:r>
        <w:t xml:space="preserve">- Audit sampling (for example, random audit lotteries selecting ≥5% of Tier 3 PCCs for independent review)</w:t>
      </w:r>
    </w:p>
    <w:p>
      <w:pPr>
        <w:pStyle w:val="BodyText"/>
      </w:pPr>
      <w:r>
        <w:t xml:space="preserve">- An escalation pathway when rights, tail-risk, or containment conditions are near-binding or sensitive under perturbations</w:t>
      </w:r>
    </w:p>
    <w:p>
      <w:pPr>
        <w:pStyle w:val="BodyText"/>
      </w:pPr>
      <w:r>
        <w:t xml:space="preserve">- Designated channels through which affected stakeholders can access the PCC (or the 5SPR at minimum) and submit evidence-based challenges</w:t>
      </w:r>
    </w:p>
    <w:p>
      <w:pPr>
        <w:pStyle w:val="BodyText"/>
      </w:pPr>
      <w:r>
        <w:t xml:space="preserve">- A governance body or designated authority responsible for adjudicating challenges, with documented procedures and timelines</w:t>
      </w:r>
    </w:p>
    <w:p>
      <w:pPr>
        <w:pStyle w:val="BodyText"/>
      </w:pPr>
      <w:r>
        <w:t xml:space="preserve">RippleLogic does not remove politics; it makes the structure of political and ethical disagreement legible and auditable. The framework’s value proposition is not that it eliminates conflict but that it converts implicit, opaque tradeoffs into explicit, traceable, and challengeable ones.</w:t>
      </w:r>
    </w:p>
    <w:p>
      <w:pPr>
        <w:pStyle w:val="BodyText"/>
      </w:pPr>
      <w:r>
        <w:t xml:space="preserve">Contestation architecture. The 5SPR (Five-Sentence Public Rationale) serves as the minimum contestability interface: any affected party should be able to read the 5SPR and understand what was decided, what was excluded and why, and what follow-up is planned. For Tier 3 decisions, the full PCC provides the detailed evidence base for substantive challenge. Challenges SHOULD be processed through a documented review procedure with:</w:t>
      </w:r>
    </w:p>
    <w:p>
      <w:pPr>
        <w:pStyle w:val="BodyText"/>
      </w:pPr>
      <w:r>
        <w:t xml:space="preserve">- A defined response timeline (recommended: ≤30 days for initial response)</w:t>
      </w:r>
    </w:p>
    <w:p>
      <w:pPr>
        <w:pStyle w:val="BodyText"/>
      </w:pPr>
      <w:r>
        <w:t xml:space="preserve">- Documented outcomes (challenge upheld, rejected with reasoning, or additional evidence requested)</w:t>
      </w:r>
    </w:p>
    <w:p>
      <w:pPr>
        <w:pStyle w:val="BodyText"/>
      </w:pPr>
      <w:r>
        <w:t xml:space="preserve">- Version increment if the challenge results in parameter changes</w:t>
      </w:r>
    </w:p>
    <w:p>
      <w:pPr>
        <w:pStyle w:val="BodyText"/>
      </w:pPr>
      <w:r>
        <w:t xml:space="preserve">- Preservation of the original PCC alongside the revised PCC</w:t>
      </w:r>
    </w:p>
    <w:p>
      <w:pPr>
        <w:pStyle w:val="BodyText"/>
      </w:pPr>
      <w:r>
        <w:t xml:space="preserve">Power asymmetry awareness. In contexts where decision owners have significantly more power than affected stakeholders, the framework’s structural protections (NCRC, worst-off subgroup semantics, mandatory tail categories, independent challenger requirements) serve as institutional counterweights. However, these protections are only effective if the institutional context supports their enforcement. Deployments in contexts with weak rule of law, captured institutions, or suppressed civil society SHOULD be flagged for enhanced scrutiny and may require external oversight partnerships.</w:t>
      </w:r>
    </w:p>
    <w:bookmarkEnd w:id="236"/>
    <w:bookmarkStart w:id="240" w:name="X6013ff3c10a5e8a63fdd45fc545a4344e025be6"/>
    <w:p>
      <w:pPr>
        <w:pStyle w:val="Heading2"/>
      </w:pPr>
      <w:r>
        <w:rPr>
          <w:bCs/>
          <w:b/>
        </w:rPr>
        <w:t xml:space="preserve">14.7 Stewardship Layer (Normative): Applicability and Binding Semantics</w:t>
      </w:r>
    </w:p>
    <w:bookmarkStart w:id="237" w:name="Xc1d90821c129bd2fadcb13c27725fbf81934ae8"/>
    <w:p>
      <w:pPr>
        <w:pStyle w:val="Heading3"/>
      </w:pPr>
      <w:r>
        <w:rPr>
          <w:bCs/>
          <w:b/>
        </w:rPr>
        <w:t xml:space="preserve">14.7.1 Applicability Predicate (Normative)</w:t>
      </w:r>
    </w:p>
    <w:p>
      <w:pPr>
        <w:pStyle w:val="FirstParagraph"/>
      </w:pPr>
      <w:r>
        <w:t xml:space="preserve">RippleLogic Stewardship requirements apply only when a run is performed in a stewardship-relevant role (power asymmetry, delegated influence, public/institutional impact, or execution capability). Define:</w:t>
      </w:r>
    </w:p>
    <w:p>
      <w:pPr>
        <w:pStyle w:val="BodyText"/>
      </w:pPr>
      <w:r>
        <w:t xml:space="preserve">Stw_req(run) in {0,1}, where Stw_req(run) = 1 if and only if any of S1 through S4 holds. S5 is a modifier: it constrains provenance and influence controls when present, but S5 alone does not trigger Stw_req(run).</w:t>
      </w:r>
    </w:p>
    <w:p>
      <w:pPr>
        <w:pStyle w:val="BodyText"/>
      </w:pPr>
      <w:r>
        <w:t xml:space="preserve">The Stw_req(run) predicate is defined in Section 14.7.1 and MUST NOT be redefined in downstream specifications; downstream documents SHALL reference this section.</w:t>
      </w:r>
    </w:p>
    <w:p>
      <w:pPr>
        <w:numPr>
          <w:ilvl w:val="0"/>
          <w:numId w:val="1169"/>
        </w:numPr>
        <w:pStyle w:val="Compact"/>
      </w:pPr>
      <w:r>
        <w:t xml:space="preserve">S1 (Delegated Influence): An assisting system is asked to recommend, rank, or narrow option space for a decision owner, such that the decision owner may reasonably rely on it.</w:t>
      </w:r>
    </w:p>
    <w:p>
      <w:pPr>
        <w:numPr>
          <w:ilvl w:val="0"/>
          <w:numId w:val="1170"/>
        </w:numPr>
        <w:pStyle w:val="Compact"/>
      </w:pPr>
      <w:r>
        <w:t xml:space="preserve">S2 (Public/Institutional Effect): Outputs are intended for public posting or institutional/policy use beyond the private decision owner.</w:t>
      </w:r>
    </w:p>
    <w:p>
      <w:pPr>
        <w:numPr>
          <w:ilvl w:val="0"/>
          <w:numId w:val="1171"/>
        </w:numPr>
        <w:pStyle w:val="Compact"/>
      </w:pPr>
      <w:r>
        <w:t xml:space="preserve">S3 (Execution Capability): The assisting system can execute actions (write/post/act) or trigger downstream actions beyond drafting.</w:t>
      </w:r>
    </w:p>
    <w:p>
      <w:pPr>
        <w:numPr>
          <w:ilvl w:val="0"/>
          <w:numId w:val="1172"/>
        </w:numPr>
        <w:pStyle w:val="Compact"/>
      </w:pPr>
      <w:r>
        <w:t xml:space="preserve">S4 (High-Stakes Rights Exposure): The assisted decision materially affects rights, safety, liberty, livelihood, or access to essential services, or produces irreversible/high-impact outcomes for protected stakeholders.</w:t>
      </w:r>
    </w:p>
    <w:p>
      <w:pPr>
        <w:pStyle w:val="FirstParagraph"/>
      </w:pPr>
      <w:r>
        <w:t xml:space="preserve">S5 (Authenticated Operator Channel; modifier): The system has an authenticated operator channel capable of altering configuration, permissions, or deployment posture; when S5 co-occurs with any of S1 through S4, additional provenance and influence disclosure requirements apply per Appendix N.</w:t>
      </w:r>
    </w:p>
    <w:p>
      <w:pPr>
        <w:pStyle w:val="BodyText"/>
      </w:pPr>
      <w:r>
        <w:t xml:space="preserve">Interpretation notes (Normative).</w:t>
      </w:r>
    </w:p>
    <w:p>
      <w:pPr>
        <w:pStyle w:val="BodyText"/>
      </w:pPr>
      <w:r>
        <w:t xml:space="preserve">S1 scope limiter: Delegated influence applies when the decision owner may reasonably rely on the system’s output to materially shape a consequential decision (including meaningful option-narrowing or ranking that guides action). Purely informational or educational responses where independent judgment and verification capacity are preserved do not by themselves trigger S1.</w:t>
      </w:r>
    </w:p>
    <w:p>
      <w:pPr>
        <w:pStyle w:val="BodyText"/>
      </w:pPr>
      <w:r>
        <w:t xml:space="preserve">S5 scope limiter (no loophole): S5 alone, absent any of S1 through S4, does not trigger Stewardship instrumentation. When S5 co-occurs with any of S1 through S4, Stw_req(run)=1 is triggered by the co-occurring condition(s) (S1–S4), not by S5.</w:t>
      </w:r>
    </w:p>
    <w:p>
      <w:pPr>
        <w:pStyle w:val="BodyText"/>
      </w:pPr>
      <w:r>
        <w:t xml:space="preserve">If Stw_req(run) = 0, Stewardship instrumentation is OPTIONAL and Stewardship audit flags do not apply. If Stw_req(run) = 1, Stewardship instrumentation is REQUIRED per Appendix N.</w:t>
      </w:r>
    </w:p>
    <w:bookmarkEnd w:id="237"/>
    <w:bookmarkStart w:id="238" w:name="X3f54c4329cada8bde88a9d0a39bf163c044567a"/>
    <w:p>
      <w:pPr>
        <w:pStyle w:val="Heading3"/>
      </w:pPr>
      <w:r>
        <w:rPr>
          <w:bCs/>
          <w:b/>
        </w:rPr>
        <w:t xml:space="preserve">14.7.2 Stewardship vs Cascade (Normative)</w:t>
      </w:r>
    </w:p>
    <w:p>
      <w:pPr>
        <w:pStyle w:val="FirstParagraph"/>
      </w:pPr>
      <w:r>
        <w:t xml:space="preserve">Stewardship does not modify the RippleLogic cascade definitions for NCRC, TRC, CSV, RLS, or UCI/HOI. Stewardship governs assistance integrity (boundary stability, authorship preservation, influence transparency). When Stewardship is required (Stw_req = 1), failure conditions are enforced via audit flags and PCC validity rules defined in Appendix N.</w:t>
      </w:r>
    </w:p>
    <w:bookmarkEnd w:id="238"/>
    <w:bookmarkStart w:id="239" w:name="X990f0c111c95d9bb9155cb43d311799b3f39802"/>
    <w:p>
      <w:pPr>
        <w:pStyle w:val="Heading3"/>
      </w:pPr>
      <w:r>
        <w:rPr>
          <w:bCs/>
          <w:b/>
        </w:rPr>
        <w:t xml:space="preserve">14.7.3 Flag Semantics Pointer (Normative)</w:t>
      </w:r>
    </w:p>
    <w:p>
      <w:pPr>
        <w:pStyle w:val="FirstParagraph"/>
      </w:pPr>
      <w:r>
        <w:t xml:space="preserve">Stewardship flags follow the canonical audit-flag severity semantics:</w:t>
      </w:r>
    </w:p>
    <w:p>
      <w:pPr>
        <w:numPr>
          <w:ilvl w:val="0"/>
          <w:numId w:val="1173"/>
        </w:numPr>
        <w:pStyle w:val="Compact"/>
      </w:pPr>
      <w:r>
        <w:t xml:space="preserve">INVALID flags invalidate the PCC and require rerun/remediation.</w:t>
      </w:r>
    </w:p>
    <w:p>
      <w:pPr>
        <w:numPr>
          <w:ilvl w:val="0"/>
          <w:numId w:val="1174"/>
        </w:numPr>
        <w:pStyle w:val="Compact"/>
      </w:pPr>
      <w:r>
        <w:t xml:space="preserve">REVIEW flags require mitigation and monitoring but do not by themselves invalidate the PCC.</w:t>
      </w:r>
    </w:p>
    <w:p>
      <w:pPr>
        <w:pStyle w:val="FirstParagraph"/>
      </w:pPr>
      <w:r>
        <w:t xml:space="preserve">Stewardship audit flags are defined in Appendix N and apply only when Stw_req(run) = 1.</w:t>
      </w:r>
    </w:p>
    <w:bookmarkEnd w:id="239"/>
    <w:bookmarkEnd w:id="240"/>
    <w:bookmarkStart w:id="241" w:name="X11c230114089fb0790d215902f8cbcbb7a4ef6d"/>
    <w:p>
      <w:pPr>
        <w:pStyle w:val="Heading2"/>
      </w:pPr>
      <w:r>
        <w:rPr>
          <w:bCs/>
          <w:b/>
        </w:rPr>
        <w:t xml:space="preserve">14.8 Computational Closure Declaration (Normative)</w:t>
      </w:r>
    </w:p>
    <w:p>
      <w:pPr>
        <w:pStyle w:val="FirstParagraph"/>
      </w:pPr>
      <w:r>
        <w:t xml:space="preserve">Purpose. Every RippleLogic run SHALL declare the boundary of computation so that claims do not silently extend beyond the scopes, horizons, evidence classes, or propagation modes actually evaluated.</w:t>
      </w:r>
    </w:p>
    <w:p>
      <w:pPr>
        <w:pStyle w:val="BodyText"/>
      </w:pPr>
      <w:r>
        <w:t xml:space="preserve">A PCC.ComputationalClosure object SHALL include at minimum:</w:t>
      </w:r>
    </w:p>
    <w:p>
      <w:pPr>
        <w:pStyle w:val="BodyText"/>
      </w:pPr>
      <w:r>
        <w:t xml:space="preserve">- scopes_evaluated: Union Scopes included in the run;</w:t>
      </w:r>
    </w:p>
    <w:p>
      <w:pPr>
        <w:pStyle w:val="BodyText"/>
      </w:pPr>
      <w:r>
        <w:t xml:space="preserve">- scopes_guardrail_only: Union Scopes protected through floors, NCRC, TRC, or CSV but not materially weighted in residual welfare ranking;</w:t>
      </w:r>
    </w:p>
    <w:p>
      <w:pPr>
        <w:pStyle w:val="BodyText"/>
      </w:pPr>
      <w:r>
        <w:t xml:space="preserve">- scopes_outside_computation: scopes not evaluated beyond humility-horizon recognition;</w:t>
      </w:r>
    </w:p>
    <w:p>
      <w:pPr>
        <w:pStyle w:val="BodyText"/>
      </w:pPr>
      <w:r>
        <w:t xml:space="preserve">- time_horizon_evaluated: declared decision horizon;</w:t>
      </w:r>
    </w:p>
    <w:p>
      <w:pPr>
        <w:pStyle w:val="BodyText"/>
      </w:pPr>
      <w:r>
        <w:t xml:space="preserve">- time_horizon_outside_computation: time horizons acknowledged but not modeled;</w:t>
      </w:r>
    </w:p>
    <w:p>
      <w:pPr>
        <w:pStyle w:val="BodyText"/>
      </w:pPr>
      <w:r>
        <w:t xml:space="preserve">- kernel_mode: NONE, QUICK, or declared domain-kernel-id;</w:t>
      </w:r>
    </w:p>
    <w:p>
      <w:pPr>
        <w:pStyle w:val="BodyText"/>
      </w:pPr>
      <w:r>
        <w:t xml:space="preserve">- propagation_edges_included: declared kernel edges or NONE;</w:t>
      </w:r>
    </w:p>
    <w:p>
      <w:pPr>
        <w:pStyle w:val="BodyText"/>
      </w:pPr>
      <w:r>
        <w:t xml:space="preserve">- propagation_edges_excluded: known plausible edges excluded from computation;</w:t>
      </w:r>
    </w:p>
    <w:p>
      <w:pPr>
        <w:pStyle w:val="BodyText"/>
      </w:pPr>
      <w:r>
        <w:t xml:space="preserve">- externalities_excluded: known plausible externalities excluded, with reason codes;</w:t>
      </w:r>
    </w:p>
    <w:p>
      <w:pPr>
        <w:pStyle w:val="BodyText"/>
      </w:pPr>
      <w:r>
        <w:t xml:space="preserve">- claim_boundary: exact wording of what the run may and may not claim.</w:t>
      </w:r>
    </w:p>
    <w:p>
      <w:pPr>
        <w:pStyle w:val="BodyText"/>
      </w:pPr>
      <w:r>
        <w:t xml:space="preserve">A run SHALL NOT claim coverage over scopes, horizons, externalities, or propagation pathways outside its ComputationalClosure boundary. Any public-facing summary SHALL preserve this claim boundary.</w:t>
      </w:r>
    </w:p>
    <w:bookmarkEnd w:id="241"/>
    <w:bookmarkEnd w:id="242"/>
    <w:bookmarkStart w:id="251" w:name="X2d02abbacb84bdbbc9c6e3c37a9b0d9bdba7ff2"/>
    <w:p>
      <w:pPr>
        <w:pStyle w:val="Heading1"/>
      </w:pPr>
      <w:bookmarkStart w:id="780" w:name="mg_toc_016"/>
      <w:r>
        <w:rPr>
          <w:bCs/>
          <w:b/>
        </w:rPr>
        <w:t xml:space="preserve">SECTION 15: IMPLEMENTATION GUIDANCE AND TIERS (NORMATIVE)</w:t>
      </w:r>
      <w:bookmarkEnd w:id="780"/>
    </w:p>
    <w:bookmarkStart w:id="243" w:name="X0be46f781636ed094a465aaa778b5f9a03c28b3"/>
    <w:p>
      <w:pPr>
        <w:pStyle w:val="Heading2"/>
      </w:pPr>
      <w:r>
        <w:rPr>
          <w:bCs/>
          <w:b/>
        </w:rPr>
        <w:t xml:space="preserve">15.0 Purpose (Normative)</w:t>
      </w:r>
    </w:p>
    <w:p>
      <w:pPr>
        <w:pStyle w:val="FirstParagraph"/>
      </w:pPr>
      <w:r>
        <w:t xml:space="preserve">This section specifies minimum compliance requirements by tier and provides operational guidance for applying RippleLogic in real decisions. Tiers define minimum obligations; deployments may exceed them. The framework is designed to improve over time via NCAR learning and governed updates.</w:t>
      </w:r>
    </w:p>
    <w:bookmarkEnd w:id="243"/>
    <w:bookmarkStart w:id="244" w:name="Xb97f555a75d89caa294982154cd03a4571fab85"/>
    <w:p>
      <w:pPr>
        <w:pStyle w:val="Heading2"/>
      </w:pPr>
      <w:r>
        <w:rPr>
          <w:bCs/>
          <w:b/>
        </w:rPr>
        <w:t xml:space="preserve">15.1 Tier Requirements Matrix (Authoritative; Normative)</w:t>
      </w:r>
    </w:p>
    <w:p>
      <w:pPr>
        <w:pStyle w:val="FirstParagraph"/>
      </w:pPr>
      <w:r>
        <w:t xml:space="preserve">Normative authority: This matrix is the single authoritative statement of tier compliance. If any other sentence in this document conflicts with this matrix, this matrix governs.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Capability / Requirement</w:t>
            </w:r>
          </w:p>
        </w:tc>
        <w:tc>
          <w:tcPr>
            <w:shd w:val="clear" w:color="auto" w:fill="D9EAF7"/>
            <w:vAlign w:val="center"/>
          </w:tcPr>
          <w:p>
            <w:pPr>
              <w:pStyle w:val="Compact"/>
              <w:jc w:val="left"/>
            </w:pPr>
            <w:r>
              <w:rPr>
                <w:bCs/>
                <w:b/>
                <w:color w:val="17365D"/>
              </w:rPr>
              <w:t xml:space="preserve">Tier 1 (Heuristic)</w:t>
            </w:r>
          </w:p>
        </w:tc>
        <w:tc>
          <w:tcPr>
            <w:shd w:val="clear" w:color="auto" w:fill="D9EAF7"/>
            <w:vAlign w:val="center"/>
          </w:tcPr>
          <w:p>
            <w:pPr>
              <w:pStyle w:val="Compact"/>
              <w:jc w:val="left"/>
            </w:pPr>
            <w:r>
              <w:rPr>
                <w:bCs/>
                <w:b/>
                <w:color w:val="17365D"/>
              </w:rPr>
              <w:t xml:space="preserve">Tier 2 (Core, Strict TRC)</w:t>
            </w:r>
          </w:p>
        </w:tc>
        <w:tc>
          <w:tcPr>
            <w:shd w:val="clear" w:color="auto" w:fill="D9EAF7"/>
            <w:vAlign w:val="center"/>
          </w:tcPr>
          <w:p>
            <w:pPr>
              <w:pStyle w:val="Compact"/>
              <w:jc w:val="left"/>
            </w:pPr>
            <w:r>
              <w:rPr>
                <w:bCs/>
                <w:b/>
                <w:color w:val="17365D"/>
              </w:rPr>
              <w:t xml:space="preserve">Tier 3 (Auditable)</w:t>
            </w:r>
          </w:p>
        </w:tc>
      </w:tr>
      <w:tr>
        <w:tc>
          <w:tcPr>
            <w:vAlign w:val="top"/>
          </w:tcPr>
          <w:p>
            <w:pPr>
              <w:pStyle w:val="Compact"/>
              <w:jc w:val="left"/>
            </w:pPr>
            <w:r>
              <w:t xml:space="preserve">Option set</w:t>
            </w:r>
          </w:p>
        </w:tc>
        <w:tc>
          <w:tcPr>
            <w:vAlign w:val="top"/>
          </w:tcPr>
          <w:p>
            <w:pPr>
              <w:pStyle w:val="Compact"/>
              <w:jc w:val="left"/>
            </w:pPr>
            <w:r>
              <w:t xml:space="preserve">MUST list ≥2 options</w:t>
            </w:r>
          </w:p>
        </w:tc>
        <w:tc>
          <w:tcPr>
            <w:vAlign w:val="top"/>
          </w:tcPr>
          <w:p>
            <w:pPr>
              <w:pStyle w:val="Compact"/>
              <w:jc w:val="left"/>
            </w:pPr>
            <w:r>
              <w:t xml:space="preserve">REQUIRED</w:t>
            </w:r>
          </w:p>
        </w:tc>
        <w:tc>
          <w:tcPr>
            <w:vAlign w:val="top"/>
          </w:tcPr>
          <w:p>
            <w:pPr>
              <w:pStyle w:val="Compact"/>
              <w:jc w:val="left"/>
            </w:pPr>
            <w:r>
              <w:t xml:space="preserve">REQUIRED</w:t>
            </w:r>
          </w:p>
        </w:tc>
      </w:tr>
      <w:tr>
        <w:tc>
          <w:tcPr>
            <w:shd w:val="clear" w:color="auto" w:fill="F7FBFE"/>
            <w:vAlign w:val="top"/>
          </w:tcPr>
          <w:p>
            <w:pPr>
              <w:pStyle w:val="Compact"/>
              <w:jc w:val="left"/>
            </w:pPr>
            <w:r>
              <w:t xml:space="preserve">Baseline declaration</w:t>
            </w:r>
          </w:p>
        </w:tc>
        <w:tc>
          <w:tcPr>
            <w:shd w:val="clear" w:color="auto" w:fill="F7FBFE"/>
            <w:vAlign w:val="top"/>
          </w:tcPr>
          <w:p>
            <w:pPr>
              <w:pStyle w:val="Compact"/>
              <w:jc w:val="left"/>
            </w:pPr>
            <w:r>
              <w:t xml:space="preserve">REQUIRED</w:t>
            </w:r>
          </w:p>
        </w:tc>
        <w:tc>
          <w:tcPr>
            <w:shd w:val="clear" w:color="auto" w:fill="F7FBFE"/>
            <w:vAlign w:val="top"/>
          </w:tcPr>
          <w:p>
            <w:pPr>
              <w:pStyle w:val="Compact"/>
              <w:jc w:val="left"/>
            </w:pPr>
            <w:r>
              <w:t xml:space="preserve">REQUIRED</w:t>
            </w:r>
          </w:p>
        </w:tc>
        <w:tc>
          <w:tcPr>
            <w:shd w:val="clear" w:color="auto" w:fill="F7FBFE"/>
            <w:vAlign w:val="top"/>
          </w:tcPr>
          <w:p>
            <w:pPr>
              <w:pStyle w:val="Compact"/>
              <w:jc w:val="left"/>
            </w:pPr>
            <w:r>
              <w:t xml:space="preserve">REQUIRED</w:t>
            </w:r>
          </w:p>
        </w:tc>
      </w:tr>
      <w:tr>
        <w:tc>
          <w:tcPr>
            <w:vAlign w:val="top"/>
          </w:tcPr>
          <w:p>
            <w:pPr>
              <w:pStyle w:val="Compact"/>
              <w:jc w:val="left"/>
            </w:pPr>
            <w:r>
              <w:t xml:space="preserve">Impact scale and Baseline-Zero</w:t>
            </w:r>
          </w:p>
        </w:tc>
        <w:tc>
          <w:tcPr>
            <w:vAlign w:val="top"/>
          </w:tcPr>
          <w:p>
            <w:pPr>
              <w:pStyle w:val="Compact"/>
              <w:jc w:val="left"/>
            </w:pPr>
            <w:r>
              <w:t xml:space="preserve">REQUIRED (qualitative allowed)</w:t>
            </w:r>
          </w:p>
        </w:tc>
        <w:tc>
          <w:tcPr>
            <w:vAlign w:val="top"/>
          </w:tcPr>
          <w:p>
            <w:pPr>
              <w:pStyle w:val="Compact"/>
              <w:jc w:val="left"/>
            </w:pPr>
            <w:r>
              <w:t xml:space="preserve">REQUIRED (quantitative recommended)</w:t>
            </w:r>
          </w:p>
        </w:tc>
        <w:tc>
          <w:tcPr>
            <w:vAlign w:val="top"/>
          </w:tcPr>
          <w:p>
            <w:pPr>
              <w:pStyle w:val="Compact"/>
              <w:jc w:val="left"/>
            </w:pPr>
            <w:r>
              <w:t xml:space="preserve">REQUIRED (quantitative plus auditable)</w:t>
            </w:r>
          </w:p>
        </w:tc>
      </w:tr>
      <w:tr>
        <w:tc>
          <w:tcPr>
            <w:shd w:val="clear" w:color="auto" w:fill="F7FBFE"/>
            <w:vAlign w:val="top"/>
          </w:tcPr>
          <w:p>
            <w:pPr>
              <w:pStyle w:val="Compact"/>
              <w:jc w:val="left"/>
            </w:pPr>
            <w:r>
              <w:t xml:space="preserve">NCRC rights check</w:t>
            </w:r>
          </w:p>
        </w:tc>
        <w:tc>
          <w:tcPr>
            <w:shd w:val="clear" w:color="auto" w:fill="F7FBFE"/>
            <w:vAlign w:val="top"/>
          </w:tcPr>
          <w:p>
            <w:pPr>
              <w:pStyle w:val="Compact"/>
              <w:jc w:val="left"/>
            </w:pPr>
            <w:r>
              <w:t xml:space="preserve">REQUIRED (heuristic minimum)</w:t>
            </w:r>
          </w:p>
        </w:tc>
        <w:tc>
          <w:tcPr>
            <w:shd w:val="clear" w:color="auto" w:fill="F7FBFE"/>
            <w:vAlign w:val="top"/>
          </w:tcPr>
          <w:p>
            <w:pPr>
              <w:pStyle w:val="Compact"/>
              <w:jc w:val="left"/>
            </w:pPr>
            <w:r>
              <w:t xml:space="preserve">REQUIRED</w:t>
            </w:r>
          </w:p>
        </w:tc>
        <w:tc>
          <w:tcPr>
            <w:shd w:val="clear" w:color="auto" w:fill="F7FBFE"/>
            <w:vAlign w:val="top"/>
          </w:tcPr>
          <w:p>
            <w:pPr>
              <w:pStyle w:val="Compact"/>
              <w:jc w:val="left"/>
            </w:pPr>
            <w:r>
              <w:t xml:space="preserve">REQUIRED</w:t>
            </w:r>
          </w:p>
        </w:tc>
      </w:tr>
      <w:tr>
        <w:tc>
          <w:tcPr>
            <w:vAlign w:val="top"/>
          </w:tcPr>
          <w:p>
            <w:pPr>
              <w:pStyle w:val="Compact"/>
              <w:jc w:val="left"/>
            </w:pPr>
            <w:r>
              <w:t xml:space="preserve">Worst-off subgroup for rights</w:t>
            </w:r>
          </w:p>
        </w:tc>
        <w:tc>
          <w:tcPr>
            <w:vAlign w:val="top"/>
          </w:tcPr>
          <w:p>
            <w:pPr>
              <w:pStyle w:val="Compact"/>
              <w:jc w:val="left"/>
            </w:pPr>
            <w:r>
              <w:t xml:space="preserve">Recommended</w:t>
            </w:r>
          </w:p>
        </w:tc>
        <w:tc>
          <w:tcPr>
            <w:vAlign w:val="top"/>
          </w:tcPr>
          <w:p>
            <w:pPr>
              <w:pStyle w:val="Compact"/>
              <w:jc w:val="left"/>
            </w:pPr>
            <w:r>
              <w:t xml:space="preserve">REQUIRED for directly affected rights cells</w:t>
            </w:r>
          </w:p>
        </w:tc>
        <w:tc>
          <w:tcPr>
            <w:vAlign w:val="top"/>
          </w:tcPr>
          <w:p>
            <w:pPr>
              <w:pStyle w:val="Compact"/>
              <w:jc w:val="left"/>
            </w:pPr>
            <w:r>
              <w:t xml:space="preserve">REQUIRED for rights-covered cells</w:t>
            </w:r>
          </w:p>
        </w:tc>
      </w:tr>
      <w:tr>
        <w:tc>
          <w:tcPr>
            <w:shd w:val="clear" w:color="auto" w:fill="F7FBFE"/>
            <w:vAlign w:val="top"/>
          </w:tcPr>
          <w:p>
            <w:pPr>
              <w:pStyle w:val="Compact"/>
              <w:jc w:val="left"/>
            </w:pPr>
            <w:r>
              <w:t xml:space="preserve">TRC tail-risk</w:t>
            </w:r>
          </w:p>
        </w:tc>
        <w:tc>
          <w:tcPr>
            <w:shd w:val="clear" w:color="auto" w:fill="F7FBFE"/>
            <w:vAlign w:val="top"/>
          </w:tcPr>
          <w:p>
            <w:pPr>
              <w:pStyle w:val="Compact"/>
              <w:jc w:val="left"/>
            </w:pPr>
            <w:r>
              <w:t xml:space="preserve">Optional (qualitative screen)</w:t>
            </w:r>
          </w:p>
        </w:tc>
        <w:tc>
          <w:tcPr>
            <w:shd w:val="clear" w:color="auto" w:fill="F7FBFE"/>
            <w:vAlign w:val="top"/>
          </w:tcPr>
          <w:p>
            <w:pPr>
              <w:pStyle w:val="Compact"/>
              <w:jc w:val="left"/>
            </w:pPr>
            <w:r>
              <w:t xml:space="preserve">REQUIRED when catastrophe relevance plausible</w:t>
            </w:r>
          </w:p>
        </w:tc>
        <w:tc>
          <w:tcPr>
            <w:shd w:val="clear" w:color="auto" w:fill="F7FBFE"/>
            <w:vAlign w:val="top"/>
          </w:tcPr>
          <w:p>
            <w:pPr>
              <w:pStyle w:val="Compact"/>
              <w:jc w:val="left"/>
            </w:pPr>
            <w:r>
              <w:t xml:space="preserve">REQUIRED</w:t>
            </w:r>
          </w:p>
        </w:tc>
      </w:tr>
      <w:tr>
        <w:tc>
          <w:tcPr>
            <w:vAlign w:val="top"/>
          </w:tcPr>
          <w:p>
            <w:pPr>
              <w:pStyle w:val="Compact"/>
              <w:jc w:val="left"/>
            </w:pPr>
            <w:r>
              <w:t xml:space="preserve">Scenario set size when TRC used</w:t>
            </w:r>
          </w:p>
        </w:tc>
        <w:tc>
          <w:tcPr>
            <w:vAlign w:val="top"/>
          </w:tcPr>
          <w:p>
            <w:pPr>
              <w:pStyle w:val="Compact"/>
              <w:jc w:val="left"/>
            </w:pPr>
            <w:r>
              <w:t xml:space="preserve">N/A</w:t>
            </w:r>
          </w:p>
        </w:tc>
        <w:tc>
          <w:tcPr>
            <w:vAlign w:val="top"/>
          </w:tcPr>
          <w:p>
            <w:pPr>
              <w:pStyle w:val="Compact"/>
              <w:jc w:val="left"/>
            </w:pPr>
            <w:r>
              <w:t xml:space="preserve">≥5 minimum</w:t>
            </w:r>
          </w:p>
        </w:tc>
        <w:tc>
          <w:tcPr>
            <w:vAlign w:val="top"/>
          </w:tcPr>
          <w:p>
            <w:pPr>
              <w:pStyle w:val="Compact"/>
              <w:jc w:val="left"/>
            </w:pPr>
            <w:r>
              <w:t xml:space="preserve">≥20 minimum</w:t>
            </w:r>
          </w:p>
        </w:tc>
      </w:tr>
      <w:tr>
        <w:tc>
          <w:tcPr>
            <w:shd w:val="clear" w:color="auto" w:fill="F7FBFE"/>
            <w:vAlign w:val="top"/>
          </w:tcPr>
          <w:p>
            <w:pPr>
              <w:pStyle w:val="Compact"/>
              <w:jc w:val="left"/>
            </w:pPr>
            <w:r>
              <w:t xml:space="preserve">Mandatory tail categories plus p_floor</w:t>
            </w:r>
          </w:p>
        </w:tc>
        <w:tc>
          <w:tcPr>
            <w:shd w:val="clear" w:color="auto" w:fill="F7FBFE"/>
            <w:vAlign w:val="top"/>
          </w:tcPr>
          <w:p>
            <w:pPr>
              <w:pStyle w:val="Compact"/>
              <w:jc w:val="left"/>
            </w:pPr>
            <w:r>
              <w:t xml:space="preserve">Recommended if TRC used</w:t>
            </w:r>
          </w:p>
        </w:tc>
        <w:tc>
          <w:tcPr>
            <w:shd w:val="clear" w:color="auto" w:fill="F7FBFE"/>
            <w:vAlign w:val="top"/>
          </w:tcPr>
          <w:p>
            <w:pPr>
              <w:pStyle w:val="Compact"/>
              <w:jc w:val="left"/>
            </w:pPr>
            <w:r>
              <w:t xml:space="preserve">REQUIRED when TRC used</w:t>
            </w:r>
          </w:p>
        </w:tc>
        <w:tc>
          <w:tcPr>
            <w:shd w:val="clear" w:color="auto" w:fill="F7FBFE"/>
            <w:vAlign w:val="top"/>
          </w:tcPr>
          <w:p>
            <w:pPr>
              <w:pStyle w:val="Compact"/>
              <w:jc w:val="left"/>
            </w:pPr>
            <w:r>
              <w:t xml:space="preserve">REQUIRED</w:t>
            </w:r>
          </w:p>
        </w:tc>
      </w:tr>
      <w:tr>
        <w:tc>
          <w:tcPr>
            <w:vAlign w:val="top"/>
          </w:tcPr>
          <w:p>
            <w:pPr>
              <w:pStyle w:val="Compact"/>
              <w:jc w:val="left"/>
            </w:pPr>
            <w:r>
              <w:t xml:space="preserve">CSV qualification (Containment and Structural Viability)</w:t>
            </w:r>
          </w:p>
        </w:tc>
        <w:tc>
          <w:tcPr>
            <w:vAlign w:val="top"/>
          </w:tcPr>
          <w:p>
            <w:pPr>
              <w:pStyle w:val="Compact"/>
              <w:jc w:val="left"/>
            </w:pPr>
            <w:r>
              <w:t xml:space="preserve">REQUIRED before any ordinary ranking or selection claim; a brief qualitative screen or</w:t>
            </w:r>
            <w:r>
              <w:t xml:space="preserve"> </w:t>
            </w:r>
            <w:r>
              <w:rPr>
                <w:rStyle w:val="VerbatimChar"/>
              </w:rPr>
              <w:t xml:space="preserve">CSV_NOT_MATERIAL</w:t>
            </w:r>
            <w:r>
              <w:t xml:space="preserve"> </w:t>
            </w:r>
            <w:r>
              <w:t xml:space="preserve">rationale is sufficient</w:t>
            </w:r>
          </w:p>
        </w:tc>
        <w:tc>
          <w:tcPr>
            <w:vAlign w:val="top"/>
          </w:tcPr>
          <w:p>
            <w:pPr>
              <w:pStyle w:val="Compact"/>
              <w:jc w:val="left"/>
            </w:pPr>
            <w:r>
              <w:t xml:space="preserve">REQUIRED proportional/assumption-bounded CSV result before RLS; quantitative UCI is not required unless material</w:t>
            </w:r>
          </w:p>
        </w:tc>
        <w:tc>
          <w:tcPr>
            <w:vAlign w:val="top"/>
          </w:tcPr>
          <w:p>
            <w:pPr>
              <w:pStyle w:val="Compact"/>
              <w:jc w:val="left"/>
            </w:pPr>
            <w:r>
              <w:t xml:space="preserve">REQUIRED full and binding</w:t>
            </w:r>
          </w:p>
        </w:tc>
      </w:tr>
      <w:tr>
        <w:tc>
          <w:tcPr>
            <w:shd w:val="clear" w:color="auto" w:fill="F7FBFE"/>
            <w:vAlign w:val="top"/>
          </w:tcPr>
          <w:p>
            <w:pPr>
              <w:pStyle w:val="Compact"/>
              <w:jc w:val="left"/>
            </w:pPr>
            <w:r>
              <w:t xml:space="preserve">RLS scoring</w:t>
            </w:r>
          </w:p>
        </w:tc>
        <w:tc>
          <w:tcPr>
            <w:shd w:val="clear" w:color="auto" w:fill="F7FBFE"/>
            <w:vAlign w:val="top"/>
          </w:tcPr>
          <w:p>
            <w:pPr>
              <w:pStyle w:val="Compact"/>
              <w:jc w:val="left"/>
            </w:pPr>
            <w:r>
              <w:t xml:space="preserve">Optional; if used, only after a pass-equivalent CSV result</w:t>
            </w:r>
          </w:p>
        </w:tc>
        <w:tc>
          <w:tcPr>
            <w:shd w:val="clear" w:color="auto" w:fill="F7FBFE"/>
            <w:vAlign w:val="top"/>
          </w:tcPr>
          <w:p>
            <w:pPr>
              <w:pStyle w:val="Compact"/>
              <w:jc w:val="left"/>
            </w:pPr>
            <w:r>
              <w:t xml:space="preserve">REQUIRED only for selectable survivors after CSV</w:t>
            </w:r>
          </w:p>
        </w:tc>
        <w:tc>
          <w:tcPr>
            <w:shd w:val="clear" w:color="auto" w:fill="F7FBFE"/>
            <w:vAlign w:val="top"/>
          </w:tcPr>
          <w:p>
            <w:pPr>
              <w:pStyle w:val="Compact"/>
              <w:jc w:val="left"/>
            </w:pPr>
            <w:r>
              <w:t xml:space="preserve">REQUIRED only for selectable survivors after CSV</w:t>
            </w:r>
          </w:p>
        </w:tc>
      </w:tr>
      <w:tr>
        <w:tc>
          <w:tcPr>
            <w:vAlign w:val="top"/>
          </w:tcPr>
          <w:p>
            <w:pPr>
              <w:pStyle w:val="Compact"/>
              <w:jc w:val="left"/>
            </w:pPr>
            <w:r>
              <w:t xml:space="preserve">Uncertainty plus discrimination band</w:t>
            </w:r>
          </w:p>
        </w:tc>
        <w:tc>
          <w:tcPr>
            <w:vAlign w:val="top"/>
          </w:tcPr>
          <w:p>
            <w:pPr>
              <w:pStyle w:val="Compact"/>
              <w:jc w:val="left"/>
            </w:pPr>
            <w:r>
              <w:t xml:space="preserve">Optional</w:t>
            </w:r>
          </w:p>
        </w:tc>
        <w:tc>
          <w:tcPr>
            <w:vAlign w:val="top"/>
          </w:tcPr>
          <w:p>
            <w:pPr>
              <w:pStyle w:val="Compact"/>
              <w:jc w:val="left"/>
            </w:pPr>
            <w:r>
              <w:t xml:space="preserve">REQUIRED (active cells)</w:t>
            </w:r>
          </w:p>
        </w:tc>
        <w:tc>
          <w:tcPr>
            <w:vAlign w:val="top"/>
          </w:tcPr>
          <w:p>
            <w:pPr>
              <w:pStyle w:val="Compact"/>
              <w:jc w:val="left"/>
            </w:pPr>
            <w:r>
              <w:t xml:space="preserve">REQUIRED</w:t>
            </w:r>
          </w:p>
        </w:tc>
      </w:tr>
      <w:tr>
        <w:tc>
          <w:tcPr>
            <w:shd w:val="clear" w:color="auto" w:fill="F7FBFE"/>
            <w:vAlign w:val="top"/>
          </w:tcPr>
          <w:p>
            <w:pPr>
              <w:pStyle w:val="Compact"/>
              <w:jc w:val="left"/>
            </w:pPr>
            <w:r>
              <w:t xml:space="preserve">Tie-breaks (UCI/HOI)</w:t>
            </w:r>
          </w:p>
        </w:tc>
        <w:tc>
          <w:tcPr>
            <w:shd w:val="clear" w:color="auto" w:fill="F7FBFE"/>
            <w:vAlign w:val="top"/>
          </w:tcPr>
          <w:p>
            <w:pPr>
              <w:pStyle w:val="Compact"/>
              <w:jc w:val="left"/>
            </w:pPr>
            <w:r>
              <w:t xml:space="preserve">Optional</w:t>
            </w:r>
          </w:p>
        </w:tc>
        <w:tc>
          <w:tcPr>
            <w:shd w:val="clear" w:color="auto" w:fill="F7FBFE"/>
            <w:vAlign w:val="top"/>
          </w:tcPr>
          <w:p>
            <w:pPr>
              <w:pStyle w:val="Compact"/>
              <w:jc w:val="left"/>
            </w:pPr>
            <w:r>
              <w:t xml:space="preserve">Recommended</w:t>
            </w:r>
          </w:p>
        </w:tc>
        <w:tc>
          <w:tcPr>
            <w:shd w:val="clear" w:color="auto" w:fill="F7FBFE"/>
            <w:vAlign w:val="top"/>
          </w:tcPr>
          <w:p>
            <w:pPr>
              <w:pStyle w:val="Compact"/>
              <w:jc w:val="left"/>
            </w:pPr>
            <w:r>
              <w:t xml:space="preserve">REQUIRED when RLS non-decisive</w:t>
            </w:r>
          </w:p>
        </w:tc>
      </w:tr>
      <w:tr>
        <w:tc>
          <w:tcPr>
            <w:vAlign w:val="top"/>
          </w:tcPr>
          <w:p>
            <w:pPr>
              <w:pStyle w:val="Compact"/>
              <w:jc w:val="left"/>
            </w:pPr>
            <w:r>
              <w:t xml:space="preserve">Kernel propagation</w:t>
            </w:r>
          </w:p>
        </w:tc>
        <w:tc>
          <w:tcPr>
            <w:vAlign w:val="top"/>
          </w:tcPr>
          <w:p>
            <w:pPr>
              <w:pStyle w:val="Compact"/>
              <w:jc w:val="left"/>
            </w:pPr>
            <w:r>
              <w:t xml:space="preserve">NONE default</w:t>
            </w:r>
          </w:p>
        </w:tc>
        <w:tc>
          <w:tcPr>
            <w:vAlign w:val="top"/>
          </w:tcPr>
          <w:p>
            <w:pPr>
              <w:pStyle w:val="Compact"/>
              <w:jc w:val="left"/>
            </w:pPr>
            <w:r>
              <w:t xml:space="preserve">NONE default; QUICK if KQS policy satisfied</w:t>
            </w:r>
          </w:p>
        </w:tc>
        <w:tc>
          <w:tcPr>
            <w:vAlign w:val="top"/>
          </w:tcPr>
          <w:p>
            <w:pPr>
              <w:pStyle w:val="Compact"/>
              <w:jc w:val="left"/>
            </w:pPr>
            <w:r>
              <w:t xml:space="preserve">QUICK only if KQS policy satisfied plus sensitivity; else NONE</w:t>
            </w:r>
          </w:p>
        </w:tc>
      </w:tr>
      <w:tr>
        <w:tc>
          <w:tcPr>
            <w:shd w:val="clear" w:color="auto" w:fill="F7FBFE"/>
            <w:vAlign w:val="top"/>
          </w:tcPr>
          <w:p>
            <w:pPr>
              <w:pStyle w:val="Compact"/>
              <w:jc w:val="left"/>
            </w:pPr>
            <w:r>
              <w:t xml:space="preserve">KQS policy</w:t>
            </w:r>
          </w:p>
        </w:tc>
        <w:tc>
          <w:tcPr>
            <w:shd w:val="clear" w:color="auto" w:fill="F7FBFE"/>
            <w:vAlign w:val="top"/>
          </w:tcPr>
          <w:p>
            <w:pPr>
              <w:pStyle w:val="Compact"/>
              <w:jc w:val="left"/>
            </w:pPr>
            <w:r>
              <w:t xml:space="preserve">Optional</w:t>
            </w:r>
          </w:p>
        </w:tc>
        <w:tc>
          <w:tcPr>
            <w:shd w:val="clear" w:color="auto" w:fill="F7FBFE"/>
            <w:vAlign w:val="top"/>
          </w:tcPr>
          <w:p>
            <w:pPr>
              <w:pStyle w:val="Compact"/>
              <w:jc w:val="left"/>
            </w:pPr>
            <w:r>
              <w:t xml:space="preserve">REQUIRED if kernel used</w:t>
            </w:r>
          </w:p>
        </w:tc>
        <w:tc>
          <w:tcPr>
            <w:shd w:val="clear" w:color="auto" w:fill="F7FBFE"/>
            <w:vAlign w:val="top"/>
          </w:tcPr>
          <w:p>
            <w:pPr>
              <w:pStyle w:val="Compact"/>
              <w:jc w:val="left"/>
            </w:pPr>
            <w:r>
              <w:t xml:space="preserve">REQUIRED if kernel used</w:t>
            </w:r>
          </w:p>
        </w:tc>
      </w:tr>
      <w:tr>
        <w:tc>
          <w:tcPr>
            <w:vAlign w:val="top"/>
          </w:tcPr>
          <w:p>
            <w:pPr>
              <w:pStyle w:val="Compact"/>
              <w:jc w:val="left"/>
            </w:pPr>
            <w:r>
              <w:t xml:space="preserve">Sensitivity analysis</w:t>
            </w:r>
          </w:p>
        </w:tc>
        <w:tc>
          <w:tcPr>
            <w:vAlign w:val="top"/>
          </w:tcPr>
          <w:p>
            <w:pPr>
              <w:pStyle w:val="Compact"/>
              <w:jc w:val="left"/>
            </w:pPr>
            <w:r>
              <w:t xml:space="preserve">Optional</w:t>
            </w:r>
          </w:p>
        </w:tc>
        <w:tc>
          <w:tcPr>
            <w:vAlign w:val="top"/>
          </w:tcPr>
          <w:p>
            <w:pPr>
              <w:pStyle w:val="Compact"/>
              <w:jc w:val="left"/>
            </w:pPr>
            <w:r>
              <w:t xml:space="preserve">Recommended</w:t>
            </w:r>
          </w:p>
        </w:tc>
        <w:tc>
          <w:tcPr>
            <w:vAlign w:val="top"/>
          </w:tcPr>
          <w:p>
            <w:pPr>
              <w:pStyle w:val="Compact"/>
              <w:jc w:val="left"/>
            </w:pPr>
            <w:r>
              <w:t xml:space="preserve">REQUIRED</w:t>
            </w:r>
          </w:p>
        </w:tc>
      </w:tr>
      <w:tr>
        <w:tc>
          <w:tcPr>
            <w:shd w:val="clear" w:color="auto" w:fill="F7FBFE"/>
            <w:vAlign w:val="top"/>
          </w:tcPr>
          <w:p>
            <w:pPr>
              <w:pStyle w:val="Compact"/>
              <w:jc w:val="left"/>
            </w:pPr>
            <w:r>
              <w:t xml:space="preserve">PCC artifact</w:t>
            </w:r>
          </w:p>
        </w:tc>
        <w:tc>
          <w:tcPr>
            <w:shd w:val="clear" w:color="auto" w:fill="F7FBFE"/>
            <w:vAlign w:val="top"/>
          </w:tcPr>
          <w:p>
            <w:pPr>
              <w:pStyle w:val="Compact"/>
              <w:jc w:val="left"/>
            </w:pPr>
            <w:r>
              <w:t xml:space="preserve">Optional</w:t>
            </w:r>
          </w:p>
        </w:tc>
        <w:tc>
          <w:tcPr>
            <w:shd w:val="clear" w:color="auto" w:fill="F7FBFE"/>
            <w:vAlign w:val="top"/>
          </w:tcPr>
          <w:p>
            <w:pPr>
              <w:pStyle w:val="Compact"/>
              <w:jc w:val="left"/>
            </w:pPr>
            <w:r>
              <w:t xml:space="preserve">REQUIRED (basic)</w:t>
            </w:r>
          </w:p>
        </w:tc>
        <w:tc>
          <w:tcPr>
            <w:shd w:val="clear" w:color="auto" w:fill="F7FBFE"/>
            <w:vAlign w:val="top"/>
          </w:tcPr>
          <w:p>
            <w:pPr>
              <w:pStyle w:val="Compact"/>
              <w:jc w:val="left"/>
            </w:pPr>
            <w:r>
              <w:t xml:space="preserve">REQUIRED (full)</w:t>
            </w:r>
          </w:p>
        </w:tc>
      </w:tr>
      <w:tr>
        <w:tc>
          <w:tcPr>
            <w:vAlign w:val="top"/>
          </w:tcPr>
          <w:p>
            <w:pPr>
              <w:pStyle w:val="Compact"/>
              <w:jc w:val="left"/>
            </w:pPr>
            <w:r>
              <w:t xml:space="preserve">Audit flags</w:t>
            </w:r>
          </w:p>
        </w:tc>
        <w:tc>
          <w:tcPr>
            <w:vAlign w:val="top"/>
          </w:tcPr>
          <w:p>
            <w:pPr>
              <w:pStyle w:val="Compact"/>
              <w:jc w:val="left"/>
            </w:pPr>
            <w:r>
              <w:t xml:space="preserve">Optional</w:t>
            </w:r>
          </w:p>
        </w:tc>
        <w:tc>
          <w:tcPr>
            <w:vAlign w:val="top"/>
          </w:tcPr>
          <w:p>
            <w:pPr>
              <w:pStyle w:val="Compact"/>
              <w:jc w:val="left"/>
            </w:pPr>
            <w:r>
              <w:t xml:space="preserve">REQUIRED when triggered</w:t>
            </w:r>
          </w:p>
        </w:tc>
        <w:tc>
          <w:tcPr>
            <w:vAlign w:val="top"/>
          </w:tcPr>
          <w:p>
            <w:pPr>
              <w:pStyle w:val="Compact"/>
              <w:jc w:val="left"/>
            </w:pPr>
            <w:r>
              <w:t xml:space="preserve">REQUIRED when triggered</w:t>
            </w:r>
          </w:p>
        </w:tc>
      </w:tr>
      <w:tr>
        <w:tc>
          <w:tcPr>
            <w:shd w:val="clear" w:color="auto" w:fill="F7FBFE"/>
            <w:vAlign w:val="top"/>
          </w:tcPr>
          <w:p>
            <w:pPr>
              <w:pStyle w:val="Compact"/>
              <w:jc w:val="left"/>
            </w:pPr>
            <w:r>
              <w:t xml:space="preserve">Stewardship (conditional)</w:t>
            </w:r>
          </w:p>
        </w:tc>
        <w:tc>
          <w:tcPr>
            <w:shd w:val="clear" w:color="auto" w:fill="F7FBFE"/>
            <w:vAlign w:val="top"/>
          </w:tcPr>
          <w:p>
            <w:pPr>
              <w:pStyle w:val="Compact"/>
              <w:jc w:val="left"/>
            </w:pPr>
            <w:r>
              <w:t xml:space="preserve">Optional</w:t>
            </w:r>
          </w:p>
        </w:tc>
        <w:tc>
          <w:tcPr>
            <w:shd w:val="clear" w:color="auto" w:fill="F7FBFE"/>
            <w:vAlign w:val="top"/>
          </w:tcPr>
          <w:p>
            <w:pPr>
              <w:pStyle w:val="Compact"/>
              <w:jc w:val="left"/>
            </w:pPr>
            <w:r>
              <w:t xml:space="preserve">Required iff Stw_req=1</w:t>
            </w:r>
          </w:p>
        </w:tc>
        <w:tc>
          <w:tcPr>
            <w:shd w:val="clear" w:color="auto" w:fill="F7FBFE"/>
            <w:vAlign w:val="top"/>
          </w:tcPr>
          <w:p>
            <w:pPr>
              <w:pStyle w:val="Compact"/>
              <w:jc w:val="left"/>
            </w:pPr>
            <w:r>
              <w:t xml:space="preserve">Required (Stw_req assumed TRUE for Tier 3)</w:t>
            </w:r>
          </w:p>
        </w:tc>
      </w:tr>
      <w:tr>
        <w:tc>
          <w:tcPr>
            <w:vAlign w:val="top"/>
          </w:tcPr>
          <w:p>
            <w:pPr>
              <w:pStyle w:val="Compact"/>
              <w:jc w:val="left"/>
            </w:pPr>
            <w:r>
              <w:t xml:space="preserve">Tier-4 claim</w:t>
            </w:r>
          </w:p>
        </w:tc>
        <w:tc>
          <w:tcPr>
            <w:vAlign w:val="top"/>
          </w:tcPr>
          <w:p>
            <w:pPr>
              <w:pStyle w:val="Compact"/>
              <w:jc w:val="left"/>
            </w:pPr>
            <w:r>
              <w:t xml:space="preserve">PROHIBITED</w:t>
            </w:r>
          </w:p>
        </w:tc>
        <w:tc>
          <w:tcPr>
            <w:vAlign w:val="top"/>
          </w:tcPr>
          <w:p>
            <w:pPr>
              <w:pStyle w:val="Compact"/>
              <w:jc w:val="left"/>
            </w:pPr>
            <w:r>
              <w:t xml:space="preserve">PROHIBITED</w:t>
            </w:r>
          </w:p>
        </w:tc>
        <w:tc>
          <w:tcPr>
            <w:vAlign w:val="top"/>
          </w:tcPr>
          <w:p>
            <w:pPr>
              <w:pStyle w:val="Compact"/>
              <w:jc w:val="left"/>
            </w:pPr>
            <w:r>
              <w:t xml:space="preserve">PROHIBITED</w:t>
            </w:r>
          </w:p>
        </w:tc>
      </w:tr>
      <w:tr>
        <w:tc>
          <w:tcPr>
            <w:shd w:val="clear" w:color="auto" w:fill="F7FBFE"/>
            <w:vAlign w:val="top"/>
          </w:tcPr>
          <w:p>
            <w:pPr>
              <w:pStyle w:val="Compact"/>
              <w:jc w:val="left"/>
            </w:pPr>
            <w:r>
              <w:t xml:space="preserve">Stakeholder discovery and mapping (SDP/InstanceMap)</w:t>
            </w:r>
          </w:p>
        </w:tc>
        <w:tc>
          <w:tcPr>
            <w:shd w:val="clear" w:color="auto" w:fill="F7FBFE"/>
            <w:vAlign w:val="top"/>
          </w:tcPr>
          <w:p>
            <w:pPr>
              <w:pStyle w:val="Compact"/>
              <w:jc w:val="left"/>
            </w:pPr>
            <w:r>
              <w:t xml:space="preserve">Optional</w:t>
            </w:r>
          </w:p>
        </w:tc>
        <w:tc>
          <w:tcPr>
            <w:shd w:val="clear" w:color="auto" w:fill="F7FBFE"/>
            <w:vAlign w:val="top"/>
          </w:tcPr>
          <w:p>
            <w:pPr>
              <w:pStyle w:val="Compact"/>
              <w:jc w:val="left"/>
            </w:pPr>
            <w:r>
              <w:t xml:space="preserve">REQUIRED when any SDP trigger holds; otherwise a lightweight stakeholder note or voluntary SDP is RECOMMENDED</w:t>
            </w:r>
          </w:p>
        </w:tc>
        <w:tc>
          <w:tcPr>
            <w:shd w:val="clear" w:color="auto" w:fill="F7FBFE"/>
            <w:vAlign w:val="top"/>
          </w:tcPr>
          <w:p>
            <w:pPr>
              <w:pStyle w:val="Compact"/>
              <w:jc w:val="left"/>
            </w:pPr>
            <w:r>
              <w:t xml:space="preserve">REQUIRED (InstanceMap with multi-scope redundancy handling disclosures)</w:t>
            </w:r>
          </w:p>
        </w:tc>
      </w:tr>
      <w:tr>
        <w:tc>
          <w:tcPr>
            <w:vAlign w:val="top"/>
          </w:tcPr>
          <w:p>
            <w:pPr>
              <w:pStyle w:val="Compact"/>
              <w:jc w:val="left"/>
            </w:pPr>
            <w:r>
              <w:t xml:space="preserve">Stakeholder Coverage Index (SCI)</w:t>
            </w:r>
          </w:p>
        </w:tc>
        <w:tc>
          <w:tcPr>
            <w:vAlign w:val="top"/>
          </w:tcPr>
          <w:p>
            <w:pPr>
              <w:pStyle w:val="Compact"/>
              <w:jc w:val="left"/>
            </w:pPr>
            <w:r>
              <w:t xml:space="preserve">Optional</w:t>
            </w:r>
          </w:p>
        </w:tc>
        <w:tc>
          <w:tcPr>
            <w:vAlign w:val="top"/>
          </w:tcPr>
          <w:p>
            <w:pPr>
              <w:pStyle w:val="Compact"/>
              <w:jc w:val="left"/>
            </w:pPr>
            <w:r>
              <w:t xml:space="preserve">REQUIRED (SCI ≥ 1)</w:t>
            </w:r>
          </w:p>
        </w:tc>
        <w:tc>
          <w:tcPr>
            <w:vAlign w:val="top"/>
          </w:tcPr>
          <w:p>
            <w:pPr>
              <w:pStyle w:val="Compact"/>
              <w:jc w:val="left"/>
            </w:pPr>
            <w:r>
              <w:t xml:space="preserve">REQUIRED (SCI ≥ 2)</w:t>
            </w:r>
          </w:p>
        </w:tc>
      </w:tr>
    </w:tbl>
    <w:p>
      <w:pPr>
        <w:pStyle w:val="BodyText"/>
      </w:pPr>
      <w:r>
        <w:t xml:space="preserve">Tier 3 stewardship assumption (Normative): Any Tier 3 run SHALL set Stw_req(run) = 1 by default because Tier 3 implies external scrutiny and governance-grade assistance posture.</w:t>
      </w:r>
    </w:p>
    <w:bookmarkEnd w:id="244"/>
    <w:bookmarkStart w:id="245" w:name="Xf1fb5c4ed743f8e06912f0bf9e2ef82180cc2c0"/>
    <w:p>
      <w:pPr>
        <w:pStyle w:val="Heading2"/>
      </w:pPr>
      <w:r>
        <w:rPr>
          <w:bCs/>
          <w:b/>
        </w:rPr>
        <w:t xml:space="preserve">15.2 Tier 1: Heuristic Application (“2-Minute Ripple Check”) (Normative minimum)</w:t>
      </w:r>
    </w:p>
    <w:p>
      <w:pPr>
        <w:pStyle w:val="FirstParagraph"/>
      </w:pPr>
      <w:r>
        <w:t xml:space="preserve">Use Tier 1 for low-stakes, reversible decisions where full calculation is disproportionate.</w:t>
      </w:r>
    </w:p>
    <w:p>
      <w:pPr>
        <w:pStyle w:val="BodyText"/>
      </w:pPr>
      <w:r>
        <w:t xml:space="preserve">Tier 1 minimum protocol:</w:t>
      </w:r>
    </w:p>
    <w:p>
      <w:pPr>
        <w:numPr>
          <w:ilvl w:val="0"/>
          <w:numId w:val="1175"/>
        </w:numPr>
        <w:pStyle w:val="Compact"/>
      </w:pPr>
      <w:r>
        <w:rPr>
          <w:bCs/>
          <w:b/>
        </w:rPr>
        <w:t xml:space="preserve">Decision:</w:t>
      </w:r>
      <w:r>
        <w:t xml:space="preserve"> </w:t>
      </w:r>
      <w:r>
        <w:t xml:space="preserve">What must be decided, by when?</w:t>
      </w:r>
    </w:p>
    <w:p>
      <w:pPr>
        <w:numPr>
          <w:ilvl w:val="0"/>
          <w:numId w:val="1175"/>
        </w:numPr>
        <w:pStyle w:val="Compact"/>
      </w:pPr>
      <w:r>
        <w:rPr>
          <w:bCs/>
          <w:b/>
        </w:rPr>
        <w:t xml:space="preserve">Options:</w:t>
      </w:r>
      <w:r>
        <w:t xml:space="preserve"> </w:t>
      </w:r>
      <w:r>
        <w:t xml:space="preserve">List at least 2 options, including a third-path redesign option where possible.</w:t>
      </w:r>
    </w:p>
    <w:p>
      <w:pPr>
        <w:numPr>
          <w:ilvl w:val="0"/>
          <w:numId w:val="1175"/>
        </w:numPr>
        <w:pStyle w:val="Compact"/>
      </w:pPr>
      <w:r>
        <w:rPr>
          <w:bCs/>
          <w:b/>
        </w:rPr>
        <w:t xml:space="preserve">Rights screen (RF/NCRC heuristic):</w:t>
      </w:r>
      <w:r>
        <w:t xml:space="preserve"> </w:t>
      </w:r>
      <w:r>
        <w:t xml:space="preserve">Could any option plausibly violate LIFE, BODY, NEED, LBTY, DIGN, PROC, INFO, or ECOL? If yes, escalate to Tier 2+.</w:t>
      </w:r>
    </w:p>
    <w:p>
      <w:pPr>
        <w:numPr>
          <w:ilvl w:val="0"/>
          <w:numId w:val="1175"/>
        </w:numPr>
        <w:pStyle w:val="Compact"/>
      </w:pPr>
      <w:r>
        <w:rPr>
          <w:bCs/>
          <w:b/>
        </w:rPr>
        <w:t xml:space="preserve">Tail screen (TRC heuristic):</w:t>
      </w:r>
      <w:r>
        <w:t xml:space="preserve"> </w:t>
      </w:r>
      <w:r>
        <w:t xml:space="preserve">Could any option plausibly create catastrophic, irreversible, systemic, or ruin-path downside? If yes, escalate to Tier 2+.</w:t>
      </w:r>
    </w:p>
    <w:p>
      <w:pPr>
        <w:numPr>
          <w:ilvl w:val="0"/>
          <w:numId w:val="1175"/>
        </w:numPr>
        <w:pStyle w:val="Compact"/>
      </w:pPr>
      <w:r>
        <w:rPr>
          <w:bCs/>
          <w:b/>
        </w:rPr>
        <w:t xml:space="preserve">CSV screen:</w:t>
      </w:r>
      <w:r>
        <w:t xml:space="preserve"> </w:t>
      </w:r>
      <w:r>
        <w:t xml:space="preserve">Could the apparent local gain hollow out, overload, externalize onto, or depend on failure of a larger system, or does the option lack the resources, controls, authority, reversibility, or execution conditions needed to stand? Record</w:t>
      </w:r>
      <w:r>
        <w:t xml:space="preserve"> </w:t>
      </w:r>
      <w:r>
        <w:rPr>
          <w:rStyle w:val="VerbatimChar"/>
        </w:rPr>
        <w:t xml:space="preserve">CSV_PASS_HEURISTIC</w:t>
      </w:r>
      <w:r>
        <w:t xml:space="preserve">,</w:t>
      </w:r>
      <w:r>
        <w:t xml:space="preserve"> </w:t>
      </w:r>
      <w:r>
        <w:rPr>
          <w:rStyle w:val="VerbatimChar"/>
        </w:rPr>
        <w:t xml:space="preserve">CSV_NOT_MATERIAL</w:t>
      </w:r>
      <w:r>
        <w:t xml:space="preserve">,</w:t>
      </w:r>
      <w:r>
        <w:t xml:space="preserve"> </w:t>
      </w:r>
      <w:r>
        <w:rPr>
          <w:rStyle w:val="VerbatimChar"/>
        </w:rPr>
        <w:t xml:space="preserve">CSV_REDESIGN_REQUIRED</w:t>
      </w:r>
      <w:r>
        <w:t xml:space="preserve">, or escalate. An ordinary RippleLogic ranking or selection claim MUST NOT be made without a pass-equivalent CSV result.</w:t>
      </w:r>
    </w:p>
    <w:p>
      <w:pPr>
        <w:numPr>
          <w:ilvl w:val="0"/>
          <w:numId w:val="1175"/>
        </w:numPr>
        <w:pStyle w:val="Compact"/>
      </w:pPr>
      <w:r>
        <w:rPr>
          <w:bCs/>
          <w:b/>
        </w:rPr>
        <w:t xml:space="preserve">Scopes touched:</w:t>
      </w:r>
      <w:r>
        <w:t xml:space="preserve"> </w:t>
      </w:r>
      <w:r>
        <w:t xml:space="preserve">Which operational scopes U1 through U7 are materially affected?</w:t>
      </w:r>
    </w:p>
    <w:p>
      <w:pPr>
        <w:numPr>
          <w:ilvl w:val="0"/>
          <w:numId w:val="1175"/>
        </w:numPr>
        <w:pStyle w:val="Compact"/>
      </w:pPr>
      <w:r>
        <w:rPr>
          <w:bCs/>
          <w:b/>
        </w:rPr>
        <w:t xml:space="preserve">Unioning move:</w:t>
      </w:r>
      <w:r>
        <w:t xml:space="preserve"> </w:t>
      </w:r>
      <w:r>
        <w:t xml:space="preserve">What redesign could reduce harms and increase shared benefit across the affected scopes?</w:t>
      </w:r>
    </w:p>
    <w:p>
      <w:pPr>
        <w:numPr>
          <w:ilvl w:val="0"/>
          <w:numId w:val="1175"/>
        </w:numPr>
        <w:pStyle w:val="Compact"/>
      </w:pPr>
      <w:r>
        <w:rPr>
          <w:bCs/>
          <w:b/>
        </w:rPr>
        <w:t xml:space="preserve">Choose and record:</w:t>
      </w:r>
      <w:r>
        <w:t xml:space="preserve"> </w:t>
      </w:r>
      <w:r>
        <w:t xml:space="preserve">Compare only options that passed the heuristic qualification screens. If no option passes, redesign, escalate, delay, or refuse rather than forcing a ranking.</w:t>
      </w:r>
    </w:p>
    <w:p>
      <w:pPr>
        <w:pStyle w:val="FirstParagraph"/>
      </w:pPr>
      <w:r>
        <w:t xml:space="preserve">Tier 1 recording (recommended): a short note or mini-PCC containing the eight answers and any</w:t>
      </w:r>
      <w:r>
        <w:t xml:space="preserve"> </w:t>
      </w:r>
      <w:r>
        <w:rPr>
          <w:rStyle w:val="VerbatimChar"/>
        </w:rPr>
        <w:t xml:space="preserve">CSV_NOT_MATERIAL</w:t>
      </w:r>
      <w:r>
        <w:t xml:space="preserve"> </w:t>
      </w:r>
      <w:r>
        <w:t xml:space="preserve">rationale.</w:t>
      </w:r>
    </w:p>
    <w:p>
      <w:pPr>
        <w:pStyle w:val="BodyText"/>
      </w:pPr>
      <w:r>
        <w:t xml:space="preserve">Tier-1 Worked Example (informative; shows Tier escalation):</w:t>
      </w:r>
    </w:p>
    <w:p>
      <w:pPr>
        <w:pStyle w:val="BodyText"/>
      </w:pPr>
      <w:r>
        <w:t xml:space="preserve">Decision: Accept a new consulting project this month, or decline to protect time for household responsibilities.</w:t>
      </w:r>
    </w:p>
    <w:p>
      <w:pPr>
        <w:pStyle w:val="BodyText"/>
      </w:pPr>
      <w:r>
        <w:t xml:space="preserve">Options: (A) Accept as proposed (10 hrs/week for 4 weeks). (B) Decline. (C) Redesign: accept only if scope is reduced to 4 hrs/week and meetings are time-boxed.</w:t>
      </w:r>
    </w:p>
    <w:p>
      <w:pPr>
        <w:pStyle w:val="BodyText"/>
      </w:pPr>
      <w:r>
        <w:t xml:space="preserve">Rights screen (heuristic): No plausible LIFE/BODY/NEED/LBTY/DIGN violations. PROC/INFO: contract terms are clear, no coercion. PASS at Tier 1. If any need for deceptive data use or exploitative terms were suspected, escalate to Tier 2.</w:t>
      </w:r>
    </w:p>
    <w:p>
      <w:pPr>
        <w:pStyle w:val="BodyText"/>
      </w:pPr>
      <w:r>
        <w:t xml:space="preserve">Tail screen (heuristic): No plausible catastrophic, irreversible, or systemic downside. PASS at Tier 1.</w:t>
      </w:r>
    </w:p>
    <w:p>
      <w:pPr>
        <w:pStyle w:val="BodyText"/>
      </w:pPr>
      <w:r>
        <w:t xml:space="preserve">CSV screen: Option A plausibly creates a local income gain by hollowing household stability and personal recovery capacity; record</w:t>
      </w:r>
      <w:r>
        <w:t xml:space="preserve"> </w:t>
      </w:r>
      <w:r>
        <w:rPr>
          <w:rStyle w:val="VerbatimChar"/>
        </w:rPr>
        <w:t xml:space="preserve">CSV_REDESIGN_REQUIRED</w:t>
      </w:r>
      <w:r>
        <w:t xml:space="preserve">. Option B is structurally viable but loses the project benefit; record</w:t>
      </w:r>
      <w:r>
        <w:t xml:space="preserve"> </w:t>
      </w:r>
      <w:r>
        <w:rPr>
          <w:rStyle w:val="VerbatimChar"/>
        </w:rPr>
        <w:t xml:space="preserve">CSV_PASS_HEURISTIC</w:t>
      </w:r>
      <w:r>
        <w:t xml:space="preserve">. Option C includes bounded hours and time-boxed meetings; record</w:t>
      </w:r>
      <w:r>
        <w:t xml:space="preserve"> </w:t>
      </w:r>
      <w:r>
        <w:rPr>
          <w:rStyle w:val="VerbatimChar"/>
        </w:rPr>
        <w:t xml:space="preserve">CSV_PASS_WITH_CONTROLS_HEURISTIC</w:t>
      </w:r>
      <w:r>
        <w:t xml:space="preserve"> </w:t>
      </w:r>
      <w:r>
        <w:t xml:space="preserve">if the limits are accepted and monitorable.</w:t>
      </w:r>
    </w:p>
    <w:p>
      <w:pPr>
        <w:pStyle w:val="BodyText"/>
      </w:pPr>
      <w:r>
        <w:t xml:space="preserve">Scopes touched: U1 Self (Health, Agency, Meaning). U2 Household (Social, Material, Health). U3 Community/Organization impacts minor and reversible.</w:t>
      </w:r>
    </w:p>
    <w:p>
      <w:pPr>
        <w:pStyle w:val="BodyText"/>
      </w:pPr>
      <w:r>
        <w:t xml:space="preserve">Unioning move: Option C reduces household harm while capturing some benefit. Compare B and the controlled form of C only after the CSV screen. Choose C if renegotiation succeeds and the controls are real; otherwise choose B if household strain would be material.</w:t>
      </w:r>
    </w:p>
    <w:p>
      <w:pPr>
        <w:pStyle w:val="BodyText"/>
      </w:pPr>
      <w:r>
        <w:t xml:space="preserve">Record (mini-PCC): store the eight answers, CSV status, controls, and chosen option so NCAR learning can refine future time-budget decisions.</w:t>
      </w:r>
    </w:p>
    <w:bookmarkEnd w:id="245"/>
    <w:bookmarkStart w:id="246" w:name="Xe5695c936c8ffc1da4ffc03409bf68b4c00f27b"/>
    <w:p>
      <w:pPr>
        <w:pStyle w:val="Heading2"/>
      </w:pPr>
      <w:r>
        <w:rPr>
          <w:bCs/>
          <w:b/>
        </w:rPr>
        <w:t xml:space="preserve">15.3 Tier 2: Core Calculable (Strict TRC and Proportional CSV Posture) (Normative)</w:t>
      </w:r>
    </w:p>
    <w:p>
      <w:pPr>
        <w:pStyle w:val="FirstParagraph"/>
      </w:pPr>
      <w:r>
        <w:t xml:space="preserve">Use Tier 2 for routine but consequential decisions requiring transparent computation and a basic PCC.</w:t>
      </w:r>
    </w:p>
    <w:p>
      <w:pPr>
        <w:pStyle w:val="BodyText"/>
      </w:pPr>
      <w:r>
        <w:t xml:space="preserve">Tier 2 minimum obligations:</w:t>
      </w:r>
    </w:p>
    <w:p>
      <w:pPr>
        <w:numPr>
          <w:ilvl w:val="0"/>
          <w:numId w:val="1176"/>
        </w:numPr>
        <w:pStyle w:val="Compact"/>
      </w:pPr>
      <w:r>
        <w:t xml:space="preserve">Construct impacts on the [-1,+1] scale using the Section 5 pipeline.</w:t>
      </w:r>
    </w:p>
    <w:p>
      <w:pPr>
        <w:numPr>
          <w:ilvl w:val="0"/>
          <w:numId w:val="1176"/>
        </w:numPr>
        <w:pStyle w:val="Compact"/>
      </w:pPr>
      <w:r>
        <w:t xml:space="preserve">Run RF/NCRC with worst-off subgroup checks for directly affected rights cells, including categorical-prohibition and severe-rights-hazard channels where triggered.</w:t>
      </w:r>
    </w:p>
    <w:p>
      <w:pPr>
        <w:numPr>
          <w:ilvl w:val="0"/>
          <w:numId w:val="1176"/>
        </w:numPr>
        <w:pStyle w:val="Compact"/>
      </w:pPr>
      <w:r>
        <w:t xml:space="preserve">Execute TRC when catastrophe relevance is plausible: use at least 5 scenarios; include mandatory tail categories and probability floors unless implausible with documented justification; compute CVaR and the corridor check; and record the TRC table in the PCC.</w:t>
      </w:r>
    </w:p>
    <w:p>
      <w:pPr>
        <w:numPr>
          <w:ilvl w:val="0"/>
          <w:numId w:val="1176"/>
        </w:numPr>
        <w:pStyle w:val="Compact"/>
      </w:pPr>
      <w:r>
        <w:t xml:space="preserve">Complete a proportional, assumption-bounded CSV review for every option before ordinary RLS ranking. Tier 2 CSV MAY use qualitative or proxy evidence where validated structural instruments are unavailable, but it MUST issue one explicit status from the canonical ladder:</w:t>
      </w:r>
      <w:r>
        <w:t xml:space="preserve"> </w:t>
      </w:r>
      <w:r>
        <w:rPr>
          <w:rStyle w:val="VerbatimChar"/>
        </w:rPr>
        <w:t xml:space="preserve">CSV_PASS</w:t>
      </w:r>
      <w:r>
        <w:t xml:space="preserve">,</w:t>
      </w:r>
      <w:r>
        <w:t xml:space="preserve"> </w:t>
      </w:r>
      <w:r>
        <w:rPr>
          <w:rStyle w:val="VerbatimChar"/>
        </w:rPr>
        <w:t xml:space="preserve">CSV_PASS_WITH_CONTROLS</w:t>
      </w:r>
      <w:r>
        <w:t xml:space="preserve">,</w:t>
      </w:r>
      <w:r>
        <w:t xml:space="preserve"> </w:t>
      </w:r>
      <w:r>
        <w:rPr>
          <w:rStyle w:val="VerbatimChar"/>
        </w:rPr>
        <w:t xml:space="preserve">CSV_NOT_MATERIAL</w:t>
      </w:r>
      <w:r>
        <w:t xml:space="preserve">,</w:t>
      </w:r>
      <w:r>
        <w:t xml:space="preserve"> </w:t>
      </w:r>
      <w:r>
        <w:rPr>
          <w:rStyle w:val="VerbatimChar"/>
        </w:rPr>
        <w:t xml:space="preserve">CSV_REDESIGN_REQUIRED</w:t>
      </w:r>
      <w:r>
        <w:t xml:space="preserve">,</w:t>
      </w:r>
      <w:r>
        <w:t xml:space="preserve"> </w:t>
      </w:r>
      <w:r>
        <w:rPr>
          <w:rStyle w:val="VerbatimChar"/>
        </w:rPr>
        <w:t xml:space="preserve">CSV_ESCALATE</w:t>
      </w:r>
      <w:r>
        <w:t xml:space="preserve">,</w:t>
      </w:r>
      <w:r>
        <w:t xml:space="preserve"> </w:t>
      </w:r>
      <w:r>
        <w:rPr>
          <w:rStyle w:val="VerbatimChar"/>
        </w:rPr>
        <w:t xml:space="preserve">CSV_FAIL</w:t>
      </w:r>
      <w:r>
        <w:t xml:space="preserve">, or</w:t>
      </w:r>
      <w:r>
        <w:t xml:space="preserve"> </w:t>
      </w:r>
      <w:r>
        <w:rPr>
          <w:rStyle w:val="VerbatimChar"/>
        </w:rPr>
        <w:t xml:space="preserve">CSV_EMERGENCY_PROVISIONAL</w:t>
      </w:r>
      <w:r>
        <w:t xml:space="preserve"> </w:t>
      </w:r>
      <w:r>
        <w:t xml:space="preserve">where the emergency protocol applies. A</w:t>
      </w:r>
      <w:r>
        <w:t xml:space="preserve"> </w:t>
      </w:r>
      <w:r>
        <w:rPr>
          <w:rStyle w:val="VerbatimChar"/>
        </w:rPr>
        <w:t xml:space="preserve">CSV_NOT_MATERIAL</w:t>
      </w:r>
      <w:r>
        <w:t xml:space="preserve"> </w:t>
      </w:r>
      <w:r>
        <w:t xml:space="preserve">result MUST state why no material containment or structural-viability pathway is present. Refusal is a permitted claim or action disposition after</w:t>
      </w:r>
      <w:r>
        <w:t xml:space="preserve"> </w:t>
      </w:r>
      <w:r>
        <w:rPr>
          <w:rStyle w:val="VerbatimChar"/>
        </w:rPr>
        <w:t xml:space="preserve">CSV_FAIL</w:t>
      </w:r>
      <w:r>
        <w:t xml:space="preserve">, unresolved material uncertainty, or failed authority conditions;</w:t>
      </w:r>
      <w:r>
        <w:t xml:space="preserve"> </w:t>
      </w:r>
      <w:r>
        <w:rPr>
          <w:rStyle w:val="VerbatimChar"/>
        </w:rPr>
        <w:t xml:space="preserve">CSV_REFUSE</w:t>
      </w:r>
      <w:r>
        <w:t xml:space="preserve"> </w:t>
      </w:r>
      <w:r>
        <w:t xml:space="preserve">is not a canonical CSV status token.</w:t>
      </w:r>
    </w:p>
    <w:p>
      <w:pPr>
        <w:numPr>
          <w:ilvl w:val="0"/>
          <w:numId w:val="1176"/>
        </w:numPr>
        <w:pStyle w:val="Compact"/>
      </w:pPr>
      <w:r>
        <w:t xml:space="preserve">Form the selectable set only from options with adequate RG claim support, RF/NCRC pass, TRC pass, and a pass-equivalent CSV status (</w:t>
      </w:r>
      <w:r>
        <w:rPr>
          <w:rStyle w:val="VerbatimChar"/>
        </w:rPr>
        <w:t xml:space="preserve">CSV_PASS</w:t>
      </w:r>
      <w:r>
        <w:t xml:space="preserve">,</w:t>
      </w:r>
      <w:r>
        <w:t xml:space="preserve"> </w:t>
      </w:r>
      <w:r>
        <w:rPr>
          <w:rStyle w:val="VerbatimChar"/>
        </w:rPr>
        <w:t xml:space="preserve">CSV_PASS_WITH_CONTROLS</w:t>
      </w:r>
      <w:r>
        <w:t xml:space="preserve">, or</w:t>
      </w:r>
      <w:r>
        <w:t xml:space="preserve"> </w:t>
      </w:r>
      <w:r>
        <w:rPr>
          <w:rStyle w:val="VerbatimChar"/>
        </w:rPr>
        <w:t xml:space="preserve">CSV_NOT_MATERIAL</w:t>
      </w:r>
      <w:r>
        <w:t xml:space="preserve">).</w:t>
      </w:r>
    </w:p>
    <w:p>
      <w:pPr>
        <w:numPr>
          <w:ilvl w:val="0"/>
          <w:numId w:val="1176"/>
        </w:numPr>
        <w:pStyle w:val="Compact"/>
      </w:pPr>
      <w:r>
        <w:t xml:space="preserve">Compute RLS only for the selectable set and record the normalized ranking. If no option is selectable, redesign, delay, escalate, or refuse; do not force a score-based choice.</w:t>
      </w:r>
    </w:p>
    <w:p>
      <w:pPr>
        <w:numPr>
          <w:ilvl w:val="0"/>
          <w:numId w:val="1176"/>
        </w:numPr>
        <w:pStyle w:val="Compact"/>
      </w:pPr>
      <w:r>
        <w:t xml:space="preserve">If the selectable survivors are uncertainty-overlapped or non-decisive, apply only legitimate residual tie-break or authority-selection procedures; do not reopen or rescue a failed qualification level.</w:t>
      </w:r>
    </w:p>
    <w:p>
      <w:pPr>
        <w:numPr>
          <w:ilvl w:val="0"/>
          <w:numId w:val="1176"/>
        </w:numPr>
        <w:pStyle w:val="Compact"/>
      </w:pPr>
      <w:r>
        <w:t xml:space="preserve">Produce a basic PCC plus 5SPR, including the proportional CSV evidence, status, controls, blind spots, and review trigger.</w:t>
      </w:r>
    </w:p>
    <w:p>
      <w:pPr>
        <w:pStyle w:val="FirstParagraph"/>
      </w:pPr>
      <w:r>
        <w:t xml:space="preserve">Tier 2 propagation guidance:</w:t>
      </w:r>
    </w:p>
    <w:p>
      <w:pPr>
        <w:numPr>
          <w:ilvl w:val="0"/>
          <w:numId w:val="1177"/>
        </w:numPr>
        <w:pStyle w:val="Compact"/>
      </w:pPr>
      <w:r>
        <w:t xml:space="preserve">Default propagation_mode = NONE.</w:t>
      </w:r>
    </w:p>
    <w:p>
      <w:pPr>
        <w:numPr>
          <w:ilvl w:val="0"/>
          <w:numId w:val="1177"/>
        </w:numPr>
        <w:pStyle w:val="Compact"/>
      </w:pPr>
      <w:r>
        <w:t xml:space="preserve">QUICK propagation is allowed only if KQS policy is satisfied and sensitivity is feasible.</w:t>
      </w:r>
    </w:p>
    <w:p>
      <w:pPr>
        <w:pStyle w:val="FirstParagraph"/>
      </w:pPr>
      <w:r>
        <w:t xml:space="preserve">Structural-assurance note (Normative). Proportional CSV is mandatory before ordinary Tier 2 ranking, but its evidence depth is proportional to stakes and measurement maturity. A Tier 2 CSV result based on assumptions, proxies, or qualitative evidence MUST declare those limits. If the principal hazard is plausible hollowing-out, structural degradation, physical/causal inadmissibility, uncontrolled dependency, or other containment-relevant harm that cannot be responsibly bounded at Tier 2, the run MUST escalate to Tier 3, redesign, narrow the claim, or refuse the stronger selection claim. Quantitative UCI is not universally required at Tier 2; explicit structural reasoning and a pass-equivalent CSV status are.</w:t>
      </w:r>
    </w:p>
    <w:bookmarkEnd w:id="246"/>
    <w:bookmarkStart w:id="247" w:name="Xf92bb03b9df70a0db7ddea9fdfc89463d41800f"/>
    <w:p>
      <w:pPr>
        <w:pStyle w:val="Heading2"/>
      </w:pPr>
      <w:r>
        <w:rPr>
          <w:bCs/>
          <w:b/>
        </w:rPr>
        <w:t xml:space="preserve">15.4 Tier 3: Standard Auditable (Normative)</w:t>
      </w:r>
    </w:p>
    <w:p>
      <w:pPr>
        <w:pStyle w:val="FirstParagraph"/>
      </w:pPr>
      <w:r>
        <w:t xml:space="preserve">Use Tier 3 for high-stakes, contested, or externally scrutinized decisions where auditability and anti-gaming posture are required.</w:t>
      </w:r>
    </w:p>
    <w:p>
      <w:pPr>
        <w:pStyle w:val="BodyText"/>
      </w:pPr>
      <w:r>
        <w:t xml:space="preserve">Tier 3 minimum obligations:</w:t>
      </w:r>
    </w:p>
    <w:p>
      <w:pPr>
        <w:numPr>
          <w:ilvl w:val="0"/>
          <w:numId w:val="1178"/>
        </w:numPr>
        <w:pStyle w:val="Compact"/>
      </w:pPr>
      <w:r>
        <w:t xml:space="preserve">Full PCC (Appendix H), including: impacts, subgroup semantics, scenario library, containment results, RLS, uncertainties, sensitivity, audit flags, signatures.</w:t>
      </w:r>
    </w:p>
    <w:p>
      <w:pPr>
        <w:numPr>
          <w:ilvl w:val="0"/>
          <w:numId w:val="1179"/>
        </w:numPr>
        <w:pStyle w:val="Compact"/>
      </w:pPr>
      <w:r>
        <w:t xml:space="preserve">NCRC: Subgroup analysis required for rights-covered cells.</w:t>
      </w:r>
    </w:p>
    <w:p>
      <w:pPr>
        <w:numPr>
          <w:ilvl w:val="0"/>
          <w:numId w:val="1180"/>
        </w:numPr>
        <w:pStyle w:val="Compact"/>
      </w:pPr>
      <w:r>
        <w:t xml:space="preserve">TRC: Required with ≥20 scenarios and mandatory tails plus probability floors (Appendix D).</w:t>
      </w:r>
    </w:p>
    <w:p>
      <w:pPr>
        <w:numPr>
          <w:ilvl w:val="0"/>
          <w:numId w:val="1181"/>
        </w:numPr>
        <w:pStyle w:val="Compact"/>
      </w:pPr>
      <w:r>
        <w:t xml:space="preserve">CSV / Containment and Structural Viability: Required and binding.</w:t>
      </w:r>
    </w:p>
    <w:p>
      <w:pPr>
        <w:numPr>
          <w:ilvl w:val="0"/>
          <w:numId w:val="1182"/>
        </w:numPr>
      </w:pPr>
      <w:r>
        <w:t xml:space="preserve">Sensitivity analysis bundle required:</w:t>
      </w:r>
    </w:p>
    <w:p>
      <w:pPr>
        <w:numPr>
          <w:ilvl w:val="1"/>
          <w:numId w:val="1183"/>
        </w:numPr>
        <w:pStyle w:val="Compact"/>
      </w:pPr>
      <w:r>
        <w:t xml:space="preserve">Weights perturbation,</w:t>
      </w:r>
    </w:p>
    <w:p>
      <w:pPr>
        <w:numPr>
          <w:ilvl w:val="1"/>
          <w:numId w:val="1184"/>
        </w:numPr>
        <w:pStyle w:val="Compact"/>
      </w:pPr>
      <w:r>
        <w:t xml:space="preserve">Rights threshold perturbation (±0.05 on θ_r as a sensitivity test),</w:t>
      </w:r>
    </w:p>
    <w:p>
      <w:pPr>
        <w:numPr>
          <w:ilvl w:val="1"/>
          <w:numId w:val="1185"/>
        </w:numPr>
        <w:pStyle w:val="Compact"/>
      </w:pPr>
      <w:r>
        <w:t xml:space="preserve">Kernel perturbation if QUICK used,</w:t>
      </w:r>
    </w:p>
    <w:p>
      <w:pPr>
        <w:numPr>
          <w:ilvl w:val="1"/>
          <w:numId w:val="1186"/>
        </w:numPr>
        <w:pStyle w:val="Compact"/>
      </w:pPr>
      <w:r>
        <w:t xml:space="preserve">Scenario probability perturbation,</w:t>
      </w:r>
    </w:p>
    <w:p>
      <w:pPr>
        <w:numPr>
          <w:ilvl w:val="1"/>
          <w:numId w:val="1187"/>
        </w:numPr>
        <w:pStyle w:val="Compact"/>
      </w:pPr>
      <w:r>
        <w:t xml:space="preserve">Direct saturation</w:t>
      </w:r>
      <w:r>
        <w:t xml:space="preserve"> </w:t>
      </w:r>
      <w:r>
        <w:rPr>
          <w:rStyle w:val="VerbatimChar"/>
        </w:rPr>
        <w:t xml:space="preserve">β</w:t>
      </w:r>
      <w:r>
        <w:t xml:space="preserve"> </w:t>
      </w:r>
      <w:r>
        <w:t xml:space="preserve">perturbation and, where RF/NCRC is material, rights saturation</w:t>
      </w:r>
      <w:r>
        <w:t xml:space="preserve"> </w:t>
      </w:r>
      <w:r>
        <w:rPr>
          <w:rStyle w:val="VerbatimChar"/>
        </w:rPr>
        <w:t xml:space="preserve">β_RF</w:t>
      </w:r>
      <w:r>
        <w:t xml:space="preserve"> </w:t>
      </w:r>
      <w:r>
        <w:t xml:space="preserve">perturbation,</w:t>
      </w:r>
    </w:p>
    <w:p>
      <w:pPr>
        <w:numPr>
          <w:ilvl w:val="1"/>
          <w:numId w:val="1188"/>
        </w:numPr>
        <w:pStyle w:val="Compact"/>
      </w:pPr>
      <w:r>
        <w:t xml:space="preserve">Baseline sensitivity for non-maskable FLOOR_REFERENCE cells when a defensible STATUS_QUO welfare counterfactual exists.</w:t>
      </w:r>
    </w:p>
    <w:p>
      <w:pPr>
        <w:numPr>
          <w:ilvl w:val="0"/>
          <w:numId w:val="1189"/>
        </w:numPr>
      </w:pPr>
      <w:r>
        <w:t xml:space="preserve">Kernel: QUICK permitted only if KQS policy permits:</w:t>
      </w:r>
    </w:p>
    <w:p>
      <w:pPr>
        <w:numPr>
          <w:ilvl w:val="1"/>
          <w:numId w:val="1190"/>
        </w:numPr>
        <w:pStyle w:val="Compact"/>
      </w:pPr>
      <w:r>
        <w:t xml:space="preserve">KQS &lt; 0.40: NONE only,</w:t>
      </w:r>
    </w:p>
    <w:p>
      <w:pPr>
        <w:numPr>
          <w:ilvl w:val="1"/>
          <w:numId w:val="1191"/>
        </w:numPr>
        <w:pStyle w:val="Compact"/>
      </w:pPr>
      <w:r>
        <w:t xml:space="preserve">0.40-0.50: QUICK plus mandatory sensitivity,</w:t>
      </w:r>
    </w:p>
    <w:p>
      <w:pPr>
        <w:numPr>
          <w:ilvl w:val="1"/>
          <w:numId w:val="1192"/>
        </w:numPr>
        <w:pStyle w:val="Compact"/>
      </w:pPr>
      <w:r>
        <w:t xml:space="preserve">≥0.50: QUICK permitted plus sensitivity.</w:t>
      </w:r>
    </w:p>
    <w:p>
      <w:pPr>
        <w:numPr>
          <w:ilvl w:val="0"/>
          <w:numId w:val="1193"/>
        </w:numPr>
        <w:pStyle w:val="Compact"/>
      </w:pPr>
      <w:r>
        <w:t xml:space="preserve">FULL propagation is prohibited for Tier 1-3 claims.</w:t>
      </w:r>
    </w:p>
    <w:bookmarkEnd w:id="247"/>
    <w:bookmarkStart w:id="248" w:name="Xf099e2e21385080ba88e4df8ba384a871d3ce2e"/>
    <w:p>
      <w:pPr>
        <w:pStyle w:val="Heading2"/>
      </w:pPr>
      <w:r>
        <w:rPr>
          <w:bCs/>
          <w:b/>
        </w:rPr>
        <w:t xml:space="preserve">15.4A Conformance, empirical readiness, and reference implementation posture (Normative clarification)</w:t>
      </w:r>
    </w:p>
    <w:p>
      <w:pPr>
        <w:pStyle w:val="FirstParagraph"/>
      </w:pPr>
      <w:r>
        <w:t xml:space="preserve">Tier 1-3 run-level conformance claims concern whether a particular run satisfies the requirements of this specification. They are distinct from framework-level empirical operational-readiness claims about comparative real-world performance, calibration quality, or superiority over alternative governance methods. Tier 3 run-level conformance means the run satisfies Tier 3 procedural, evidentiary, and audit requirements as declared; it does not by itself imply that every structural indicator family used for UCI or Containment is externally validated, mature across domains, or empirically calibrated beyond the declared measurement pack.</w:t>
      </w:r>
    </w:p>
    <w:p>
      <w:pPr>
        <w:pStyle w:val="BodyText"/>
      </w:pPr>
      <w:r>
        <w:t xml:space="preserve">Reference implementation posture (Informative with binding disclosure consequence). This Foundation Paper normatively defines conformance without requiring a published reference implementation. However, project custodians SHOULD publish sibling reference implementation artifacts consisting at minimum of a machine-readable PCC schema, validator rule set, and executable Appendix R fixtures. Until such artifacts are published in a release manifest, framework-level claims of replay-grade operational readiness MUST remain provisional even where run-level Tier 1-3 conformance is possible.</w:t>
      </w:r>
    </w:p>
    <w:p>
      <w:pPr>
        <w:pStyle w:val="BodyText"/>
      </w:pPr>
      <w:r>
        <w:rPr>
          <w:bCs/>
          <w:b/>
        </w:rPr>
        <w:t xml:space="preserve">Evidence-generating adoption posture (Normative research guidance).</w:t>
      </w:r>
      <w:r>
        <w:t xml:space="preserve"> </w:t>
      </w:r>
      <w:r>
        <w:t xml:space="preserve">Where lawful, ethical, and operationally feasible, a preregistered sample of Tier 3 runs SHOULD include a shadow comparator, alternative method, or independent parallel review so ordinary use can contribute comparative evidence rather than only conformance records. The sampling fraction, comparator, outcome measures, and publication rule MUST be declared before results are known. A comparator is not required when it would create unacceptable rights, safety, confidentiality, or operational burdens; such exclusions MUST be recorded. This guidance creates no deployment permission and does not turn routine records into validation evidence without a declared study design.</w:t>
      </w:r>
    </w:p>
    <w:bookmarkEnd w:id="248"/>
    <w:bookmarkStart w:id="249" w:name="X7567013d368fdece6b2970c967fba459e9ed841"/>
    <w:p>
      <w:pPr>
        <w:pStyle w:val="Heading2"/>
      </w:pPr>
      <w:r>
        <w:rPr>
          <w:bCs/>
          <w:b/>
        </w:rPr>
        <w:t xml:space="preserve">15.5 NCAR Integration by Tier (Normative)</w:t>
      </w:r>
    </w:p>
    <w:p>
      <w:pPr>
        <w:pStyle w:val="FirstParagraph"/>
      </w:pPr>
      <w:r>
        <w:t xml:space="preserve">All tiers SHOULD operate within NCAR.</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Phase</w:t>
            </w:r>
          </w:p>
        </w:tc>
        <w:tc>
          <w:tcPr>
            <w:shd w:val="clear" w:color="auto" w:fill="D9EAF7"/>
            <w:vAlign w:val="center"/>
          </w:tcPr>
          <w:p>
            <w:pPr>
              <w:pStyle w:val="Compact"/>
              <w:jc w:val="left"/>
            </w:pPr>
            <w:r>
              <w:rPr>
                <w:bCs/>
                <w:b/>
                <w:color w:val="17365D"/>
              </w:rPr>
              <w:t xml:space="preserve">Action</w:t>
            </w:r>
          </w:p>
        </w:tc>
      </w:tr>
      <w:tr>
        <w:tc>
          <w:tcPr>
            <w:vAlign w:val="top"/>
          </w:tcPr>
          <w:p>
            <w:pPr>
              <w:pStyle w:val="Compact"/>
              <w:jc w:val="left"/>
            </w:pPr>
            <w:r>
              <w:t xml:space="preserve">Notice</w:t>
            </w:r>
          </w:p>
        </w:tc>
        <w:tc>
          <w:tcPr>
            <w:vAlign w:val="top"/>
          </w:tcPr>
          <w:p>
            <w:pPr>
              <w:pStyle w:val="Compact"/>
              <w:jc w:val="left"/>
            </w:pPr>
            <w:r>
              <w:t xml:space="preserve">Define scope, unions, options, baseline, and configuration</w:t>
            </w:r>
          </w:p>
        </w:tc>
      </w:tr>
      <w:tr>
        <w:tc>
          <w:tcPr>
            <w:shd w:val="clear" w:color="auto" w:fill="F7FBFE"/>
            <w:vAlign w:val="top"/>
          </w:tcPr>
          <w:p>
            <w:pPr>
              <w:pStyle w:val="Compact"/>
              <w:jc w:val="left"/>
            </w:pPr>
            <w:r>
              <w:t xml:space="preserve">Choose</w:t>
            </w:r>
          </w:p>
        </w:tc>
        <w:tc>
          <w:tcPr>
            <w:shd w:val="clear" w:color="auto" w:fill="F7FBFE"/>
            <w:vAlign w:val="top"/>
          </w:tcPr>
          <w:p>
            <w:pPr>
              <w:pStyle w:val="Compact"/>
              <w:jc w:val="left"/>
            </w:pPr>
            <w:r>
              <w:t xml:space="preserve">Execute cascade and emit PCC</w:t>
            </w:r>
          </w:p>
        </w:tc>
      </w:tr>
      <w:tr>
        <w:tc>
          <w:tcPr>
            <w:vAlign w:val="top"/>
          </w:tcPr>
          <w:p>
            <w:pPr>
              <w:pStyle w:val="Compact"/>
              <w:jc w:val="left"/>
            </w:pPr>
            <w:r>
              <w:t xml:space="preserve">Act</w:t>
            </w:r>
          </w:p>
        </w:tc>
        <w:tc>
          <w:tcPr>
            <w:vAlign w:val="top"/>
          </w:tcPr>
          <w:p>
            <w:pPr>
              <w:pStyle w:val="Compact"/>
              <w:jc w:val="left"/>
            </w:pPr>
            <w:r>
              <w:t xml:space="preserve">Implement with monitoring aligned to predicted impacts and tail scenarios</w:t>
            </w:r>
          </w:p>
        </w:tc>
      </w:tr>
      <w:tr>
        <w:tc>
          <w:tcPr>
            <w:shd w:val="clear" w:color="auto" w:fill="F7FBFE"/>
            <w:vAlign w:val="top"/>
          </w:tcPr>
          <w:p>
            <w:pPr>
              <w:pStyle w:val="Compact"/>
              <w:jc w:val="left"/>
            </w:pPr>
            <w:r>
              <w:t xml:space="preserve">Reflect</w:t>
            </w:r>
          </w:p>
        </w:tc>
        <w:tc>
          <w:tcPr>
            <w:shd w:val="clear" w:color="auto" w:fill="F7FBFE"/>
            <w:vAlign w:val="top"/>
          </w:tcPr>
          <w:p>
            <w:pPr>
              <w:pStyle w:val="Compact"/>
              <w:jc w:val="left"/>
            </w:pPr>
            <w:r>
              <w:t xml:space="preserve">Compare observed outcomes to predictions; update indicators, kernels, scenario libraries, and weights through governed procedures</w:t>
            </w:r>
          </w:p>
        </w:tc>
      </w:tr>
    </w:tbl>
    <w:p>
      <w:pPr>
        <w:pStyle w:val="BodyText"/>
      </w:pPr>
      <w:r>
        <w:t xml:space="preserve">Reflect cadence defaults:</w:t>
      </w:r>
    </w:p>
    <w:p>
      <w:pPr>
        <w:numPr>
          <w:ilvl w:val="0"/>
          <w:numId w:val="1194"/>
        </w:numPr>
        <w:pStyle w:val="Compact"/>
      </w:pPr>
      <w:r>
        <w:t xml:space="preserve">Tier 2: Within 6 months or after major outcome data</w:t>
      </w:r>
    </w:p>
    <w:p>
      <w:pPr>
        <w:numPr>
          <w:ilvl w:val="0"/>
          <w:numId w:val="1195"/>
        </w:numPr>
        <w:pStyle w:val="Compact"/>
      </w:pPr>
      <w:r>
        <w:t xml:space="preserve">Tier 3: Within 3-6 months or after major outcome data</w:t>
      </w:r>
    </w:p>
    <w:p>
      <w:pPr>
        <w:numPr>
          <w:ilvl w:val="0"/>
          <w:numId w:val="1196"/>
        </w:numPr>
        <w:pStyle w:val="Compact"/>
      </w:pPr>
      <w:r>
        <w:t xml:space="preserve">Emergency/Fallback: Review cadence per declared severity and risk</w:t>
      </w:r>
    </w:p>
    <w:bookmarkEnd w:id="249"/>
    <w:bookmarkStart w:id="250" w:name="Xfec6866625dd4dffdf77e0aebc9cfba74744d96"/>
    <w:p>
      <w:pPr>
        <w:pStyle w:val="Heading2"/>
      </w:pPr>
      <w:r>
        <w:rPr>
          <w:bCs/>
          <w:b/>
        </w:rPr>
        <w:t xml:space="preserve">15.6 Improvement and Future Upgrades (Normative stance)</w:t>
      </w:r>
    </w:p>
    <w:p>
      <w:pPr>
        <w:pStyle w:val="FirstParagraph"/>
      </w:pPr>
      <w:r>
        <w:t xml:space="preserve">RippleLogic is corrigible. Any improvement MUST:</w:t>
      </w:r>
    </w:p>
    <w:p>
      <w:pPr>
        <w:numPr>
          <w:ilvl w:val="0"/>
          <w:numId w:val="1197"/>
        </w:numPr>
        <w:pStyle w:val="Compact"/>
      </w:pPr>
      <w:r>
        <w:t xml:space="preserve">Preserve NCRC/TRC non-compensability structure,</w:t>
      </w:r>
    </w:p>
    <w:p>
      <w:pPr>
        <w:numPr>
          <w:ilvl w:val="0"/>
          <w:numId w:val="1198"/>
        </w:numPr>
        <w:pStyle w:val="Compact"/>
      </w:pPr>
      <w:r>
        <w:t xml:space="preserve">Be explicit, versioned, and auditable (AIL),</w:t>
      </w:r>
    </w:p>
    <w:p>
      <w:pPr>
        <w:numPr>
          <w:ilvl w:val="0"/>
          <w:numId w:val="1199"/>
        </w:numPr>
        <w:pStyle w:val="Compact"/>
      </w:pPr>
      <w:r>
        <w:t xml:space="preserve">Be tested under the validation program (Section 17),</w:t>
      </w:r>
    </w:p>
    <w:p>
      <w:pPr>
        <w:numPr>
          <w:ilvl w:val="0"/>
          <w:numId w:val="1200"/>
        </w:numPr>
        <w:pStyle w:val="Compact"/>
      </w:pPr>
      <w:r>
        <w:t xml:space="preserve">And be introduced via governed update processes (NCAR Reflect plus versioning).</w:t>
      </w:r>
    </w:p>
    <w:bookmarkEnd w:id="250"/>
    <w:bookmarkEnd w:id="251"/>
    <w:bookmarkStart w:id="261" w:name="X0160aa132b1339db584001b4a694352730da91c"/>
    <w:p>
      <w:pPr>
        <w:pStyle w:val="Heading1"/>
      </w:pPr>
      <w:bookmarkStart w:id="781" w:name="mg_toc_017"/>
      <w:r>
        <w:rPr>
          <w:bCs/>
          <w:b/>
        </w:rPr>
        <w:t xml:space="preserve">SECTION 16: RELATIONSHIP TO EXISTING FRAMEWORKS (INFORMATIVE)</w:t>
      </w:r>
      <w:bookmarkEnd w:id="781"/>
    </w:p>
    <w:bookmarkStart w:id="252" w:name="Xcf42a55e8ce9d36c650be2dbf667ca4fb4c5140"/>
    <w:p>
      <w:pPr>
        <w:pStyle w:val="Heading2"/>
      </w:pPr>
      <w:r>
        <w:rPr>
          <w:bCs/>
          <w:b/>
        </w:rPr>
        <w:t xml:space="preserve">16.0 Purpose</w:t>
      </w:r>
    </w:p>
    <w:p>
      <w:pPr>
        <w:pStyle w:val="FirstParagraph"/>
      </w:pPr>
      <w:r>
        <w:t xml:space="preserve">This section positions RippleLogic relative to existing ethical, governance, and decision frameworks. It clarifies structural differences and interfaces.</w:t>
      </w:r>
    </w:p>
    <w:bookmarkEnd w:id="252"/>
    <w:bookmarkStart w:id="253" w:name="X3038ddab471b71daee9a63bc4805730c89c6662"/>
    <w:p>
      <w:pPr>
        <w:pStyle w:val="Heading2"/>
      </w:pPr>
      <w:r>
        <w:rPr>
          <w:bCs/>
          <w:b/>
        </w:rPr>
        <w:t xml:space="preserve">16.1 Compared to Utilitarianism / Cost-Benefit Analysis (CBA)</w:t>
      </w:r>
    </w:p>
    <w:p>
      <w:pPr>
        <w:pStyle w:val="FirstParagraph"/>
      </w:pPr>
      <w:r>
        <w:t xml:space="preserve">CBA often scalarizes plural values into a single metric (money/utility), enabling rights tradeoffs. RippleLogic blocks this via NCRC (rights as constraints) and TRC (tail risk as constraint), then optimizes welfare only within the admissible set.</w:t>
      </w:r>
    </w:p>
    <w:bookmarkEnd w:id="253"/>
    <w:bookmarkStart w:id="254" w:name="Xa9148774eac7305eebb529c9606c09f2c3d7081"/>
    <w:p>
      <w:pPr>
        <w:pStyle w:val="Heading2"/>
      </w:pPr>
      <w:r>
        <w:rPr>
          <w:bCs/>
          <w:b/>
        </w:rPr>
        <w:t xml:space="preserve">16.2 Compared to Deontology (Rule-based ethics)</w:t>
      </w:r>
    </w:p>
    <w:p>
      <w:pPr>
        <w:pStyle w:val="FirstParagraph"/>
      </w:pPr>
      <w:r>
        <w:t xml:space="preserve">Pure deontology can lack a complete operational procedure for comparing permitted options under uncertainty. RippleLogic retains non-compensable constraints but adds computable consequence modeling and tail-risk bounding.</w:t>
      </w:r>
    </w:p>
    <w:bookmarkEnd w:id="254"/>
    <w:bookmarkStart w:id="255" w:name="X6bcf97f16e0aac0b5c614567deb73f3f477926c"/>
    <w:p>
      <w:pPr>
        <w:pStyle w:val="Heading2"/>
      </w:pPr>
      <w:r>
        <w:rPr>
          <w:bCs/>
          <w:b/>
        </w:rPr>
        <w:t xml:space="preserve">16.3 Compared to Rawlsian Justice and Capability Approaches</w:t>
      </w:r>
    </w:p>
    <w:p>
      <w:pPr>
        <w:pStyle w:val="FirstParagraph"/>
      </w:pPr>
      <w:r>
        <w:t xml:space="preserve">Rawls provides priority of liberty and fair basic structure; capabilities provide multi-dimensional flourishing. RippleLogic operationalizes multi-dimensional welfare into a computable 7×7 matrix and makes rights floors explicit across unions.</w:t>
      </w:r>
    </w:p>
    <w:bookmarkEnd w:id="255"/>
    <w:bookmarkStart w:id="256" w:name="X77edf5dde5326f4428d70e052031756450048c0"/>
    <w:p>
      <w:pPr>
        <w:pStyle w:val="Heading2"/>
      </w:pPr>
      <w:r>
        <w:rPr>
          <w:bCs/>
          <w:b/>
        </w:rPr>
        <w:t xml:space="preserve">16.4 Compared to MCDA (Multi-Criteria Decision Analysis)</w:t>
      </w:r>
    </w:p>
    <w:p>
      <w:pPr>
        <w:pStyle w:val="FirstParagraph"/>
      </w:pPr>
      <w:r>
        <w:t xml:space="preserve">Standard MCDA often aggregates criteria via weighted sums or outranking without lexicographic catastrophe handling (Keeney &amp; Raiffa, 1976; Belton &amp; Stewart, 2002). RippleLogic is MCDA-like at the RLS layer but is structurally different because admissibility gates (NCRC/TRC/CSV) are lexicographic and non-compensable.</w:t>
      </w:r>
    </w:p>
    <w:bookmarkEnd w:id="256"/>
    <w:bookmarkStart w:id="257" w:name="X0797b590d65ffc37b3e2267bb4255bf550501c4"/>
    <w:p>
      <w:pPr>
        <w:pStyle w:val="Heading2"/>
      </w:pPr>
      <w:r>
        <w:rPr>
          <w:bCs/>
          <w:b/>
        </w:rPr>
        <w:t xml:space="preserve">16.5 Compared to AI Alignment Toolsets (RLHF, Constitutional AI, risk frameworks)</w:t>
      </w:r>
    </w:p>
    <w:p>
      <w:pPr>
        <w:pStyle w:val="FirstParagraph"/>
      </w:pPr>
      <w:r>
        <w:t xml:space="preserve">Many alignment approaches train systems toward proxies (human feedback, constitutional principles) without hard admissibility gates. RippleLogic provides a decision-engine architecture: action-space filtering by NCRC/TRC/CSV, structured welfare scoring (RLS), auditable traces (PCC), and corrigibility via NCAR.</w:t>
      </w:r>
    </w:p>
    <w:bookmarkEnd w:id="257"/>
    <w:bookmarkStart w:id="258" w:name="X87e308b94d111e7704c24730468bb31e9cb98a1"/>
    <w:p>
      <w:pPr>
        <w:pStyle w:val="Heading2"/>
      </w:pPr>
      <w:r>
        <w:rPr>
          <w:bCs/>
          <w:b/>
        </w:rPr>
        <w:t xml:space="preserve">16.6 Interoperability with Governance Standards</w:t>
      </w:r>
    </w:p>
    <w:p>
      <w:pPr>
        <w:pStyle w:val="FirstParagraph"/>
      </w:pPr>
      <w:r>
        <w:t xml:space="preserve">RippleLogic is designed to be interoperable with governance regimes emphasizing accountability and risk management (for example, NIST AI RMF) through its PCC record, scenario governance, and explicit risk bounding. It adds formal lexicographic rights and tail-risk operators that many standards leave at a principles level.</w:t>
      </w:r>
    </w:p>
    <w:bookmarkEnd w:id="258"/>
    <w:bookmarkStart w:id="259" w:name="Xf173dc3ad53f1f9f2ca4eda9f05b932acce96e2"/>
    <w:p>
      <w:pPr>
        <w:pStyle w:val="Heading2"/>
      </w:pPr>
      <w:r>
        <w:rPr>
          <w:bCs/>
          <w:b/>
        </w:rPr>
        <w:t xml:space="preserve">16.7 Compared to Commons Governance</w:t>
      </w:r>
    </w:p>
    <w:p>
      <w:pPr>
        <w:pStyle w:val="FirstParagraph"/>
      </w:pPr>
      <w:r>
        <w:t xml:space="preserve">RippleLogic is compatible with institutional approaches to governing shared resources and externalities. Where commons governance emphasizes rules-in-use, monitoring, graduated sanctions, and polycentric coordination, RippleLogic contributes a computable, auditable decision cascade that makes rights floors, tail-risk bounds, and cross-union ripple effects explicit in each decision record (Ostrom, 1990).</w:t>
      </w:r>
    </w:p>
    <w:bookmarkEnd w:id="259"/>
    <w:bookmarkStart w:id="260" w:name="X322d25f0d34f580d8ce1566b02e2214d1cd74af"/>
    <w:p>
      <w:pPr>
        <w:pStyle w:val="Heading2"/>
      </w:pPr>
      <w:r>
        <w:rPr>
          <w:bCs/>
          <w:b/>
        </w:rPr>
        <w:t xml:space="preserve">16.8 RLS Validation and Calibration Status (Informative bridge)</w:t>
      </w:r>
    </w:p>
    <w:p>
      <w:pPr>
        <w:pStyle w:val="FirstParagraph"/>
      </w:pPr>
      <w:r>
        <w:t xml:space="preserve">Current status. RLS is release-ready as a structured residual welfare-scoring specification and audit method. It does not yet claim empirical validation of the dimensional non-overlap of the 7x7 welfare field, calibrated decisiveness thresholds, or inter-rater reliability of cell-filling across independent analysts. A companion RLS Validation Protocol should test these claims through scored-case datasets, correlation/factor analysis across the 49 cells, inter-rater reliability studies, disagreement heatmaps, scalar-comparator analysis, and revision rules. Until those studies are completed, public claims should say that RLS is structurally complete and auditable, not that it is empirically proven to produce superior decisions.</w:t>
      </w:r>
    </w:p>
    <w:bookmarkEnd w:id="260"/>
    <w:bookmarkEnd w:id="261"/>
    <w:bookmarkStart w:id="281" w:name="X089ec1e241da03a99a44433ba9a176295787aac"/>
    <w:p>
      <w:pPr>
        <w:pStyle w:val="Heading1"/>
      </w:pPr>
      <w:bookmarkStart w:id="782" w:name="mg_toc_018"/>
      <w:r>
        <w:rPr>
          <w:bCs/>
          <w:b/>
        </w:rPr>
        <w:t xml:space="preserve">SECTION 17: VALIDATION, FALSIFICATION, AND RESEARCH PROGRAM (NORMATIVE FOR CLAIMS)</w:t>
      </w:r>
      <w:bookmarkEnd w:id="782"/>
    </w:p>
    <w:bookmarkStart w:id="262" w:name="X47a4de2477c9068098e86a6d19f6128ea5007c5"/>
    <w:p>
      <w:pPr>
        <w:pStyle w:val="Heading2"/>
      </w:pPr>
      <w:r>
        <w:rPr>
          <w:bCs/>
          <w:b/>
        </w:rPr>
        <w:t xml:space="preserve">17.0 Purpose (Normative)</w:t>
      </w:r>
    </w:p>
    <w:p>
      <w:pPr>
        <w:pStyle w:val="FirstParagraph"/>
      </w:pPr>
      <w:r>
        <w:t xml:space="preserve">RippleLogic makes testable claims about decision quality, rights protection, tail-risk avoidance, and auditability. This section specifies explicit falsification criteria and a staged validation program. Until such validation is completed, RippleLogic remains a theory-to-practice system with bounded claims: Tier compliance is claimable, real-world performance superiority is not.</w:t>
      </w:r>
    </w:p>
    <w:p>
      <w:pPr>
        <w:pStyle w:val="BodyText"/>
      </w:pPr>
      <w:r>
        <w:t xml:space="preserve">This validation program follows a falsification-first posture consistent with scientific corrigibility: components that fail their empirical tests must be revised or abandoned rather than defended by authority (Popper, 1959).</w:t>
      </w:r>
    </w:p>
    <w:bookmarkEnd w:id="262"/>
    <w:bookmarkStart w:id="263" w:name="X830cbc85b73e8390680a2d605e952de4a5926a0"/>
    <w:p>
      <w:pPr>
        <w:pStyle w:val="Heading2"/>
      </w:pPr>
      <w:r>
        <w:rPr>
          <w:bCs/>
          <w:b/>
        </w:rPr>
        <w:t xml:space="preserve">17.0A Layered Falsification Attribution Rule (Normative for validation claims)</w:t>
      </w:r>
    </w:p>
    <w:p>
      <w:pPr>
        <w:pStyle w:val="FirstParagraph"/>
      </w:pPr>
      <w:r>
        <w:t xml:space="preserve">A failure must be attributed to the layer it actually falsifies before a broader falsification claim is made. A failed measurement does not by itself falsify the framework; a failed projection does not by itself falsify a rights floor; and a failed gate operator must not be excused as mere input error when all admissible data, projection, and parameter alternatives have been ruled out.</w:t>
      </w:r>
    </w:p>
    <w:p>
      <w:pPr>
        <w:pStyle w:val="BodyText"/>
      </w:pPr>
      <w:r>
        <w:t xml:space="preserve">Every recorded validation failure SHOULD include both FalsificationClass and FalsificationLayer. Recommended FalsificationLayer values are DATA, PROJECTION, PARAMETER, GATE_OPERATOR, PRIMITIVE, GOVERNANCE, and COMMUNICATION.</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Layer</w:t>
            </w:r>
          </w:p>
        </w:tc>
        <w:tc>
          <w:tcPr>
            <w:shd w:val="clear" w:color="auto" w:fill="D9EAF7"/>
            <w:vAlign w:val="center"/>
          </w:tcPr>
          <w:p>
            <w:pPr>
              <w:pStyle w:val="Compact"/>
              <w:jc w:val="left"/>
            </w:pPr>
            <w:r>
              <w:rPr>
                <w:bCs/>
                <w:b/>
                <w:color w:val="17365D"/>
              </w:rPr>
              <w:t xml:space="preserve">What failure means</w:t>
            </w:r>
          </w:p>
        </w:tc>
        <w:tc>
          <w:tcPr>
            <w:shd w:val="clear" w:color="auto" w:fill="D9EAF7"/>
            <w:vAlign w:val="center"/>
          </w:tcPr>
          <w:p>
            <w:pPr>
              <w:pStyle w:val="Compact"/>
              <w:jc w:val="left"/>
            </w:pPr>
            <w:r>
              <w:rPr>
                <w:bCs/>
                <w:b/>
                <w:color w:val="17365D"/>
              </w:rPr>
              <w:t xml:space="preserve">Does not by itself falsify</w:t>
            </w:r>
          </w:p>
        </w:tc>
        <w:tc>
          <w:tcPr>
            <w:shd w:val="clear" w:color="auto" w:fill="D9EAF7"/>
            <w:vAlign w:val="center"/>
          </w:tcPr>
          <w:p>
            <w:pPr>
              <w:pStyle w:val="Compact"/>
              <w:jc w:val="left"/>
            </w:pPr>
            <w:r>
              <w:rPr>
                <w:bCs/>
                <w:b/>
                <w:color w:val="17365D"/>
              </w:rPr>
              <w:t xml:space="preserve">Required response</w:t>
            </w:r>
          </w:p>
        </w:tc>
      </w:tr>
      <w:tr>
        <w:tc>
          <w:tcPr>
            <w:vAlign w:val="top"/>
          </w:tcPr>
          <w:p>
            <w:pPr>
              <w:pStyle w:val="Compact"/>
              <w:jc w:val="left"/>
            </w:pPr>
            <w:r>
              <w:t xml:space="preserve">DATA</w:t>
            </w:r>
          </w:p>
        </w:tc>
        <w:tc>
          <w:tcPr>
            <w:vAlign w:val="top"/>
          </w:tcPr>
          <w:p>
            <w:pPr>
              <w:pStyle w:val="Compact"/>
              <w:jc w:val="left"/>
            </w:pPr>
            <w:r>
              <w:t xml:space="preserve">Input missing, wrong, stale, biased, or insufficient.</w:t>
            </w:r>
          </w:p>
        </w:tc>
        <w:tc>
          <w:tcPr>
            <w:vAlign w:val="top"/>
          </w:tcPr>
          <w:p>
            <w:pPr>
              <w:pStyle w:val="Compact"/>
              <w:jc w:val="left"/>
            </w:pPr>
            <w:r>
              <w:t xml:space="preserve">Gate definitions or framework primitives.</w:t>
            </w:r>
          </w:p>
        </w:tc>
        <w:tc>
          <w:tcPr>
            <w:vAlign w:val="top"/>
          </w:tcPr>
          <w:p>
            <w:pPr>
              <w:pStyle w:val="Compact"/>
              <w:jc w:val="left"/>
            </w:pPr>
            <w:r>
              <w:t xml:space="preserve">Re-collect, disclose uncertainty, rerun.</w:t>
            </w:r>
          </w:p>
        </w:tc>
      </w:tr>
      <w:tr>
        <w:tc>
          <w:tcPr>
            <w:shd w:val="clear" w:color="auto" w:fill="F7FBFE"/>
            <w:vAlign w:val="top"/>
          </w:tcPr>
          <w:p>
            <w:pPr>
              <w:pStyle w:val="Compact"/>
              <w:jc w:val="left"/>
            </w:pPr>
            <w:r>
              <w:t xml:space="preserve">PROJECTION</w:t>
            </w:r>
          </w:p>
        </w:tc>
        <w:tc>
          <w:tcPr>
            <w:shd w:val="clear" w:color="auto" w:fill="F7FBFE"/>
            <w:vAlign w:val="top"/>
          </w:tcPr>
          <w:p>
            <w:pPr>
              <w:pStyle w:val="Compact"/>
              <w:jc w:val="left"/>
            </w:pPr>
            <w:r>
              <w:t xml:space="preserve">Scenario, mapping, kernel, stakeholder model, or prediction surface was wrong.</w:t>
            </w:r>
          </w:p>
        </w:tc>
        <w:tc>
          <w:tcPr>
            <w:shd w:val="clear" w:color="auto" w:fill="F7FBFE"/>
            <w:vAlign w:val="top"/>
          </w:tcPr>
          <w:p>
            <w:pPr>
              <w:pStyle w:val="Compact"/>
              <w:jc w:val="left"/>
            </w:pPr>
            <w:r>
              <w:t xml:space="preserve">Rights logic or the whole framework.</w:t>
            </w:r>
          </w:p>
        </w:tc>
        <w:tc>
          <w:tcPr>
            <w:shd w:val="clear" w:color="auto" w:fill="F7FBFE"/>
            <w:vAlign w:val="top"/>
          </w:tcPr>
          <w:p>
            <w:pPr>
              <w:pStyle w:val="Compact"/>
              <w:jc w:val="left"/>
            </w:pPr>
            <w:r>
              <w:t xml:space="preserve">Freeze a new projection; rerun as a new run.</w:t>
            </w:r>
          </w:p>
        </w:tc>
      </w:tr>
      <w:tr>
        <w:tc>
          <w:tcPr>
            <w:vAlign w:val="top"/>
          </w:tcPr>
          <w:p>
            <w:pPr>
              <w:pStyle w:val="Compact"/>
              <w:jc w:val="left"/>
            </w:pPr>
            <w:r>
              <w:t xml:space="preserve">PARAMETER</w:t>
            </w:r>
          </w:p>
        </w:tc>
        <w:tc>
          <w:tcPr>
            <w:vAlign w:val="top"/>
          </w:tcPr>
          <w:p>
            <w:pPr>
              <w:pStyle w:val="Compact"/>
              <w:jc w:val="left"/>
            </w:pPr>
            <w:r>
              <w:t xml:space="preserve">Threshold, coefficient, weight, or corridor was mis-set or post-hoc.</w:t>
            </w:r>
          </w:p>
        </w:tc>
        <w:tc>
          <w:tcPr>
            <w:vAlign w:val="top"/>
          </w:tcPr>
          <w:p>
            <w:pPr>
              <w:pStyle w:val="Compact"/>
              <w:jc w:val="left"/>
            </w:pPr>
            <w:r>
              <w:t xml:space="preserve">Cascade structure.</w:t>
            </w:r>
          </w:p>
        </w:tc>
        <w:tc>
          <w:tcPr>
            <w:vAlign w:val="top"/>
          </w:tcPr>
          <w:p>
            <w:pPr>
              <w:pStyle w:val="Compact"/>
              <w:jc w:val="left"/>
            </w:pPr>
            <w:r>
              <w:t xml:space="preserve">Reset ex ante under governed procedure; rerun.</w:t>
            </w:r>
          </w:p>
        </w:tc>
      </w:tr>
      <w:tr>
        <w:tc>
          <w:tcPr>
            <w:shd w:val="clear" w:color="auto" w:fill="F7FBFE"/>
            <w:vAlign w:val="top"/>
          </w:tcPr>
          <w:p>
            <w:pPr>
              <w:pStyle w:val="Compact"/>
              <w:jc w:val="left"/>
            </w:pPr>
            <w:r>
              <w:t xml:space="preserve">GATE_OPERATOR</w:t>
            </w:r>
          </w:p>
        </w:tc>
        <w:tc>
          <w:tcPr>
            <w:shd w:val="clear" w:color="auto" w:fill="F7FBFE"/>
            <w:vAlign w:val="top"/>
          </w:tcPr>
          <w:p>
            <w:pPr>
              <w:pStyle w:val="Compact"/>
              <w:jc w:val="left"/>
            </w:pPr>
            <w:r>
              <w:t xml:space="preserve">NCRC, TRC, CSV, SVC, or RLS rule produces a reality-contradicted verdict under every admissible data/projection/parameter alternative.</w:t>
            </w:r>
          </w:p>
        </w:tc>
        <w:tc>
          <w:tcPr>
            <w:shd w:val="clear" w:color="auto" w:fill="F7FBFE"/>
            <w:vAlign w:val="top"/>
          </w:tcPr>
          <w:p>
            <w:pPr>
              <w:pStyle w:val="Compact"/>
              <w:jc w:val="left"/>
            </w:pPr>
            <w:r>
              <w:t xml:space="preserve">A single bad input.</w:t>
            </w:r>
          </w:p>
        </w:tc>
        <w:tc>
          <w:tcPr>
            <w:shd w:val="clear" w:color="auto" w:fill="F7FBFE"/>
            <w:vAlign w:val="top"/>
          </w:tcPr>
          <w:p>
            <w:pPr>
              <w:pStyle w:val="Compact"/>
              <w:jc w:val="left"/>
            </w:pPr>
            <w:r>
              <w:t xml:space="preserve">Challenge the operator definition; governed revision.</w:t>
            </w:r>
          </w:p>
        </w:tc>
      </w:tr>
      <w:tr>
        <w:tc>
          <w:tcPr>
            <w:vAlign w:val="top"/>
          </w:tcPr>
          <w:p>
            <w:pPr>
              <w:pStyle w:val="Compact"/>
              <w:jc w:val="left"/>
            </w:pPr>
            <w:r>
              <w:t xml:space="preserve">PRIMITIVE</w:t>
            </w:r>
          </w:p>
        </w:tc>
        <w:tc>
          <w:tcPr>
            <w:vAlign w:val="top"/>
          </w:tcPr>
          <w:p>
            <w:pPr>
              <w:pStyle w:val="Compact"/>
              <w:jc w:val="left"/>
            </w:pPr>
            <w:r>
              <w:t xml:space="preserve">A declared primitive cannot reconstruct a required phenomenon or produces unavoidable contradiction.</w:t>
            </w:r>
          </w:p>
        </w:tc>
        <w:tc>
          <w:tcPr>
            <w:vAlign w:val="top"/>
          </w:tcPr>
          <w:p>
            <w:pPr>
              <w:pStyle w:val="Compact"/>
              <w:jc w:val="left"/>
            </w:pPr>
            <w:r>
              <w:t xml:space="preserve">Any single failed run.</w:t>
            </w:r>
          </w:p>
        </w:tc>
        <w:tc>
          <w:tcPr>
            <w:vAlign w:val="top"/>
          </w:tcPr>
          <w:p>
            <w:pPr>
              <w:pStyle w:val="Compact"/>
              <w:jc w:val="left"/>
            </w:pPr>
            <w:r>
              <w:t xml:space="preserve">Reopen Primitive Audit.</w:t>
            </w:r>
          </w:p>
        </w:tc>
      </w:tr>
      <w:tr>
        <w:tc>
          <w:tcPr>
            <w:shd w:val="clear" w:color="auto" w:fill="F7FBFE"/>
            <w:vAlign w:val="top"/>
          </w:tcPr>
          <w:p>
            <w:pPr>
              <w:pStyle w:val="Compact"/>
              <w:jc w:val="left"/>
            </w:pPr>
            <w:r>
              <w:t xml:space="preserve">GOVERNANCE</w:t>
            </w:r>
          </w:p>
        </w:tc>
        <w:tc>
          <w:tcPr>
            <w:shd w:val="clear" w:color="auto" w:fill="F7FBFE"/>
            <w:vAlign w:val="top"/>
          </w:tcPr>
          <w:p>
            <w:pPr>
              <w:pStyle w:val="Compact"/>
              <w:jc w:val="left"/>
            </w:pPr>
            <w:r>
              <w:t xml:space="preserve">Authority, permission, legitimacy, contestability, or accountability failed.</w:t>
            </w:r>
          </w:p>
        </w:tc>
        <w:tc>
          <w:tcPr>
            <w:shd w:val="clear" w:color="auto" w:fill="F7FBFE"/>
            <w:vAlign w:val="top"/>
          </w:tcPr>
          <w:p>
            <w:pPr>
              <w:pStyle w:val="Compact"/>
              <w:jc w:val="left"/>
            </w:pPr>
            <w:r>
              <w:t xml:space="preserve">Structural or mathematical cascade.</w:t>
            </w:r>
          </w:p>
        </w:tc>
        <w:tc>
          <w:tcPr>
            <w:shd w:val="clear" w:color="auto" w:fill="F7FBFE"/>
            <w:vAlign w:val="top"/>
          </w:tcPr>
          <w:p>
            <w:pPr>
              <w:pStyle w:val="Compact"/>
              <w:jc w:val="left"/>
            </w:pPr>
            <w:r>
              <w:t xml:space="preserve">Governance review and authority correction.</w:t>
            </w:r>
          </w:p>
        </w:tc>
      </w:tr>
      <w:tr>
        <w:tc>
          <w:tcPr>
            <w:vAlign w:val="top"/>
          </w:tcPr>
          <w:p>
            <w:pPr>
              <w:pStyle w:val="Compact"/>
              <w:jc w:val="left"/>
            </w:pPr>
            <w:r>
              <w:t xml:space="preserve">COMMUNICATION</w:t>
            </w:r>
          </w:p>
        </w:tc>
        <w:tc>
          <w:tcPr>
            <w:vAlign w:val="top"/>
          </w:tcPr>
          <w:p>
            <w:pPr>
              <w:pStyle w:val="Compact"/>
              <w:jc w:val="left"/>
            </w:pPr>
            <w:r>
              <w:t xml:space="preserve">Public claim, summary, or disclosure exceeded claim boundary.</w:t>
            </w:r>
          </w:p>
        </w:tc>
        <w:tc>
          <w:tcPr>
            <w:vAlign w:val="top"/>
          </w:tcPr>
          <w:p>
            <w:pPr>
              <w:pStyle w:val="Compact"/>
              <w:jc w:val="left"/>
            </w:pPr>
            <w:r>
              <w:t xml:space="preserve">Underlying ethics or mechanics.</w:t>
            </w:r>
          </w:p>
        </w:tc>
        <w:tc>
          <w:tcPr>
            <w:vAlign w:val="top"/>
          </w:tcPr>
          <w:p>
            <w:pPr>
              <w:pStyle w:val="Compact"/>
              <w:jc w:val="left"/>
            </w:pPr>
            <w:r>
              <w:t xml:space="preserve">Correct the claim and update release/audit record.</w:t>
            </w:r>
          </w:p>
        </w:tc>
      </w:tr>
    </w:tbl>
    <w:p>
      <w:pPr>
        <w:pStyle w:val="BodyText"/>
      </w:pPr>
      <w:r>
        <w:t xml:space="preserve">Validator guidance. A failure logged without FalsificationLayer SHOULD trigger FALSIFICATION_LAYER_UNATTRIBUTED. A run that invokes PRIMITIVE or GATE_OPERATOR failure without first addressing plausible DATA, PROJECTION, and PARAMETER explanations SHOULD trigger FALSIFICATION_LAYER_SKIPPED and require escalation.</w:t>
      </w:r>
    </w:p>
    <w:p>
      <w:pPr>
        <w:pStyle w:val="BodyText"/>
      </w:pPr>
      <w:r>
        <w:t xml:space="preserve">Additional v12.0 do-not-collapse rules. Structural viability is not ethical permissibility. Stability is not justice. Permission is not admissibility. Output generation is not an admissible reference. A plan that can stand structurally can still violate rights; a generated answer can still lack a valid reference; and an authorized action can still fail the MathGov cascade.</w:t>
      </w:r>
    </w:p>
    <w:bookmarkEnd w:id="263"/>
    <w:bookmarkStart w:id="264" w:name="Xad90d1233ccaac769728e98b409b78519bdb6b3"/>
    <w:p>
      <w:pPr>
        <w:pStyle w:val="Heading2"/>
      </w:pPr>
      <w:r>
        <w:rPr>
          <w:bCs/>
          <w:b/>
        </w:rPr>
        <w:t xml:space="preserve">17.1 Core Empirical Claims (Testable Hypotheses)</w:t>
      </w:r>
    </w:p>
    <w:bookmarkEnd w:id="264"/>
    <w:bookmarkStart w:id="265" w:name="X5abc5a38970b5efc250300ac8d9c841ce676ef7"/>
    <w:p>
      <w:pPr>
        <w:pStyle w:val="Heading2"/>
      </w:pPr>
      <w:r>
        <w:rPr>
          <w:bCs/>
          <w:b/>
        </w:rPr>
        <w:t xml:space="preserve">17.1A MNA-Layer Empirical Hypotheses (Normative research frontier)</w:t>
      </w:r>
    </w:p>
    <w:p>
      <w:pPr>
        <w:pStyle w:val="FirstParagraph"/>
      </w:pPr>
      <w:r>
        <w:t xml:space="preserve">H-MNA1 (model adequacy under stakeholder omission). Multi-agent predictive performance worsens when stakeholder welfare, rights, or enabling-condition variables are omitted from world models in settings where cooperation, conflict, or harm depend materially on them.</w:t>
      </w:r>
    </w:p>
    <w:p>
      <w:pPr>
        <w:pStyle w:val="BodyText"/>
      </w:pPr>
      <w:r>
        <w:t xml:space="preserve">H-MNA2 (instability under normative omission). Architectures that systematically ignore stakeholders’ welfare conditions, rights floors, or enabling conditions exhibit higher instability, defection, tail risk, or containment failure in repeated multi-agent environments than otherwise comparable architectures that track them explicitly.</w:t>
      </w:r>
    </w:p>
    <w:p>
      <w:pPr>
        <w:pStyle w:val="BodyText"/>
      </w:pPr>
      <w:r>
        <w:t xml:space="preserve">H-MNA3 (cascade advantage over unconstrained scalarization). Rights-first and catastrophe-bounded cascade architectures reduce ruin-like outcomes, rights breaches, or coherence losses relative to unconstrained scalar optimization in comparable decision classes.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Hypothesis</w:t>
            </w:r>
          </w:p>
        </w:tc>
        <w:tc>
          <w:tcPr>
            <w:shd w:val="clear" w:color="auto" w:fill="D9EAF7"/>
            <w:vAlign w:val="center"/>
          </w:tcPr>
          <w:p>
            <w:pPr>
              <w:pStyle w:val="Compact"/>
              <w:jc w:val="left"/>
            </w:pPr>
            <w:r>
              <w:rPr>
                <w:bCs/>
                <w:b/>
                <w:color w:val="17365D"/>
              </w:rPr>
              <w:t xml:space="preserve">Description</w:t>
            </w:r>
          </w:p>
        </w:tc>
      </w:tr>
      <w:tr>
        <w:tc>
          <w:tcPr>
            <w:vAlign w:val="top"/>
          </w:tcPr>
          <w:p>
            <w:pPr>
              <w:pStyle w:val="Compact"/>
              <w:jc w:val="left"/>
            </w:pPr>
            <w:r>
              <w:t xml:space="preserve">H1</w:t>
            </w:r>
          </w:p>
        </w:tc>
        <w:tc>
          <w:tcPr>
            <w:vAlign w:val="top"/>
          </w:tcPr>
          <w:p>
            <w:pPr>
              <w:pStyle w:val="Compact"/>
              <w:jc w:val="left"/>
            </w:pPr>
            <w:r>
              <w:t xml:space="preserve">Rights coherence: Decisions that pass NCRC produce fewer rights infringements than comparable baseline decisions, controlling for context.</w:t>
            </w:r>
          </w:p>
        </w:tc>
      </w:tr>
      <w:tr>
        <w:tc>
          <w:tcPr>
            <w:shd w:val="clear" w:color="auto" w:fill="F7FBFE"/>
            <w:vAlign w:val="top"/>
          </w:tcPr>
          <w:p>
            <w:pPr>
              <w:pStyle w:val="Compact"/>
              <w:jc w:val="left"/>
            </w:pPr>
            <w:r>
              <w:t xml:space="preserve">H2</w:t>
            </w:r>
          </w:p>
        </w:tc>
        <w:tc>
          <w:tcPr>
            <w:shd w:val="clear" w:color="auto" w:fill="F7FBFE"/>
            <w:vAlign w:val="top"/>
          </w:tcPr>
          <w:p>
            <w:pPr>
              <w:pStyle w:val="Compact"/>
              <w:jc w:val="left"/>
            </w:pPr>
            <w:r>
              <w:t xml:space="preserve">Tail-risk effectiveness: Decisions constrained by TRC exhibit lower realized tail losses than comparable decisions without TRC.</w:t>
            </w:r>
          </w:p>
        </w:tc>
      </w:tr>
      <w:tr>
        <w:tc>
          <w:tcPr>
            <w:vAlign w:val="top"/>
          </w:tcPr>
          <w:p>
            <w:pPr>
              <w:pStyle w:val="Compact"/>
              <w:jc w:val="left"/>
            </w:pPr>
            <w:r>
              <w:t xml:space="preserve">H3</w:t>
            </w:r>
          </w:p>
        </w:tc>
        <w:tc>
          <w:tcPr>
            <w:vAlign w:val="top"/>
          </w:tcPr>
          <w:p>
            <w:pPr>
              <w:pStyle w:val="Compact"/>
              <w:jc w:val="left"/>
            </w:pPr>
            <w:r>
              <w:t xml:space="preserve">Ripple sign accuracy (after calibration): After NCAR updates, predicted impact signs match observed sign in ≥70% of evaluated cells.</w:t>
            </w:r>
          </w:p>
        </w:tc>
      </w:tr>
      <w:tr>
        <w:tc>
          <w:tcPr>
            <w:shd w:val="clear" w:color="auto" w:fill="F7FBFE"/>
            <w:vAlign w:val="top"/>
          </w:tcPr>
          <w:p>
            <w:pPr>
              <w:pStyle w:val="Compact"/>
              <w:jc w:val="left"/>
            </w:pPr>
            <w:r>
              <w:t xml:space="preserve">H4</w:t>
            </w:r>
          </w:p>
        </w:tc>
        <w:tc>
          <w:tcPr>
            <w:shd w:val="clear" w:color="auto" w:fill="F7FBFE"/>
            <w:vAlign w:val="top"/>
          </w:tcPr>
          <w:p>
            <w:pPr>
              <w:pStyle w:val="Compact"/>
              <w:jc w:val="left"/>
            </w:pPr>
            <w:r>
              <w:t xml:space="preserve">Structural early warning: Persistent HOI &gt; 0 predicts subsequent structural degradation better than baseline KPI monitoring.</w:t>
            </w:r>
          </w:p>
        </w:tc>
      </w:tr>
      <w:tr>
        <w:tc>
          <w:tcPr>
            <w:vAlign w:val="top"/>
          </w:tcPr>
          <w:p>
            <w:pPr>
              <w:pStyle w:val="Compact"/>
              <w:jc w:val="left"/>
            </w:pPr>
            <w:r>
              <w:t xml:space="preserve">H5</w:t>
            </w:r>
          </w:p>
        </w:tc>
        <w:tc>
          <w:tcPr>
            <w:vAlign w:val="top"/>
          </w:tcPr>
          <w:p>
            <w:pPr>
              <w:pStyle w:val="Compact"/>
              <w:jc w:val="left"/>
            </w:pPr>
            <w:r>
              <w:t xml:space="preserve">Anti-gaming effectiveness: In adversarial tests, specification gaming succeeds less often (≥30% reduction) relative to comparable governance processes without PCC plus mandatory tails plus subgroup semantics.</w:t>
            </w:r>
          </w:p>
        </w:tc>
      </w:tr>
    </w:tbl>
    <w:p>
      <w:pPr>
        <w:pStyle w:val="BodyText"/>
      </w:pPr>
      <w:r>
        <w:t xml:space="preserve">Because ripple effects partially track cooperation and network propagation dynamics, validation should also test whether kernel updates improve predictive performance in contexts where cooperation and trust dynamics are known to matter (Axelrod, 1984; Nowak, 2006; Christakis &amp; Fowler, 2009).</w:t>
      </w:r>
    </w:p>
    <w:p>
      <w:pPr>
        <w:pStyle w:val="BodyText"/>
      </w:pPr>
      <w:r>
        <w:t xml:space="preserve">H6 (PLSS prominence convergence). For recurring decision classes with standardized guidance, independently trained evaluators applying the same evidence base will produce PLSS prominence vectors with moderate or better convergence, operationalized in pilot testing by a pre-declared inter-rater agreement threshold.</w:t>
      </w:r>
    </w:p>
    <w:p>
      <w:pPr>
        <w:pStyle w:val="BodyText"/>
      </w:pPr>
      <w:r>
        <w:t xml:space="preserve">H7 (PLSS floor activation). In a non-trivial fraction of PLSS-assessed decisions, constitutional floor weights assigned to guardrail scopes will contribute materially to final welfare ranking differences, demonstrating that guardrail scope retention is operational rather than merely decorative.</w:t>
      </w:r>
    </w:p>
    <w:p>
      <w:pPr>
        <w:pStyle w:val="BodyText"/>
      </w:pPr>
      <w:r>
        <w:t xml:space="preserve">H8 (PLSS escalation fidelity). In pilot validation, plausible ET-trigger conditions will be detected and logged with sufficient sensitivity that PLSS posture is not systematically retained in clearly non-local cases.</w:t>
      </w:r>
    </w:p>
    <w:bookmarkEnd w:id="265"/>
    <w:bookmarkStart w:id="266" w:name="X681c5fa61c5cbf6e6e49941a2d232ede61a97c0"/>
    <w:p>
      <w:pPr>
        <w:pStyle w:val="Heading2"/>
      </w:pPr>
      <w:r>
        <w:rPr>
          <w:bCs/>
          <w:b/>
        </w:rPr>
        <w:t xml:space="preserve">17.2 Falsification Criteria (Normative)</w:t>
      </w:r>
    </w:p>
    <w:bookmarkEnd w:id="266"/>
    <w:bookmarkStart w:id="267" w:name="X22eda53dbfbba6d0d1019d436d6ac1fa084a419"/>
    <w:p>
      <w:pPr>
        <w:pStyle w:val="Heading2"/>
      </w:pPr>
      <w:r>
        <w:rPr>
          <w:bCs/>
          <w:b/>
        </w:rPr>
        <w:t xml:space="preserve">17.2A MNA-Layer Falsifiers (Normative)</w:t>
      </w:r>
    </w:p>
    <w:p>
      <w:pPr>
        <w:pStyle w:val="FirstParagraph"/>
      </w:pPr>
      <w:r>
        <w:t xml:space="preserve">F-MNA1. Omission of welfare, rights, or enabling-condition variables does not reduce predictive adequacy in relevant multi-agent domains where those variables were hypothesized to matter materially.</w:t>
      </w:r>
    </w:p>
    <w:p>
      <w:pPr>
        <w:pStyle w:val="BodyText"/>
      </w:pPr>
      <w:r>
        <w:t xml:space="preserve">F-MNA2. Architectures ignoring such conditions do not exhibit higher instability, tail risk, rights breach incidence, or containment failure than comparable architectures that track them explicitly.</w:t>
      </w:r>
    </w:p>
    <w:p>
      <w:pPr>
        <w:pStyle w:val="BodyText"/>
      </w:pPr>
      <w:r>
        <w:t xml:space="preserve">F-MNA3. Cascade-constrained policies do not outperform unconstrained scalarized policies on declared rights, coherence, or tail-risk metrics in the relevant validation class.</w:t>
      </w:r>
    </w:p>
    <w:p>
      <w:pPr>
        <w:pStyle w:val="BodyText"/>
      </w:pPr>
      <w:r>
        <w:t xml:space="preserve">Defect attribution prior to invoking F1-F5 follows the Appendix AE.3 layer matrix: each failure should be assigned to the layer it actually falsifies before any broader empirical falsifier is invoked.</w:t>
      </w:r>
    </w:p>
    <w:p>
      <w:pPr>
        <w:pStyle w:val="BodyText"/>
      </w:pPr>
      <w:r>
        <w:t xml:space="preserve">RippleLogic components must be revised (or rejected) if evidence meets any of the following:</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Criterion</w:t>
            </w:r>
          </w:p>
        </w:tc>
        <w:tc>
          <w:tcPr>
            <w:shd w:val="clear" w:color="auto" w:fill="D9EAF7"/>
            <w:vAlign w:val="center"/>
          </w:tcPr>
          <w:p>
            <w:pPr>
              <w:pStyle w:val="Compact"/>
              <w:jc w:val="left"/>
            </w:pPr>
            <w:r>
              <w:rPr>
                <w:bCs/>
                <w:b/>
                <w:color w:val="17365D"/>
              </w:rPr>
              <w:t xml:space="preserve">Description</w:t>
            </w:r>
          </w:p>
        </w:tc>
      </w:tr>
      <w:tr>
        <w:tc>
          <w:tcPr>
            <w:vAlign w:val="top"/>
          </w:tcPr>
          <w:p>
            <w:pPr>
              <w:pStyle w:val="Compact"/>
              <w:jc w:val="left"/>
            </w:pPr>
            <w:r>
              <w:t xml:space="preserve">F1</w:t>
            </w:r>
          </w:p>
        </w:tc>
        <w:tc>
          <w:tcPr>
            <w:vAlign w:val="top"/>
          </w:tcPr>
          <w:p>
            <w:pPr>
              <w:pStyle w:val="Compact"/>
              <w:jc w:val="left"/>
            </w:pPr>
            <w:r>
              <w:t xml:space="preserve">NCRC failure: NCRC-passing decisions systematically produce worse rights outcomes than NCRC-failing decisions.</w:t>
            </w:r>
          </w:p>
        </w:tc>
      </w:tr>
      <w:tr>
        <w:tc>
          <w:tcPr>
            <w:shd w:val="clear" w:color="auto" w:fill="F7FBFE"/>
            <w:vAlign w:val="top"/>
          </w:tcPr>
          <w:p>
            <w:pPr>
              <w:pStyle w:val="Compact"/>
              <w:jc w:val="left"/>
            </w:pPr>
            <w:r>
              <w:t xml:space="preserve">F2</w:t>
            </w:r>
          </w:p>
        </w:tc>
        <w:tc>
          <w:tcPr>
            <w:shd w:val="clear" w:color="auto" w:fill="F7FBFE"/>
            <w:vAlign w:val="top"/>
          </w:tcPr>
          <w:p>
            <w:pPr>
              <w:pStyle w:val="Compact"/>
              <w:jc w:val="left"/>
            </w:pPr>
            <w:r>
              <w:t xml:space="preserve">TRC failure: TRC-constrained decisions show no reduction in realized tail losses compared to controls.</w:t>
            </w:r>
          </w:p>
        </w:tc>
      </w:tr>
      <w:tr>
        <w:tc>
          <w:tcPr>
            <w:vAlign w:val="top"/>
          </w:tcPr>
          <w:p>
            <w:pPr>
              <w:pStyle w:val="Compact"/>
              <w:jc w:val="left"/>
            </w:pPr>
            <w:r>
              <w:t xml:space="preserve">F3</w:t>
            </w:r>
          </w:p>
        </w:tc>
        <w:tc>
          <w:tcPr>
            <w:vAlign w:val="top"/>
          </w:tcPr>
          <w:p>
            <w:pPr>
              <w:pStyle w:val="Compact"/>
              <w:jc w:val="left"/>
            </w:pPr>
            <w:r>
              <w:t xml:space="preserve">Ripple predictiveness failure: Sign accuracy remains &lt; 60% across successive NCAR cycles for key cells.</w:t>
            </w:r>
          </w:p>
        </w:tc>
      </w:tr>
      <w:tr>
        <w:tc>
          <w:tcPr>
            <w:shd w:val="clear" w:color="auto" w:fill="F7FBFE"/>
            <w:vAlign w:val="top"/>
          </w:tcPr>
          <w:p>
            <w:pPr>
              <w:pStyle w:val="Compact"/>
              <w:jc w:val="left"/>
            </w:pPr>
            <w:r>
              <w:t xml:space="preserve">F4</w:t>
            </w:r>
          </w:p>
        </w:tc>
        <w:tc>
          <w:tcPr>
            <w:shd w:val="clear" w:color="auto" w:fill="F7FBFE"/>
            <w:vAlign w:val="top"/>
          </w:tcPr>
          <w:p>
            <w:pPr>
              <w:pStyle w:val="Compact"/>
              <w:jc w:val="left"/>
            </w:pPr>
            <w:r>
              <w:t xml:space="preserve">Structural safeguard failure: UCI/HOI do not correlate with or predict meaningful degradation.</w:t>
            </w:r>
          </w:p>
        </w:tc>
      </w:tr>
      <w:tr>
        <w:tc>
          <w:tcPr>
            <w:vAlign w:val="top"/>
          </w:tcPr>
          <w:p>
            <w:pPr>
              <w:pStyle w:val="Compact"/>
              <w:jc w:val="left"/>
            </w:pPr>
            <w:r>
              <w:t xml:space="preserve">F5</w:t>
            </w:r>
          </w:p>
        </w:tc>
        <w:tc>
          <w:tcPr>
            <w:vAlign w:val="top"/>
          </w:tcPr>
          <w:p>
            <w:pPr>
              <w:pStyle w:val="Compact"/>
              <w:jc w:val="left"/>
            </w:pPr>
            <w:r>
              <w:t xml:space="preserve">Anti-gaming failure: Red-team exercises repeatedly exploit predictable loopholes (&gt; 30% of adversarial runs).</w:t>
            </w:r>
          </w:p>
        </w:tc>
      </w:tr>
    </w:tbl>
    <w:bookmarkEnd w:id="267"/>
    <w:bookmarkStart w:id="268" w:name="Xa965097f465630e396df61f50ca9565ef54ba9b"/>
    <w:p>
      <w:pPr>
        <w:pStyle w:val="Heading2"/>
      </w:pPr>
      <w:r>
        <w:rPr>
          <w:bCs/>
          <w:b/>
        </w:rPr>
        <w:t xml:space="preserve">17.3 Validation Phases (Normative roadmap)</w:t>
      </w:r>
    </w:p>
    <w:p>
      <w:pPr>
        <w:pStyle w:val="FirstParagraph"/>
      </w:pPr>
      <w:r>
        <w:t xml:space="preserve">Phase 1: Formal verification and implementation testing (0-6 months)</w:t>
      </w:r>
    </w:p>
    <w:p>
      <w:pPr>
        <w:numPr>
          <w:ilvl w:val="0"/>
          <w:numId w:val="1201"/>
        </w:numPr>
        <w:pStyle w:val="Compact"/>
      </w:pPr>
      <w:r>
        <w:t xml:space="preserve">Independent implementation of Tier 2-3 algorithms from spec.</w:t>
      </w:r>
    </w:p>
    <w:p>
      <w:pPr>
        <w:numPr>
          <w:ilvl w:val="0"/>
          <w:numId w:val="1202"/>
        </w:numPr>
        <w:pStyle w:val="Compact"/>
      </w:pPr>
      <w:r>
        <w:t xml:space="preserve">Unit tests for canonical equations (Appendix B).</w:t>
      </w:r>
    </w:p>
    <w:p>
      <w:pPr>
        <w:numPr>
          <w:ilvl w:val="0"/>
          <w:numId w:val="1203"/>
        </w:numPr>
        <w:pStyle w:val="Compact"/>
      </w:pPr>
      <w:r>
        <w:t xml:space="preserve">Adversarial tests for masking, subgroup erasure, scenario omission, confidence inflation.</w:t>
      </w:r>
    </w:p>
    <w:p>
      <w:pPr>
        <w:numPr>
          <w:ilvl w:val="0"/>
          <w:numId w:val="1204"/>
        </w:numPr>
        <w:pStyle w:val="Compact"/>
      </w:pPr>
      <w:r>
        <w:t xml:space="preserve">Produce reference PCCs and reproducibility checks.</w:t>
      </w:r>
    </w:p>
    <w:p>
      <w:pPr>
        <w:pStyle w:val="FirstParagraph"/>
      </w:pPr>
      <w:r>
        <w:t xml:space="preserve">Phase 2: Measurement validation (4-15 months)</w:t>
      </w:r>
    </w:p>
    <w:p>
      <w:pPr>
        <w:numPr>
          <w:ilvl w:val="0"/>
          <w:numId w:val="1205"/>
        </w:numPr>
        <w:pStyle w:val="Compact"/>
      </w:pPr>
      <w:r>
        <w:t xml:space="preserve">Indicator reliability and validity for welfare dimensions and UCI components.</w:t>
      </w:r>
    </w:p>
    <w:p>
      <w:pPr>
        <w:numPr>
          <w:ilvl w:val="0"/>
          <w:numId w:val="1206"/>
        </w:numPr>
        <w:pStyle w:val="Compact"/>
      </w:pPr>
      <w:r>
        <w:t xml:space="preserve">Cross-population measurement checks where relevant.</w:t>
      </w:r>
    </w:p>
    <w:p>
      <w:pPr>
        <w:numPr>
          <w:ilvl w:val="0"/>
          <w:numId w:val="1207"/>
        </w:numPr>
        <w:pStyle w:val="Compact"/>
      </w:pPr>
      <w:r>
        <w:t xml:space="preserve">Calibrate magnitude anchors and uncertainty mappings.</w:t>
      </w:r>
    </w:p>
    <w:p>
      <w:pPr>
        <w:pStyle w:val="FirstParagraph"/>
      </w:pPr>
      <w:r>
        <w:t xml:space="preserve">Phase 3: Controlled pilots (10-24 months)</w:t>
      </w:r>
    </w:p>
    <w:p>
      <w:pPr>
        <w:numPr>
          <w:ilvl w:val="0"/>
          <w:numId w:val="1208"/>
        </w:numPr>
        <w:pStyle w:val="Compact"/>
      </w:pPr>
      <w:r>
        <w:t xml:space="preserve">Pilot deployments in organizations or municipalities.</w:t>
      </w:r>
    </w:p>
    <w:p>
      <w:pPr>
        <w:numPr>
          <w:ilvl w:val="0"/>
          <w:numId w:val="1209"/>
        </w:numPr>
        <w:pStyle w:val="Compact"/>
      </w:pPr>
      <w:r>
        <w:t xml:space="preserve">Compare RippleLogic vs baseline governance processes on: rights incidents, tail losses, stakeholder legitimacy, audit completeness, decision reversal rates.</w:t>
      </w:r>
    </w:p>
    <w:p>
      <w:pPr>
        <w:pStyle w:val="FirstParagraph"/>
      </w:pPr>
      <w:r>
        <w:t xml:space="preserve">Phase 4: Field studies and scaling (18-36+ months)</w:t>
      </w:r>
    </w:p>
    <w:p>
      <w:pPr>
        <w:numPr>
          <w:ilvl w:val="0"/>
          <w:numId w:val="1210"/>
        </w:numPr>
        <w:pStyle w:val="Compact"/>
      </w:pPr>
      <w:r>
        <w:t xml:space="preserve">Longitudinal monitoring of UCI/HOI and realized outcomes.</w:t>
      </w:r>
    </w:p>
    <w:p>
      <w:pPr>
        <w:numPr>
          <w:ilvl w:val="0"/>
          <w:numId w:val="1211"/>
        </w:numPr>
        <w:pStyle w:val="Compact"/>
      </w:pPr>
      <w:r>
        <w:t xml:space="preserve">Kernel calibration and scenario library refinement.</w:t>
      </w:r>
    </w:p>
    <w:p>
      <w:pPr>
        <w:numPr>
          <w:ilvl w:val="0"/>
          <w:numId w:val="1212"/>
        </w:numPr>
        <w:pStyle w:val="Compact"/>
      </w:pPr>
      <w:r>
        <w:t xml:space="preserve">Comparative performance across domains.</w:t>
      </w:r>
    </w:p>
    <w:bookmarkEnd w:id="268"/>
    <w:bookmarkStart w:id="269" w:name="Xb35b4b4d73d064ba594bb9476141f4a8a5e8e2e"/>
    <w:p>
      <w:pPr>
        <w:pStyle w:val="Heading2"/>
      </w:pPr>
      <w:r>
        <w:rPr>
          <w:bCs/>
          <w:b/>
        </w:rPr>
        <w:t xml:space="preserve">17.4 Metrics and Targets (Normative defaults)</w:t>
      </w:r>
    </w:p>
    <w:bookmarkEnd w:id="269"/>
    <w:bookmarkStart w:id="271" w:name="Xe6e41a348a024a47d9ceee2bb89bfc15470a5e9"/>
    <w:p>
      <w:pPr>
        <w:pStyle w:val="Heading2"/>
      </w:pPr>
      <w:r>
        <w:rPr>
          <w:bCs/>
          <w:b/>
        </w:rPr>
        <w:t xml:space="preserve">17.4A Inter-Rater Reliability Commitment (Normative commitment)</w:t>
      </w:r>
    </w:p>
    <w:bookmarkStart w:id="270" w:name="irr-single-source-rule-normative"/>
    <w:p>
      <w:pPr>
        <w:pStyle w:val="Heading3"/>
      </w:pPr>
      <w:r>
        <w:rPr>
          <w:bCs/>
          <w:b/>
        </w:rPr>
        <w:t xml:space="preserve">IRR single-source rule (Normative).</w:t>
      </w:r>
    </w:p>
    <w:p>
      <w:pPr>
        <w:pStyle w:val="FirstParagraph"/>
      </w:pPr>
      <w:r>
        <w:t xml:space="preserve">The target table in this section controls. The RLS Validation Protocol mirrors and operationalizes it; any divergent threshold or statistic in a companion is non-controlling until adopted here.</w:t>
      </w:r>
    </w:p>
    <w:p>
      <w:pPr>
        <w:pStyle w:val="BodyText"/>
      </w:pPr>
      <w:r>
        <w:t xml:space="preserve">Before Tier 3 operational-readiness claims are made, the framework SHALL publish or register at least one inter-rater reliability (IRR) study on a representative case set covering: (i) welfare-cell anchoring, including magnitude construction mu_k using both percentile anchoring and threshold anchoring methods, (ii) rights-floor evaluation, including subgroup identification and worst-off impact estimation, (iii) local-scope/PLSS usage, including prominence signal construction and scope classification, and (iv) scenario construction and probability assignment for TRC.</w:t>
      </w:r>
    </w:p>
    <w:p>
      <w:pPr>
        <w:pStyle w:val="BodyText"/>
      </w:pPr>
      <w:r>
        <w:t xml:space="preserve">The study MUST report the case set, evaluator instructions, adjudication procedure, disagreement classes, and reliability statistics appropriate to the data type used.</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Component</w:t>
            </w:r>
          </w:p>
        </w:tc>
        <w:tc>
          <w:tcPr>
            <w:shd w:val="clear" w:color="auto" w:fill="D9EAF7"/>
            <w:vAlign w:val="center"/>
          </w:tcPr>
          <w:p>
            <w:pPr>
              <w:pStyle w:val="Compact"/>
              <w:jc w:val="left"/>
            </w:pPr>
            <w:r>
              <w:rPr>
                <w:bCs/>
                <w:b/>
                <w:color w:val="17365D"/>
              </w:rPr>
              <w:t xml:space="preserve">Target ICC</w:t>
            </w:r>
          </w:p>
        </w:tc>
        <w:tc>
          <w:tcPr>
            <w:shd w:val="clear" w:color="auto" w:fill="D9EAF7"/>
            <w:vAlign w:val="center"/>
          </w:tcPr>
          <w:p>
            <w:pPr>
              <w:pStyle w:val="Compact"/>
              <w:jc w:val="left"/>
            </w:pPr>
            <w:r>
              <w:rPr>
                <w:bCs/>
                <w:b/>
                <w:color w:val="17365D"/>
              </w:rPr>
              <w:t xml:space="preserve">Minimum acceptable</w:t>
            </w:r>
          </w:p>
        </w:tc>
        <w:tc>
          <w:tcPr>
            <w:shd w:val="clear" w:color="auto" w:fill="D9EAF7"/>
            <w:vAlign w:val="center"/>
          </w:tcPr>
          <w:p>
            <w:pPr>
              <w:pStyle w:val="Compact"/>
              <w:jc w:val="left"/>
            </w:pPr>
            <w:r>
              <w:rPr>
                <w:bCs/>
                <w:b/>
                <w:color w:val="17365D"/>
              </w:rPr>
              <w:t xml:space="preserve">Notes</w:t>
            </w:r>
          </w:p>
        </w:tc>
      </w:tr>
      <w:tr>
        <w:tc>
          <w:tcPr>
            <w:vAlign w:val="top"/>
          </w:tcPr>
          <w:p>
            <w:pPr>
              <w:pStyle w:val="Compact"/>
              <w:jc w:val="left"/>
            </w:pPr>
            <w:r>
              <w:t xml:space="preserve">Magnitude construction (mu_k)</w:t>
            </w:r>
          </w:p>
        </w:tc>
        <w:tc>
          <w:tcPr>
            <w:vAlign w:val="top"/>
          </w:tcPr>
          <w:p>
            <w:pPr>
              <w:pStyle w:val="Compact"/>
              <w:jc w:val="left"/>
            </w:pPr>
            <w:r>
              <w:t xml:space="preserve">&gt;= 0.70</w:t>
            </w:r>
          </w:p>
        </w:tc>
        <w:tc>
          <w:tcPr>
            <w:vAlign w:val="top"/>
          </w:tcPr>
          <w:p>
            <w:pPr>
              <w:pStyle w:val="Compact"/>
              <w:jc w:val="left"/>
            </w:pPr>
            <w:r>
              <w:t xml:space="preserve">&gt;= 0.60</w:t>
            </w:r>
          </w:p>
        </w:tc>
        <w:tc>
          <w:tcPr>
            <w:vAlign w:val="top"/>
          </w:tcPr>
          <w:p>
            <w:pPr>
              <w:pStyle w:val="Compact"/>
              <w:jc w:val="left"/>
            </w:pPr>
            <w:r>
              <w:t xml:space="preserve">Tested separately for percentile and threshold anchoring</w:t>
            </w:r>
          </w:p>
        </w:tc>
      </w:tr>
      <w:tr>
        <w:tc>
          <w:tcPr>
            <w:shd w:val="clear" w:color="auto" w:fill="F7FBFE"/>
            <w:vAlign w:val="top"/>
          </w:tcPr>
          <w:p>
            <w:pPr>
              <w:pStyle w:val="Compact"/>
              <w:jc w:val="left"/>
            </w:pPr>
            <w:r>
              <w:t xml:space="preserve">Rights-floor pass/fail (NCRC)</w:t>
            </w:r>
          </w:p>
        </w:tc>
        <w:tc>
          <w:tcPr>
            <w:shd w:val="clear" w:color="auto" w:fill="F7FBFE"/>
            <w:vAlign w:val="top"/>
          </w:tcPr>
          <w:p>
            <w:pPr>
              <w:pStyle w:val="Compact"/>
              <w:jc w:val="left"/>
            </w:pPr>
            <w:r>
              <w:t xml:space="preserve">&gt;= 0.80</w:t>
            </w:r>
          </w:p>
        </w:tc>
        <w:tc>
          <w:tcPr>
            <w:shd w:val="clear" w:color="auto" w:fill="F7FBFE"/>
            <w:vAlign w:val="top"/>
          </w:tcPr>
          <w:p>
            <w:pPr>
              <w:pStyle w:val="Compact"/>
              <w:jc w:val="left"/>
            </w:pPr>
            <w:r>
              <w:t xml:space="preserve">&gt;= 0.70</w:t>
            </w:r>
          </w:p>
        </w:tc>
        <w:tc>
          <w:tcPr>
            <w:shd w:val="clear" w:color="auto" w:fill="F7FBFE"/>
            <w:vAlign w:val="top"/>
          </w:tcPr>
          <w:p>
            <w:pPr>
              <w:pStyle w:val="Compact"/>
              <w:jc w:val="left"/>
            </w:pPr>
            <w:r>
              <w:t xml:space="preserve">Binary gate; higher target reflects non-compensability</w:t>
            </w:r>
          </w:p>
        </w:tc>
      </w:tr>
      <w:tr>
        <w:tc>
          <w:tcPr>
            <w:vAlign w:val="top"/>
          </w:tcPr>
          <w:p>
            <w:pPr>
              <w:pStyle w:val="Compact"/>
              <w:jc w:val="left"/>
            </w:pPr>
            <w:r>
              <w:t xml:space="preserve">TRC pass/fail</w:t>
            </w:r>
          </w:p>
        </w:tc>
        <w:tc>
          <w:tcPr>
            <w:vAlign w:val="top"/>
          </w:tcPr>
          <w:p>
            <w:pPr>
              <w:pStyle w:val="Compact"/>
              <w:jc w:val="left"/>
            </w:pPr>
            <w:r>
              <w:t xml:space="preserve">&gt;= 0.80</w:t>
            </w:r>
          </w:p>
        </w:tc>
        <w:tc>
          <w:tcPr>
            <w:vAlign w:val="top"/>
          </w:tcPr>
          <w:p>
            <w:pPr>
              <w:pStyle w:val="Compact"/>
              <w:jc w:val="left"/>
            </w:pPr>
            <w:r>
              <w:t xml:space="preserve">&gt;= 0.70</w:t>
            </w:r>
          </w:p>
        </w:tc>
        <w:tc>
          <w:tcPr>
            <w:vAlign w:val="top"/>
          </w:tcPr>
          <w:p>
            <w:pPr>
              <w:pStyle w:val="Compact"/>
              <w:jc w:val="left"/>
            </w:pPr>
            <w:r>
              <w:t xml:space="preserve">Binary gate</w:t>
            </w:r>
          </w:p>
        </w:tc>
      </w:tr>
      <w:tr>
        <w:tc>
          <w:tcPr>
            <w:shd w:val="clear" w:color="auto" w:fill="F7FBFE"/>
            <w:vAlign w:val="top"/>
          </w:tcPr>
          <w:p>
            <w:pPr>
              <w:pStyle w:val="Compact"/>
              <w:jc w:val="left"/>
            </w:pPr>
            <w:r>
              <w:t xml:space="preserve">RLS ranking order</w:t>
            </w:r>
          </w:p>
        </w:tc>
        <w:tc>
          <w:tcPr>
            <w:shd w:val="clear" w:color="auto" w:fill="F7FBFE"/>
            <w:vAlign w:val="top"/>
          </w:tcPr>
          <w:p>
            <w:pPr>
              <w:pStyle w:val="Compact"/>
              <w:jc w:val="left"/>
            </w:pPr>
            <w:r>
              <w:t xml:space="preserve">&gt;= 0.70</w:t>
            </w:r>
          </w:p>
        </w:tc>
        <w:tc>
          <w:tcPr>
            <w:shd w:val="clear" w:color="auto" w:fill="F7FBFE"/>
            <w:vAlign w:val="top"/>
          </w:tcPr>
          <w:p>
            <w:pPr>
              <w:pStyle w:val="Compact"/>
              <w:jc w:val="left"/>
            </w:pPr>
            <w:r>
              <w:t xml:space="preserve">&gt;= 0.60</w:t>
            </w:r>
          </w:p>
        </w:tc>
        <w:tc>
          <w:tcPr>
            <w:shd w:val="clear" w:color="auto" w:fill="F7FBFE"/>
            <w:vAlign w:val="top"/>
          </w:tcPr>
          <w:p>
            <w:pPr>
              <w:pStyle w:val="Compact"/>
              <w:jc w:val="left"/>
            </w:pPr>
            <w:r>
              <w:t xml:space="preserve">Ordinal agreement on option ranking</w:t>
            </w:r>
          </w:p>
        </w:tc>
      </w:tr>
      <w:tr>
        <w:tc>
          <w:tcPr>
            <w:vAlign w:val="top"/>
          </w:tcPr>
          <w:p>
            <w:pPr>
              <w:pStyle w:val="Compact"/>
              <w:jc w:val="left"/>
            </w:pPr>
            <w:r>
              <w:t xml:space="preserve">PLSS prominence classification</w:t>
            </w:r>
          </w:p>
        </w:tc>
        <w:tc>
          <w:tcPr>
            <w:vAlign w:val="top"/>
          </w:tcPr>
          <w:p>
            <w:pPr>
              <w:pStyle w:val="Compact"/>
              <w:jc w:val="left"/>
            </w:pPr>
            <w:r>
              <w:t xml:space="preserve">&gt;= 0.70</w:t>
            </w:r>
          </w:p>
        </w:tc>
        <w:tc>
          <w:tcPr>
            <w:vAlign w:val="top"/>
          </w:tcPr>
          <w:p>
            <w:pPr>
              <w:pStyle w:val="Compact"/>
              <w:jc w:val="left"/>
            </w:pPr>
            <w:r>
              <w:t xml:space="preserve">&gt;= 0.60</w:t>
            </w:r>
          </w:p>
        </w:tc>
        <w:tc>
          <w:tcPr>
            <w:vAlign w:val="top"/>
          </w:tcPr>
          <w:p>
            <w:pPr>
              <w:pStyle w:val="Compact"/>
              <w:jc w:val="left"/>
            </w:pPr>
            <w:r>
              <w:t xml:space="preserve">Prominent vs Guardrail per scope</w:t>
            </w:r>
          </w:p>
        </w:tc>
      </w:tr>
    </w:tbl>
    <w:p>
      <w:pPr>
        <w:pStyle w:val="BodyText"/>
      </w:pPr>
      <w:r>
        <w:t xml:space="preserve">Sustained inability to exceed the minimum acceptable threshold on any component after rubric training indicates that the component requires redesign or additional anchoring guidance.</w:t>
      </w:r>
    </w:p>
    <w:p>
      <w:pPr>
        <w:pStyle w:val="BodyText"/>
      </w:pPr>
      <w:r>
        <w:t xml:space="preserve">Until such evidence exists, Tier 3 remains architecturally specified but empirically incomplete.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Metric</w:t>
            </w:r>
          </w:p>
        </w:tc>
        <w:tc>
          <w:tcPr>
            <w:shd w:val="clear" w:color="auto" w:fill="D9EAF7"/>
            <w:vAlign w:val="center"/>
          </w:tcPr>
          <w:p>
            <w:pPr>
              <w:pStyle w:val="Compact"/>
              <w:jc w:val="left"/>
            </w:pPr>
            <w:r>
              <w:rPr>
                <w:bCs/>
                <w:b/>
                <w:color w:val="17365D"/>
              </w:rPr>
              <w:t xml:space="preserve">Definition</w:t>
            </w:r>
          </w:p>
        </w:tc>
        <w:tc>
          <w:tcPr>
            <w:shd w:val="clear" w:color="auto" w:fill="D9EAF7"/>
            <w:vAlign w:val="center"/>
          </w:tcPr>
          <w:p>
            <w:pPr>
              <w:pStyle w:val="Compact"/>
              <w:jc w:val="left"/>
            </w:pPr>
            <w:r>
              <w:rPr>
                <w:bCs/>
                <w:b/>
                <w:color w:val="17365D"/>
              </w:rPr>
              <w:t xml:space="preserve">Default Target</w:t>
            </w:r>
          </w:p>
        </w:tc>
      </w:tr>
      <w:tr>
        <w:tc>
          <w:tcPr>
            <w:vAlign w:val="top"/>
          </w:tcPr>
          <w:p>
            <w:pPr>
              <w:pStyle w:val="Compact"/>
              <w:jc w:val="left"/>
            </w:pPr>
            <w:r>
              <w:t xml:space="preserve">Rights violation rate</w:t>
            </w:r>
          </w:p>
        </w:tc>
        <w:tc>
          <w:tcPr>
            <w:vAlign w:val="top"/>
          </w:tcPr>
          <w:p>
            <w:pPr>
              <w:pStyle w:val="Compact"/>
              <w:jc w:val="left"/>
            </w:pPr>
            <w:r>
              <w:t xml:space="preserve">Verified post-decision rights infringements per protected subgroup</w:t>
            </w:r>
          </w:p>
        </w:tc>
        <w:tc>
          <w:tcPr>
            <w:vAlign w:val="top"/>
          </w:tcPr>
          <w:p>
            <w:pPr>
              <w:pStyle w:val="Compact"/>
              <w:jc w:val="left"/>
            </w:pPr>
            <w:r>
              <w:t xml:space="preserve">Lower than baseline governance</w:t>
            </w:r>
          </w:p>
        </w:tc>
      </w:tr>
      <w:tr>
        <w:tc>
          <w:tcPr>
            <w:shd w:val="clear" w:color="auto" w:fill="F7FBFE"/>
            <w:vAlign w:val="top"/>
          </w:tcPr>
          <w:p>
            <w:pPr>
              <w:pStyle w:val="Compact"/>
              <w:jc w:val="left"/>
            </w:pPr>
            <w:r>
              <w:t xml:space="preserve">Tail-loss severity</w:t>
            </w:r>
          </w:p>
        </w:tc>
        <w:tc>
          <w:tcPr>
            <w:shd w:val="clear" w:color="auto" w:fill="F7FBFE"/>
            <w:vAlign w:val="top"/>
          </w:tcPr>
          <w:p>
            <w:pPr>
              <w:pStyle w:val="Compact"/>
              <w:jc w:val="left"/>
            </w:pPr>
            <w:r>
              <w:t xml:space="preserve">Realized catastrophe-cell loss in worst outcomes</w:t>
            </w:r>
          </w:p>
        </w:tc>
        <w:tc>
          <w:tcPr>
            <w:shd w:val="clear" w:color="auto" w:fill="F7FBFE"/>
            <w:vAlign w:val="top"/>
          </w:tcPr>
          <w:p>
            <w:pPr>
              <w:pStyle w:val="Compact"/>
              <w:jc w:val="left"/>
            </w:pPr>
            <w:r>
              <w:t xml:space="preserve">Lower than baseline governance</w:t>
            </w:r>
          </w:p>
        </w:tc>
      </w:tr>
      <w:tr>
        <w:tc>
          <w:tcPr>
            <w:vAlign w:val="top"/>
          </w:tcPr>
          <w:p>
            <w:pPr>
              <w:pStyle w:val="Compact"/>
              <w:jc w:val="left"/>
            </w:pPr>
            <w:r>
              <w:t xml:space="preserve">Sign accuracy</w:t>
            </w:r>
          </w:p>
        </w:tc>
        <w:tc>
          <w:tcPr>
            <w:vAlign w:val="top"/>
          </w:tcPr>
          <w:p>
            <w:pPr>
              <w:pStyle w:val="Compact"/>
              <w:jc w:val="left"/>
            </w:pPr>
            <w:r>
              <w:t xml:space="preserve">Match of predicted vs observed sign</w:t>
            </w:r>
          </w:p>
        </w:tc>
        <w:tc>
          <w:tcPr>
            <w:vAlign w:val="top"/>
          </w:tcPr>
          <w:p>
            <w:pPr>
              <w:pStyle w:val="Compact"/>
              <w:jc w:val="left"/>
            </w:pPr>
            <w:r>
              <w:t xml:space="preserve">≥0.70 after calibration</w:t>
            </w:r>
          </w:p>
        </w:tc>
      </w:tr>
      <w:tr>
        <w:tc>
          <w:tcPr>
            <w:shd w:val="clear" w:color="auto" w:fill="F7FBFE"/>
            <w:vAlign w:val="top"/>
          </w:tcPr>
          <w:p>
            <w:pPr>
              <w:pStyle w:val="Compact"/>
              <w:jc w:val="left"/>
            </w:pPr>
            <w:r>
              <w:t xml:space="preserve">Magnitude error (RMSE)</w:t>
            </w:r>
          </w:p>
        </w:tc>
        <w:tc>
          <w:tcPr>
            <w:shd w:val="clear" w:color="auto" w:fill="F7FBFE"/>
            <w:vAlign w:val="top"/>
          </w:tcPr>
          <w:p>
            <w:pPr>
              <w:pStyle w:val="Compact"/>
              <w:jc w:val="left"/>
            </w:pPr>
            <w:r>
              <w:t xml:space="preserve">RMSE on normalized [-1,+1] for measurable cells</w:t>
            </w:r>
          </w:p>
        </w:tc>
        <w:tc>
          <w:tcPr>
            <w:shd w:val="clear" w:color="auto" w:fill="F7FBFE"/>
            <w:vAlign w:val="top"/>
          </w:tcPr>
          <w:p>
            <w:pPr>
              <w:pStyle w:val="Compact"/>
              <w:jc w:val="left"/>
            </w:pPr>
            <w:r>
              <w:t xml:space="preserve">≤0.25 (domain-dependent)</w:t>
            </w:r>
          </w:p>
        </w:tc>
      </w:tr>
      <w:tr>
        <w:tc>
          <w:tcPr>
            <w:vAlign w:val="top"/>
          </w:tcPr>
          <w:p>
            <w:pPr>
              <w:pStyle w:val="Compact"/>
              <w:jc w:val="left"/>
            </w:pPr>
            <w:r>
              <w:t xml:space="preserve">Audit completeness</w:t>
            </w:r>
          </w:p>
        </w:tc>
        <w:tc>
          <w:tcPr>
            <w:vAlign w:val="top"/>
          </w:tcPr>
          <w:p>
            <w:pPr>
              <w:pStyle w:val="Compact"/>
              <w:jc w:val="left"/>
            </w:pPr>
            <w:r>
              <w:t xml:space="preserve">Proportion of required PCC fields correctly filled</w:t>
            </w:r>
          </w:p>
        </w:tc>
        <w:tc>
          <w:tcPr>
            <w:vAlign w:val="top"/>
          </w:tcPr>
          <w:p>
            <w:pPr>
              <w:pStyle w:val="Compact"/>
              <w:jc w:val="left"/>
            </w:pPr>
            <w:r>
              <w:t xml:space="preserve">≥0.95 Tier 3</w:t>
            </w:r>
          </w:p>
        </w:tc>
      </w:tr>
      <w:tr>
        <w:tc>
          <w:tcPr>
            <w:shd w:val="clear" w:color="auto" w:fill="F7FBFE"/>
            <w:vAlign w:val="top"/>
          </w:tcPr>
          <w:p>
            <w:pPr>
              <w:pStyle w:val="Compact"/>
              <w:jc w:val="left"/>
            </w:pPr>
            <w:r>
              <w:t xml:space="preserve">Gaming success rate</w:t>
            </w:r>
          </w:p>
        </w:tc>
        <w:tc>
          <w:tcPr>
            <w:shd w:val="clear" w:color="auto" w:fill="F7FBFE"/>
            <w:vAlign w:val="top"/>
          </w:tcPr>
          <w:p>
            <w:pPr>
              <w:pStyle w:val="Compact"/>
              <w:jc w:val="left"/>
            </w:pPr>
            <w:r>
              <w:t xml:space="preserve">Fraction of adversarial attempts that change outcome illegitimately</w:t>
            </w:r>
          </w:p>
        </w:tc>
        <w:tc>
          <w:tcPr>
            <w:shd w:val="clear" w:color="auto" w:fill="F7FBFE"/>
            <w:vAlign w:val="top"/>
          </w:tcPr>
          <w:p>
            <w:pPr>
              <w:pStyle w:val="Compact"/>
              <w:jc w:val="left"/>
            </w:pPr>
            <w:r>
              <w:t xml:space="preserve">Decreasing over time; investigate if &gt; 0.30</w:t>
            </w:r>
          </w:p>
        </w:tc>
      </w:tr>
    </w:tbl>
    <w:bookmarkEnd w:id="270"/>
    <w:bookmarkEnd w:id="271"/>
    <w:bookmarkStart w:id="272" w:name="Xf6657669dce0c22c9cca265498314573b68c82f"/>
    <w:p>
      <w:pPr>
        <w:pStyle w:val="Heading2"/>
      </w:pPr>
      <w:r>
        <w:rPr>
          <w:bCs/>
          <w:b/>
        </w:rPr>
        <w:t xml:space="preserve">17.5 Study Design Requirements (Normative)</w:t>
      </w:r>
    </w:p>
    <w:p>
      <w:pPr>
        <w:numPr>
          <w:ilvl w:val="0"/>
          <w:numId w:val="1213"/>
        </w:numPr>
        <w:pStyle w:val="Compact"/>
      </w:pPr>
      <w:r>
        <w:t xml:space="preserve">Pre-registration required for pilots claiming performance improvements.</w:t>
      </w:r>
    </w:p>
    <w:p>
      <w:pPr>
        <w:numPr>
          <w:ilvl w:val="0"/>
          <w:numId w:val="1214"/>
        </w:numPr>
        <w:pStyle w:val="Compact"/>
      </w:pPr>
      <w:r>
        <w:t xml:space="preserve">Control or comparator condition recommended (baseline governance).</w:t>
      </w:r>
    </w:p>
    <w:p>
      <w:pPr>
        <w:numPr>
          <w:ilvl w:val="0"/>
          <w:numId w:val="1215"/>
        </w:numPr>
        <w:pStyle w:val="Compact"/>
      </w:pPr>
      <w:r>
        <w:t xml:space="preserve">Blinding recommended for backtests: analyst should not know outcome during the run.</w:t>
      </w:r>
    </w:p>
    <w:bookmarkEnd w:id="272"/>
    <w:bookmarkStart w:id="273" w:name="X4de1483d1f9012ffce12ecc9f881abed0d34ea4"/>
    <w:p>
      <w:pPr>
        <w:pStyle w:val="Heading2"/>
      </w:pPr>
      <w:r>
        <w:rPr>
          <w:bCs/>
          <w:b/>
        </w:rPr>
        <w:t xml:space="preserve">17.5A Projection Pre-Registration</w:t>
      </w:r>
    </w:p>
    <w:bookmarkEnd w:id="273"/>
    <w:bookmarkStart w:id="274" w:name="X0da44e8cdd3ed4983f782a131e51bfac2220343"/>
    <w:p>
      <w:pPr>
        <w:pStyle w:val="Heading2"/>
      </w:pPr>
      <w:r>
        <w:rPr>
          <w:bCs/>
          <w:b/>
        </w:rPr>
        <w:t xml:space="preserve">17.5A.5 Freeze-Hash and Unique-Prediction Requirement (Normative for public validation and ProofPack-prep claims)</w:t>
      </w:r>
    </w:p>
    <w:p>
      <w:pPr>
        <w:pStyle w:val="FirstParagraph"/>
      </w:pPr>
      <w:r>
        <w:t xml:space="preserve">A validation claim is not falsifiable unless the projection was frozen before outcome evidence was consulted. For Tier 3 public pilots, public validation claims, and ProofPack-prep runs, ProjectionPreRegistration SHOULD include projection_freeze_hash, freeze_timestamp_utc, prediction_scope, predicted_observable_consequence_class, outcome_observation_timestamp, and post_observation_modification.</w:t>
      </w:r>
    </w:p>
    <w:p>
      <w:pPr>
        <w:pStyle w:val="BodyText"/>
      </w:pPr>
      <w:r>
        <w:t xml:space="preserve">A material validation claim SHOULD produce exactly one predicted observable consequence class or a declared finite prediction set with pre-specified resolution rule. If the projection produces no prediction, an open-ended prediction, or a non-unique prediction without resolution rule, the claim is exploratory rather than falsifiable and SHOULD be marked NON_UNIQUE_PREDICTION or EXPLORATORY_ONLY.</w:t>
      </w:r>
    </w:p>
    <w:p>
      <w:pPr>
        <w:pStyle w:val="BodyText"/>
      </w:pPr>
      <w:r>
        <w:t xml:space="preserve">If post_observation_modification=TRUE for a material validation claim, the run MUST NOT be used as a falsification test for that claim and SHOULD set POST_HOC_PROJECTION_INVALID with severity INVALID. A revised projection requires a new freeze hash and a new run. (Normative for pilots and Tier 3; Recommended otherwise)</w:t>
      </w:r>
    </w:p>
    <w:p>
      <w:pPr>
        <w:pStyle w:val="BodyText"/>
      </w:pPr>
      <w:r>
        <w:t xml:space="preserve">Purpose. To preserve falsifiability and prevent post-hoc projection drift, pilot runs and Tier 3 runs SHALL pre-register the projection map from declared inputs to admissibility verdict before decision data is consulted in a way that could influence parameter selection.</w:t>
      </w:r>
    </w:p>
    <w:bookmarkEnd w:id="274"/>
    <w:bookmarkStart w:id="275" w:name="Xa54224eff8d12f63023100a8f88f16222817109"/>
    <w:p>
      <w:pPr>
        <w:pStyle w:val="Heading2"/>
      </w:pPr>
      <w:r>
        <w:rPr>
          <w:bCs/>
          <w:b/>
        </w:rPr>
        <w:t xml:space="preserve">17.5A.1 ProjectionPreRegistration object (Normative)</w:t>
      </w:r>
    </w:p>
    <w:p>
      <w:pPr>
        <w:pStyle w:val="FirstParagraph"/>
      </w:pPr>
      <w:r>
        <w:t xml:space="preserve">A ProjectionPreRegistration object SHALL be emitted, signed, timestamped, and stored before any cascade computation that contributes to a pilot or Tier 3 decision record. It SHALL contain at minimum: decision boundary, time horizon, and option set; stakeholder discovery record, including LSS and instance-to-scope mapping; rights coverage set C_r and per-right thresholds theta_r, including any non-default values with justification; catastrophe cell set C_cat, scenario set S, scenario probabilities p_s, CVaR confidence alpha, and TRC corridor tau_TRC; Containment trigger conditions and containing scopes; constitutional weight floors and any tier-appropriate non-default weights with justification; SGP v8.5 binding for impacted stakeholders, including target/record id, MPS band and interval, FPP status, validity status, and planned interval-sensitivity points; subgroup uplift gamma_subgroup and any non-default value with justification; kernel mode and kernel quality status where applicable; sensitivity sweep specification; pre-declared falsification, refusal, escalation, and re-run conditions.</w:t>
      </w:r>
    </w:p>
    <w:bookmarkEnd w:id="275"/>
    <w:bookmarkStart w:id="276" w:name="X1739ed9b8c1ee1944ac8f5cef3bd374d29531ac"/>
    <w:p>
      <w:pPr>
        <w:pStyle w:val="Heading2"/>
      </w:pPr>
      <w:r>
        <w:rPr>
          <w:bCs/>
          <w:b/>
        </w:rPr>
        <w:t xml:space="preserve">17.5A.2 Modification discipline (Normative)</w:t>
      </w:r>
    </w:p>
    <w:p>
      <w:pPr>
        <w:pStyle w:val="FirstParagraph"/>
      </w:pPr>
      <w:r>
        <w:t xml:space="preserve">Once emitted, the ProjectionPreRegistration object SHALL NOT be materially modified after observation in any way that affects admissibility, selectability, selection, or conformance claims.</w:t>
      </w:r>
    </w:p>
    <w:p>
      <w:pPr>
        <w:pStyle w:val="BodyText"/>
      </w:pPr>
      <w:r>
        <w:t xml:space="preserve">If material modification is required, the current run SHALL enter Refusal under Section 4.9, document the reason in PCC.RefusalRecord, and emit a new ProjectionPreRegistration object before any subsequent run.</w:t>
      </w:r>
    </w:p>
    <w:p>
      <w:pPr>
        <w:pStyle w:val="BodyText"/>
      </w:pPr>
      <w:r>
        <w:t xml:space="preserve">Non-material corrections, including typographical corrections, reference updates, or formatting changes that do not alter values or verdict logic, MAY be applied with version increment and documented diff.</w:t>
      </w:r>
    </w:p>
    <w:bookmarkEnd w:id="276"/>
    <w:bookmarkStart w:id="277" w:name="X17219fff100a553172b49274b2278376c925db2"/>
    <w:p>
      <w:pPr>
        <w:pStyle w:val="Heading2"/>
      </w:pPr>
      <w:r>
        <w:rPr>
          <w:bCs/>
          <w:b/>
        </w:rPr>
        <w:t xml:space="preserve">17.5A.3 Tier application (Normative)</w:t>
      </w:r>
    </w:p>
    <w:p>
      <w:pPr>
        <w:pStyle w:val="FirstParagraph"/>
      </w:pPr>
      <w:r>
        <w:t xml:space="preserve">Tier 3: Projection Pre-Registration is REQUIRED for all runs.</w:t>
      </w:r>
    </w:p>
    <w:p>
      <w:pPr>
        <w:pStyle w:val="BodyText"/>
      </w:pPr>
      <w:r>
        <w:t xml:space="preserve">Tier 2: Projection Pre-Registration is REQUIRED for pilots and RECOMMENDED otherwise.</w:t>
      </w:r>
    </w:p>
    <w:p>
      <w:pPr>
        <w:pStyle w:val="BodyText"/>
      </w:pPr>
      <w:r>
        <w:t xml:space="preserve">Tier 1: Projection Pre-Registration is RECOMMENDED where stakes are medium or high.</w:t>
      </w:r>
    </w:p>
    <w:bookmarkEnd w:id="277"/>
    <w:bookmarkStart w:id="278" w:name="X7aab0bfe0bc51e17e2a070ea3dc6b328d1a3e81"/>
    <w:p>
      <w:pPr>
        <w:pStyle w:val="Heading2"/>
      </w:pPr>
      <w:r>
        <w:rPr>
          <w:bCs/>
          <w:b/>
        </w:rPr>
        <w:t xml:space="preserve">17.5A.4 Storage and audit (Normative)</w:t>
      </w:r>
    </w:p>
    <w:p>
      <w:pPr>
        <w:pStyle w:val="FirstParagraph"/>
      </w:pPr>
      <w:r>
        <w:t xml:space="preserve">The ProjectionPreRegistration object SHALL be stored with the PCC and referenced by hash. An independent reviewer SHALL be able to reconstruct the declared projection map from the stored object using only the applicable canon, declared evidence base, and referenced companion artifacts.</w:t>
      </w:r>
    </w:p>
    <w:bookmarkEnd w:id="278"/>
    <w:bookmarkStart w:id="279" w:name="X580f7353578f041253804eda3bec8466f16c90e"/>
    <w:p>
      <w:pPr>
        <w:pStyle w:val="Heading2"/>
      </w:pPr>
      <w:r>
        <w:rPr>
          <w:bCs/>
          <w:b/>
        </w:rPr>
        <w:t xml:space="preserve">17.6 Backtesting Protocol (Normative)</w:t>
      </w:r>
    </w:p>
    <w:p>
      <w:pPr>
        <w:pStyle w:val="FirstParagraph"/>
      </w:pPr>
      <w:r>
        <w:t xml:space="preserve">A backtest run MUST:</w:t>
      </w:r>
    </w:p>
    <w:p>
      <w:pPr>
        <w:numPr>
          <w:ilvl w:val="0"/>
          <w:numId w:val="1216"/>
        </w:numPr>
        <w:pStyle w:val="Compact"/>
      </w:pPr>
      <w:r>
        <w:t xml:space="preserve">Reconstruct the information available at decision time (no hindsight leakage),</w:t>
      </w:r>
    </w:p>
    <w:p>
      <w:pPr>
        <w:numPr>
          <w:ilvl w:val="0"/>
          <w:numId w:val="1217"/>
        </w:numPr>
        <w:pStyle w:val="Compact"/>
      </w:pPr>
      <w:r>
        <w:t xml:space="preserve">Define an option set consistent with the historical context,</w:t>
      </w:r>
    </w:p>
    <w:p>
      <w:pPr>
        <w:numPr>
          <w:ilvl w:val="0"/>
          <w:numId w:val="1218"/>
        </w:numPr>
        <w:pStyle w:val="Compact"/>
      </w:pPr>
      <w:r>
        <w:t xml:space="preserve">Execute RippleLogic using only those inputs,</w:t>
      </w:r>
    </w:p>
    <w:p>
      <w:pPr>
        <w:numPr>
          <w:ilvl w:val="0"/>
          <w:numId w:val="1219"/>
        </w:numPr>
        <w:pStyle w:val="Compact"/>
      </w:pPr>
      <w:r>
        <w:t xml:space="preserve">Record a “Backtest PCC” with full trace,</w:t>
      </w:r>
    </w:p>
    <w:p>
      <w:pPr>
        <w:numPr>
          <w:ilvl w:val="0"/>
          <w:numId w:val="1220"/>
        </w:numPr>
        <w:pStyle w:val="Compact"/>
      </w:pPr>
      <w:r>
        <w:t xml:space="preserve">Score predictions against realized outcomes using declared metrics.</w:t>
      </w:r>
    </w:p>
    <w:bookmarkEnd w:id="279"/>
    <w:bookmarkStart w:id="280" w:name="X2923e8f2d00763e439ce7cb37e096278a8ddfa8"/>
    <w:p>
      <w:pPr>
        <w:pStyle w:val="Heading2"/>
      </w:pPr>
      <w:r>
        <w:rPr>
          <w:bCs/>
          <w:b/>
        </w:rPr>
        <w:t xml:space="preserve">17.7 Open Science and Responsible Disclosure (Normative intent)</w:t>
      </w:r>
    </w:p>
    <w:p>
      <w:pPr>
        <w:pStyle w:val="FirstParagraph"/>
      </w:pPr>
      <w:r>
        <w:t xml:space="preserve">Where feasible, publish:</w:t>
      </w:r>
    </w:p>
    <w:p>
      <w:pPr>
        <w:numPr>
          <w:ilvl w:val="0"/>
          <w:numId w:val="1221"/>
        </w:numPr>
        <w:pStyle w:val="Compact"/>
      </w:pPr>
      <w:r>
        <w:t xml:space="preserve">Anonymized PCC datasets,</w:t>
      </w:r>
    </w:p>
    <w:p>
      <w:pPr>
        <w:numPr>
          <w:ilvl w:val="0"/>
          <w:numId w:val="1222"/>
        </w:numPr>
        <w:pStyle w:val="Compact"/>
      </w:pPr>
      <w:r>
        <w:t xml:space="preserve">Scenario libraries and kernels (with evidence notes),</w:t>
      </w:r>
    </w:p>
    <w:p>
      <w:pPr>
        <w:numPr>
          <w:ilvl w:val="0"/>
          <w:numId w:val="1223"/>
        </w:numPr>
        <w:pStyle w:val="Compact"/>
      </w:pPr>
      <w:r>
        <w:t xml:space="preserve">Failure cases and revisions.</w:t>
      </w:r>
    </w:p>
    <w:p>
      <w:pPr>
        <w:pStyle w:val="FirstParagraph"/>
      </w:pPr>
      <w:r>
        <w:t xml:space="preserve">Security note: Where publishing would create exploitation risk, disclosure should be responsible and staged, but internal auditability must be preserved.</w:t>
      </w:r>
    </w:p>
    <w:bookmarkEnd w:id="280"/>
    <w:bookmarkEnd w:id="281"/>
    <w:bookmarkStart w:id="286" w:name="X402e2bfa59587f51ce837d827c7dd686ee06e51"/>
    <w:p>
      <w:pPr>
        <w:pStyle w:val="Heading1"/>
      </w:pPr>
      <w:bookmarkStart w:id="783" w:name="mg_toc_019"/>
      <w:r>
        <w:rPr>
          <w:bCs/>
          <w:b/>
        </w:rPr>
        <w:t xml:space="preserve">SECTION 18: APPLICATIONS AND USE CASES (INFORMATIVE)</w:t>
      </w:r>
      <w:bookmarkEnd w:id="783"/>
    </w:p>
    <w:bookmarkStart w:id="282" w:name="X390b4e5955e383e1f7e2763f30a9dffa6f462db"/>
    <w:p>
      <w:pPr>
        <w:pStyle w:val="Heading2"/>
      </w:pPr>
      <w:r>
        <w:rPr>
          <w:bCs/>
          <w:b/>
        </w:rPr>
        <w:t xml:space="preserve">18.1 AI Deployment Governance (Tier 3)</w:t>
      </w:r>
    </w:p>
    <w:p>
      <w:pPr>
        <w:pStyle w:val="FirstParagraph"/>
      </w:pPr>
      <w:r>
        <w:t xml:space="preserve">Decision context: An organization is deciding whether to deploy an AI system that affects users at scale.</w:t>
      </w:r>
    </w:p>
    <w:p>
      <w:pPr>
        <w:pStyle w:val="BodyText"/>
      </w:pPr>
      <w:r>
        <w:t xml:space="preserve">Key obligations:</w:t>
      </w:r>
    </w:p>
    <w:p>
      <w:pPr>
        <w:numPr>
          <w:ilvl w:val="0"/>
          <w:numId w:val="1224"/>
        </w:numPr>
        <w:pStyle w:val="Compact"/>
      </w:pPr>
      <w:r>
        <w:t xml:space="preserve">NCRC: Protect dignity, information integrity, due process for worst-off subgroups.</w:t>
      </w:r>
    </w:p>
    <w:p>
      <w:pPr>
        <w:numPr>
          <w:ilvl w:val="0"/>
          <w:numId w:val="1225"/>
        </w:numPr>
        <w:pStyle w:val="Compact"/>
      </w:pPr>
      <w:r>
        <w:t xml:space="preserve">TRC: Model catastrophic tails (infrastructure disruption, mass manipulation, cascading conflict).</w:t>
      </w:r>
    </w:p>
    <w:p>
      <w:pPr>
        <w:numPr>
          <w:ilvl w:val="0"/>
          <w:numId w:val="1226"/>
        </w:numPr>
        <w:pStyle w:val="Compact"/>
      </w:pPr>
      <w:r>
        <w:t xml:space="preserve">Containment: Avoid organizational gains that degrade Polity/Humanity coherence (legitimacy collapse, epistemic fragmentation).</w:t>
      </w:r>
    </w:p>
    <w:p>
      <w:pPr>
        <w:numPr>
          <w:ilvl w:val="0"/>
          <w:numId w:val="1227"/>
        </w:numPr>
        <w:pStyle w:val="Compact"/>
      </w:pPr>
      <w:r>
        <w:t xml:space="preserve">PCC: Produce auditable trace; ensure comparability across options.</w:t>
      </w:r>
    </w:p>
    <w:bookmarkEnd w:id="282"/>
    <w:bookmarkStart w:id="283" w:name="Xe748ad163efe56edee6e6863dc84b79e6916643"/>
    <w:p>
      <w:pPr>
        <w:pStyle w:val="Heading2"/>
      </w:pPr>
      <w:r>
        <w:rPr>
          <w:bCs/>
          <w:b/>
        </w:rPr>
        <w:t xml:space="preserve">18.2 Climate and Energy Policy (Tier 3)</w:t>
      </w:r>
    </w:p>
    <w:p>
      <w:pPr>
        <w:pStyle w:val="FirstParagraph"/>
      </w:pPr>
      <w:r>
        <w:t xml:space="preserve">Decision context: A polity evaluates energy transition policies that impact households, industries, and biosphere stability.</w:t>
      </w:r>
    </w:p>
    <w:p>
      <w:pPr>
        <w:pStyle w:val="BodyText"/>
      </w:pPr>
      <w:r>
        <w:t xml:space="preserve">Key obligations:</w:t>
      </w:r>
    </w:p>
    <w:p>
      <w:pPr>
        <w:numPr>
          <w:ilvl w:val="0"/>
          <w:numId w:val="1228"/>
        </w:numPr>
        <w:pStyle w:val="Compact"/>
      </w:pPr>
      <w:r>
        <w:t xml:space="preserve">NCRC: Protect basic needs (energy poverty), health, life.</w:t>
      </w:r>
    </w:p>
    <w:p>
      <w:pPr>
        <w:numPr>
          <w:ilvl w:val="0"/>
          <w:numId w:val="1229"/>
        </w:numPr>
        <w:pStyle w:val="Compact"/>
      </w:pPr>
      <w:r>
        <w:t xml:space="preserve">TRC: Include climate tipping cascade scenarios; enforce corridor.</w:t>
      </w:r>
    </w:p>
    <w:p>
      <w:pPr>
        <w:numPr>
          <w:ilvl w:val="0"/>
          <w:numId w:val="1230"/>
        </w:numPr>
        <w:pStyle w:val="Compact"/>
      </w:pPr>
      <w:r>
        <w:t xml:space="preserve">Containment: Prevent short-term gains from degrading Biosphere UCI beyond tolerance.</w:t>
      </w:r>
    </w:p>
    <w:bookmarkEnd w:id="283"/>
    <w:bookmarkStart w:id="284" w:name="X9b802bdc1483963786870ff49d6e2929ad3f6e5"/>
    <w:p>
      <w:pPr>
        <w:pStyle w:val="Heading2"/>
      </w:pPr>
      <w:r>
        <w:rPr>
          <w:bCs/>
          <w:b/>
        </w:rPr>
        <w:t xml:space="preserve">18.3 Organizational Strategy (Tier 2-3)</w:t>
      </w:r>
    </w:p>
    <w:p>
      <w:pPr>
        <w:pStyle w:val="FirstParagraph"/>
      </w:pPr>
      <w:r>
        <w:t xml:space="preserve">Decision context: Organization deciding on major restructuring, automation, supply chain change.</w:t>
      </w:r>
    </w:p>
    <w:p>
      <w:pPr>
        <w:pStyle w:val="BodyText"/>
      </w:pPr>
      <w:r>
        <w:t xml:space="preserve">Key obligations:</w:t>
      </w:r>
    </w:p>
    <w:p>
      <w:pPr>
        <w:numPr>
          <w:ilvl w:val="0"/>
          <w:numId w:val="1231"/>
        </w:numPr>
        <w:pStyle w:val="Compact"/>
      </w:pPr>
      <w:r>
        <w:t xml:space="preserve">NCRC: Protect basic needs and dignity for worst-off employees/communities.</w:t>
      </w:r>
    </w:p>
    <w:p>
      <w:pPr>
        <w:numPr>
          <w:ilvl w:val="0"/>
          <w:numId w:val="1232"/>
        </w:numPr>
        <w:pStyle w:val="Compact"/>
      </w:pPr>
      <w:r>
        <w:t xml:space="preserve">TRC: Required at Tier 2 if catastrophe relevance is plausible.</w:t>
      </w:r>
    </w:p>
    <w:p>
      <w:pPr>
        <w:numPr>
          <w:ilvl w:val="0"/>
          <w:numId w:val="1233"/>
        </w:numPr>
        <w:pStyle w:val="Compact"/>
      </w:pPr>
      <w:r>
        <w:t xml:space="preserve">Containment: Detect hollowing-out risk even if near-term welfare improves.</w:t>
      </w:r>
    </w:p>
    <w:bookmarkEnd w:id="284"/>
    <w:bookmarkStart w:id="285" w:name="X1add7b05b71bde5195f315ecdf5471b000a8f98"/>
    <w:p>
      <w:pPr>
        <w:pStyle w:val="Heading2"/>
      </w:pPr>
      <w:r>
        <w:rPr>
          <w:bCs/>
          <w:b/>
        </w:rPr>
        <w:t xml:space="preserve">18.4 Personal and Household Decisions (Tier 1)</w:t>
      </w:r>
    </w:p>
    <w:p>
      <w:pPr>
        <w:pStyle w:val="FirstParagraph"/>
      </w:pPr>
      <w:r>
        <w:t xml:space="preserve">Decision context: Personal choices (job change, relocation, major purchase) where stakes are limited and reversible.</w:t>
      </w:r>
    </w:p>
    <w:p>
      <w:pPr>
        <w:pStyle w:val="BodyText"/>
      </w:pPr>
      <w:r>
        <w:t xml:space="preserve">Use Tier 1 heuristic: options, rights screen, tail screen, unions touched, unioning redesign.</w:t>
      </w:r>
    </w:p>
    <w:p>
      <w:pPr>
        <w:pStyle w:val="BodyText"/>
      </w:pPr>
      <w:r>
        <w:t xml:space="preserve">Escalate to Tier 2 if any plausible rights risk exists or if the decision touches catastrophe relevance.</w:t>
      </w:r>
    </w:p>
    <w:bookmarkEnd w:id="285"/>
    <w:bookmarkEnd w:id="286"/>
    <w:bookmarkStart w:id="291" w:name="Xe542aaa270e77e7bfb0f91fd0164e6d362f4d6e"/>
    <w:p>
      <w:pPr>
        <w:pStyle w:val="Heading1"/>
      </w:pPr>
      <w:bookmarkStart w:id="784" w:name="mg_toc_020"/>
      <w:r>
        <w:rPr>
          <w:bCs/>
          <w:b/>
        </w:rPr>
        <w:t xml:space="preserve">SECTION 19: LIMITATIONS AND NON-TARGETS (NORMATIVE BOUNDARIES)</w:t>
      </w:r>
      <w:bookmarkEnd w:id="784"/>
    </w:p>
    <w:bookmarkStart w:id="287" w:name="Xb7ccd37c1f10878c73a72657e5bebb2ddf0471c"/>
    <w:p>
      <w:pPr>
        <w:pStyle w:val="Heading2"/>
      </w:pPr>
      <w:r>
        <w:rPr>
          <w:bCs/>
          <w:b/>
        </w:rPr>
        <w:t xml:space="preserve">19.1 Epistemic Limitations (Normative acknowledgment)</w:t>
      </w:r>
    </w:p>
    <w:p>
      <w:pPr>
        <w:pStyle w:val="FirstParagraph"/>
      </w:pPr>
      <w:r>
        <w:t xml:space="preserve">Input quality dependence: RippleLogic outputs are only as good as the evidence and estimation process. The framework reduces predictable failures but does not guarantee correct forecasts.</w:t>
      </w:r>
    </w:p>
    <w:p>
      <w:pPr>
        <w:pStyle w:val="BodyText"/>
      </w:pPr>
      <w:r>
        <w:t xml:space="preserve">Measurement difficulty: Some dimensions (Meaning; aspects of Agency) are harder to measure reliably across cultures. RippleLogic treats such measurement with caution and uncertainty documentation.</w:t>
      </w:r>
    </w:p>
    <w:p>
      <w:pPr>
        <w:pStyle w:val="BodyText"/>
      </w:pPr>
      <w:r>
        <w:t xml:space="preserve">Kernel uncertainty and operational status: Ripple propagation via the QUICK kernel mode is architecturally specified and canon-complete for Tier 1-3 implementation. However, the Starter KOPS (Appendix K) carries evidence classes B and E with a global shrink factor of 0.35, and the KQS policy (Section 6.5) requires KQS &gt;= 0.40 for any kernel use. In practice, most early Tier 2-3 runs are expected to operate in NONE propagation mode because domain-specific kernels with sufficient evidence coverage, identifiability, and predictive validation do not yet exist. The NONE mode is a valid and conformant propagation posture, not a workaround. Building empirically grounded kernels with KQS &gt;= 0.50 is a Phase 2-3 validation priority (Section 17.3). Ripple-awareness is already operational in the current release line through the multi-scope welfare matrix (which makes cross-scale consequences visible), through containment (which detects cross-scale degradation), and through UCI/HOI (which monitors structural integrity). Numerical kernel-based propagation remains a design-ready capability awaiting domain-specific calibration. The current release line mitigates kernel uncertainty with KQS policy, sensitivity requirements, and humility fallback to NONE.</w:t>
      </w:r>
    </w:p>
    <w:p>
      <w:pPr>
        <w:pStyle w:val="BodyText"/>
      </w:pPr>
      <w:r>
        <w:t xml:space="preserve">Scenario incompleteness: Scenario libraries cannot enumerate all tail risks; mandatory tail categories reduce omission but cannot eliminate deep uncertainty.</w:t>
      </w:r>
    </w:p>
    <w:bookmarkEnd w:id="287"/>
    <w:bookmarkStart w:id="288" w:name="Xa834e5f5aa4ab0dad9afce11726d697641c8068"/>
    <w:p>
      <w:pPr>
        <w:pStyle w:val="Heading2"/>
      </w:pPr>
      <w:r>
        <w:rPr>
          <w:bCs/>
          <w:b/>
        </w:rPr>
        <w:t xml:space="preserve">19.2 Institutional and Governance Prerequisites</w:t>
      </w:r>
    </w:p>
    <w:p>
      <w:pPr>
        <w:pStyle w:val="FirstParagraph"/>
      </w:pPr>
      <w:r>
        <w:t xml:space="preserve">Tier 3 requires trained analysts and governance capacity: subgroup analysis, scenario governance, structural indicators for UCI, and audit review.</w:t>
      </w:r>
    </w:p>
    <w:p>
      <w:pPr>
        <w:pStyle w:val="BodyText"/>
      </w:pPr>
      <w:r>
        <w:t xml:space="preserve">HDW governance can be captured if safeguards are weak. RippleLogic mandates anti-capture mechanisms, but real-world institutions must implement them.</w:t>
      </w:r>
    </w:p>
    <w:bookmarkEnd w:id="288"/>
    <w:bookmarkStart w:id="289" w:name="X29dee0daea0ddd6fa241f5bfa71cddc691b74c2"/>
    <w:p>
      <w:pPr>
        <w:pStyle w:val="Heading2"/>
      </w:pPr>
      <w:r>
        <w:rPr>
          <w:bCs/>
          <w:b/>
        </w:rPr>
        <w:t xml:space="preserve">19.3 Risks of Compliance Theater</w:t>
      </w:r>
    </w:p>
    <w:p>
      <w:pPr>
        <w:pStyle w:val="FirstParagraph"/>
      </w:pPr>
      <w:r>
        <w:t xml:space="preserve">Any framework can be used as a rubber stamp. RippleLogic mitigates via:</w:t>
      </w:r>
    </w:p>
    <w:p>
      <w:pPr>
        <w:numPr>
          <w:ilvl w:val="0"/>
          <w:numId w:val="1234"/>
        </w:numPr>
        <w:pStyle w:val="Compact"/>
      </w:pPr>
      <w:r>
        <w:t xml:space="preserve">Hard gates (NCRC/TRC/CSV),</w:t>
      </w:r>
    </w:p>
    <w:p>
      <w:pPr>
        <w:numPr>
          <w:ilvl w:val="0"/>
          <w:numId w:val="1235"/>
        </w:numPr>
        <w:pStyle w:val="Compact"/>
      </w:pPr>
      <w:r>
        <w:t xml:space="preserve">Non-maskable cells and audit flags,</w:t>
      </w:r>
    </w:p>
    <w:p>
      <w:pPr>
        <w:numPr>
          <w:ilvl w:val="0"/>
          <w:numId w:val="1236"/>
        </w:numPr>
        <w:pStyle w:val="Compact"/>
      </w:pPr>
      <w:r>
        <w:t xml:space="preserve">Challenger requirement in emergency mode,</w:t>
      </w:r>
    </w:p>
    <w:p>
      <w:pPr>
        <w:numPr>
          <w:ilvl w:val="0"/>
          <w:numId w:val="1237"/>
        </w:numPr>
        <w:pStyle w:val="Compact"/>
      </w:pPr>
      <w:r>
        <w:t xml:space="preserve">Required PCC traceability and sensitivity.</w:t>
      </w:r>
    </w:p>
    <w:p>
      <w:pPr>
        <w:pStyle w:val="FirstParagraph"/>
      </w:pPr>
      <w:r>
        <w:t xml:space="preserve">Nonetheless, compliance theater remains a risk; validation and external scrutiny matter.</w:t>
      </w:r>
    </w:p>
    <w:bookmarkEnd w:id="289"/>
    <w:bookmarkStart w:id="290" w:name="Xe161f74e291dbed0dc43c6e1332d52d62e33ef0"/>
    <w:p>
      <w:pPr>
        <w:pStyle w:val="Heading2"/>
      </w:pPr>
      <w:r>
        <w:rPr>
          <w:bCs/>
          <w:b/>
        </w:rPr>
        <w:t xml:space="preserve">19.4 Non-Targets (Normative)</w:t>
      </w:r>
    </w:p>
    <w:p>
      <w:pPr>
        <w:pStyle w:val="FirstParagraph"/>
      </w:pPr>
      <w:r>
        <w:t xml:space="preserve">RippleLogic is NOT designed to:</w:t>
      </w:r>
    </w:p>
    <w:p>
      <w:pPr>
        <w:numPr>
          <w:ilvl w:val="0"/>
          <w:numId w:val="1238"/>
        </w:numPr>
        <w:pStyle w:val="Compact"/>
      </w:pPr>
      <w:r>
        <w:t xml:space="preserve">Replace personal moral dialogue in intimate relationships,</w:t>
      </w:r>
    </w:p>
    <w:p>
      <w:pPr>
        <w:numPr>
          <w:ilvl w:val="0"/>
          <w:numId w:val="1239"/>
        </w:numPr>
        <w:pStyle w:val="Compact"/>
      </w:pPr>
      <w:r>
        <w:t xml:space="preserve">Dictate aesthetic or spiritual preferences,</w:t>
      </w:r>
    </w:p>
    <w:p>
      <w:pPr>
        <w:numPr>
          <w:ilvl w:val="0"/>
          <w:numId w:val="1240"/>
        </w:numPr>
        <w:pStyle w:val="Compact"/>
      </w:pPr>
      <w:r>
        <w:t xml:space="preserve">Resolve all deep metaphysical disagreements,</w:t>
      </w:r>
    </w:p>
    <w:p>
      <w:pPr>
        <w:numPr>
          <w:ilvl w:val="0"/>
          <w:numId w:val="1241"/>
        </w:numPr>
        <w:pStyle w:val="Compact"/>
      </w:pPr>
      <w:r>
        <w:t xml:space="preserve">Provide certainty under irreducible uncertainty,</w:t>
      </w:r>
    </w:p>
    <w:p>
      <w:pPr>
        <w:numPr>
          <w:ilvl w:val="0"/>
          <w:numId w:val="1242"/>
        </w:numPr>
        <w:pStyle w:val="Compact"/>
      </w:pPr>
      <w:r>
        <w:t xml:space="preserve">Function as a rhetorical weapon to end debate.</w:t>
      </w:r>
    </w:p>
    <w:p>
      <w:pPr>
        <w:pStyle w:val="FirstParagraph"/>
      </w:pPr>
      <w:r>
        <w:t xml:space="preserve">It is a public decision operating system: a method for auditable, multi-stakeholder, high-consequence decisions.</w:t>
      </w:r>
    </w:p>
    <w:bookmarkEnd w:id="290"/>
    <w:bookmarkEnd w:id="291"/>
    <w:bookmarkStart w:id="327" w:name="X38ba925486c44f2a1a208d0015ed8cd9f4a6796"/>
    <w:p>
      <w:pPr>
        <w:pStyle w:val="Heading1"/>
      </w:pPr>
      <w:bookmarkStart w:id="785" w:name="mg_toc_021"/>
      <w:r>
        <w:rPr>
          <w:bCs/>
          <w:b/>
        </w:rPr>
        <w:t xml:space="preserve">SECTION 20: CONCLUSION: PROSPEROUS FUTURES FOR INTELLIGENCES</w:t>
      </w:r>
      <w:bookmarkEnd w:id="785"/>
    </w:p>
    <w:bookmarkStart w:id="292" w:name="X7629c46db5bb953562ac20ade4b25dbe8724eb0"/>
    <w:p>
      <w:pPr>
        <w:pStyle w:val="Heading2"/>
      </w:pPr>
      <w:r>
        <w:rPr>
          <w:bCs/>
          <w:b/>
        </w:rPr>
        <w:t xml:space="preserve">20.1 Prosperity Defined (Normative operational definition)</w:t>
      </w:r>
    </w:p>
    <w:p>
      <w:pPr>
        <w:pStyle w:val="FirstParagraph"/>
      </w:pPr>
      <w:r>
        <w:t xml:space="preserve">In RippleLogic terms:</w:t>
      </w:r>
    </w:p>
    <w:p>
      <w:pPr>
        <w:pStyle w:val="BodyText"/>
      </w:pPr>
      <w:r>
        <w:t xml:space="preserve">Prosperity = rights-safe (NCRC) + tail-safe (TRC) + containment-safe + net-positive welfare across unions + coherence preserved (UCI/HOI safeguards) + corrigible learning (NCAR)</w:t>
      </w:r>
    </w:p>
    <w:p>
      <w:pPr>
        <w:pStyle w:val="BodyText"/>
      </w:pPr>
      <w:r>
        <w:t xml:space="preserve">This definition blocks false prosperity:</w:t>
      </w:r>
    </w:p>
    <w:p>
      <w:pPr>
        <w:numPr>
          <w:ilvl w:val="0"/>
          <w:numId w:val="1243"/>
        </w:numPr>
        <w:pStyle w:val="Compact"/>
      </w:pPr>
      <w:r>
        <w:t xml:space="preserve">“Growth” that violates rights is not prosperity.</w:t>
      </w:r>
    </w:p>
    <w:p>
      <w:pPr>
        <w:numPr>
          <w:ilvl w:val="0"/>
          <w:numId w:val="1244"/>
        </w:numPr>
        <w:pStyle w:val="Compact"/>
      </w:pPr>
      <w:r>
        <w:t xml:space="preserve">“Efficiency” that increases catastrophic exposure is not prosperity.</w:t>
      </w:r>
    </w:p>
    <w:p>
      <w:pPr>
        <w:numPr>
          <w:ilvl w:val="0"/>
          <w:numId w:val="1245"/>
        </w:numPr>
        <w:pStyle w:val="Compact"/>
      </w:pPr>
      <w:r>
        <w:t xml:space="preserve">“Success” that hollows out structural coherence is not prosperity.</w:t>
      </w:r>
    </w:p>
    <w:bookmarkEnd w:id="292"/>
    <w:bookmarkStart w:id="293" w:name="Xe65dbd59248123eb04fa77fbdbbed0adc26dcc8"/>
    <w:p>
      <w:pPr>
        <w:pStyle w:val="Heading2"/>
      </w:pPr>
      <w:r>
        <w:rPr>
          <w:bCs/>
          <w:b/>
        </w:rPr>
        <w:t xml:space="preserve">20.2 RippleLogic Thesis</w:t>
      </w:r>
    </w:p>
    <w:p>
      <w:pPr>
        <w:pStyle w:val="FirstParagraph"/>
      </w:pPr>
      <w:r>
        <w:t xml:space="preserve">Alignment across humans, institutions, and AI requires non-compensable constraints on rights and catastrophic risk, explicit modeling of ripple propagation through layered and intersecting analytical scopes, transparent and auditable decision procedures, and corrigible learning loops. These requirements are motivated by interdependence in complex systems (Meadows, 2008; Newman, 2010), planetary life-support constraints (Steffen et al., 2015; Rockström et al., 2009, 2023), and the asymmetric tail-risk properties of ruin dynamics (Taleb, 2012; Ord, 2020).</w:t>
      </w:r>
    </w:p>
    <w:bookmarkEnd w:id="293"/>
    <w:bookmarkStart w:id="326" w:name="Xe1c7a23ab28766262305b09b788a1f84ab975a9"/>
    <w:p>
      <w:pPr>
        <w:pStyle w:val="Heading2"/>
      </w:pPr>
      <w:r>
        <w:rPr>
          <w:bCs/>
          <w:b/>
        </w:rPr>
        <w:t xml:space="preserve">20.3 Call to Test, Critique, and Deploy (Normative stance)</w:t>
      </w:r>
    </w:p>
    <w:p>
      <w:pPr>
        <w:pStyle w:val="FirstParagraph"/>
      </w:pPr>
      <w:r>
        <w:t xml:space="preserve">RippleLogic v12.6 is a spec-hardened scaffold intended to be tested, falsified where wrong, refined where incomplete, and used proportionally to stakes. The method is designed to move societies toward ethically, sustainably, harmoniously, prosperously, and verifiably coordinated flourishing by making decision structure explicit, auditable, and corrigible.</w:t>
      </w:r>
    </w:p>
    <w:p>
      <w:pPr>
        <w:pStyle w:val="BodyText"/>
      </w:pPr>
      <w:r>
        <w:t xml:space="preserve">REFERENCES (APA 7)</w:t>
      </w:r>
    </w:p>
    <w:p>
      <w:pPr>
        <w:pStyle w:val="BodyText"/>
      </w:pPr>
      <w:r>
        <w:t xml:space="preserve">Amodei, D., Olah, C., Steinhardt, J., Christiano, P., Schulman, J., &amp; Mané, D. (2016). Concrete problems in AI safety. arXiv. </w:t>
      </w:r>
      <w:hyperlink r:id="rId294">
        <w:r>
          <w:rPr>
            <w:rStyle w:val="Hyperlink"/>
          </w:rPr>
          <w:t xml:space="preserve">https://doi.org/10.48550/arXiv.1606.06565</w:t>
        </w:r>
      </w:hyperlink>
    </w:p>
    <w:p>
      <w:pPr>
        <w:pStyle w:val="BodyText"/>
      </w:pPr>
      <w:r>
        <w:t xml:space="preserve">Arrow, K. J. (1963). Social choice and individual values (2nd ed.). Yale University Press.</w:t>
      </w:r>
    </w:p>
    <w:p>
      <w:pPr>
        <w:pStyle w:val="BodyText"/>
      </w:pPr>
      <w:r>
        <w:t xml:space="preserve">Artzner, P., Delbaen, F., Eber, J.-M., &amp; Heath, D. (1999). Coherent measures of risk. Mathematical Finance, 9(3), 203–228. </w:t>
      </w:r>
      <w:hyperlink r:id="rId295">
        <w:r>
          <w:rPr>
            <w:rStyle w:val="Hyperlink"/>
          </w:rPr>
          <w:t xml:space="preserve">https://doi.org/10.1111/1467-9965.00068</w:t>
        </w:r>
      </w:hyperlink>
    </w:p>
    <w:p>
      <w:pPr>
        <w:pStyle w:val="BodyText"/>
      </w:pPr>
      <w:r>
        <w:t xml:space="preserve">Axelrod, R. (1984). The evolution of cooperation. Basic Books.</w:t>
      </w:r>
    </w:p>
    <w:p>
      <w:pPr>
        <w:pStyle w:val="BodyText"/>
      </w:pPr>
      <w:r>
        <w:t xml:space="preserve">Barabási, A.-L., &amp; Albert, R. (1999). Emergence of scaling in random networks. Science, 286(5439), 509–512. </w:t>
      </w:r>
      <w:hyperlink r:id="rId296">
        <w:r>
          <w:rPr>
            <w:rStyle w:val="Hyperlink"/>
          </w:rPr>
          <w:t xml:space="preserve">https://doi.org/10.1126/science.286.5439.509</w:t>
        </w:r>
      </w:hyperlink>
    </w:p>
    <w:p>
      <w:pPr>
        <w:pStyle w:val="BodyText"/>
      </w:pPr>
      <w:r>
        <w:t xml:space="preserve">Becker, G. S. (1981). A treatise on the family. Harvard University Press.</w:t>
      </w:r>
    </w:p>
    <w:p>
      <w:pPr>
        <w:pStyle w:val="BodyText"/>
      </w:pPr>
      <w:r>
        <w:t xml:space="preserve">Belton, V., &amp; Stewart, T. J. (2002). Multiple criteria decision analysis: An integrated approach. Kluwer Academic Publishers.</w:t>
      </w:r>
    </w:p>
    <w:p>
      <w:pPr>
        <w:pStyle w:val="BodyText"/>
      </w:pPr>
      <w:r>
        <w:t xml:space="preserve">Bostrom, N. (2014). Superintelligence: Paths, dangers, strategies. Oxford University Press.</w:t>
      </w:r>
    </w:p>
    <w:p>
      <w:pPr>
        <w:pStyle w:val="BodyText"/>
      </w:pPr>
      <w:r>
        <w:t xml:space="preserve">Bowlby, J. (1988). A secure base: Parent-child attachment and healthy human development. Basic Books.</w:t>
      </w:r>
    </w:p>
    <w:p>
      <w:pPr>
        <w:pStyle w:val="BodyText"/>
      </w:pPr>
      <w:r>
        <w:t xml:space="preserve">Christakis, N. A., &amp; Fowler, J. H. (2009). Connected: The surprising power of our social networks and how they shape our lives. Little, Brown and Company.</w:t>
      </w:r>
    </w:p>
    <w:p>
      <w:pPr>
        <w:pStyle w:val="BodyText"/>
      </w:pPr>
      <w:r>
        <w:t xml:space="preserve">Council of Europe. (1950). Convention for the Protection of Human Rights and Fundamental Freedoms (European Convention on Human Rights). </w:t>
      </w:r>
      <w:hyperlink r:id="rId297">
        <w:r>
          <w:rPr>
            <w:rStyle w:val="Hyperlink"/>
          </w:rPr>
          <w:t xml:space="preserve">https://www.echr.coe.int/the-convention</w:t>
        </w:r>
      </w:hyperlink>
    </w:p>
    <w:p>
      <w:pPr>
        <w:pStyle w:val="BodyText"/>
      </w:pPr>
      <w:r>
        <w:t xml:space="preserve">Dunbar, R. I. M. (1992). Neocortex size as a constraint on group size in primates. Journal of Human Evolution, 22(6), 469–493. </w:t>
      </w:r>
      <w:hyperlink r:id="rId298">
        <w:r>
          <w:rPr>
            <w:rStyle w:val="Hyperlink"/>
          </w:rPr>
          <w:t xml:space="preserve">https://doi.org/10.1016/0047-2484(92)90081-J</w:t>
        </w:r>
      </w:hyperlink>
    </w:p>
    <w:p>
      <w:pPr>
        <w:pStyle w:val="BodyText"/>
      </w:pPr>
      <w:r>
        <w:t xml:space="preserve">Dunbar, R. I. M. (1993). Coevolution of neocortical size, group size and language in humans. Behavioral and Brain Sciences, 16(4), 681–735. </w:t>
      </w:r>
      <w:hyperlink r:id="rId299">
        <w:r>
          <w:rPr>
            <w:rStyle w:val="Hyperlink"/>
          </w:rPr>
          <w:t xml:space="preserve">https://doi.org/10.1017/S0140525X00032325</w:t>
        </w:r>
      </w:hyperlink>
    </w:p>
    <w:p>
      <w:pPr>
        <w:pStyle w:val="BodyText"/>
      </w:pPr>
      <w:r>
        <w:t xml:space="preserve">Edmondson, A. (1999). Psychological safety and learning behavior in work teams. Administrative Science Quarterly, 44(2), 350–383. </w:t>
      </w:r>
      <w:hyperlink r:id="rId300">
        <w:r>
          <w:rPr>
            <w:rStyle w:val="Hyperlink"/>
          </w:rPr>
          <w:t xml:space="preserve">https://doi.org/10.2307/2666999</w:t>
        </w:r>
      </w:hyperlink>
    </w:p>
    <w:p>
      <w:pPr>
        <w:pStyle w:val="BodyText"/>
      </w:pPr>
      <w:r>
        <w:t xml:space="preserve">Estes, J. A., Terborgh, J., Brashares, J. S., Power, M. E., Berger, J., Bond, W. J., Carpenter, S. R., Essington, T. E., Holt, R. D., Jackson, J. B. C., Marquis, R. J., Oksanen, L., Oksanen, T., Paine, R. T., Pikitch, E. K., Ripple, W. J., Sandin, S. A., Scheffer, M., Schoener, T. W., … Wardle, D. A. (2011). Trophic downgrading of planet Earth. Science, 333(6040), 301–306. </w:t>
      </w:r>
      <w:hyperlink r:id="rId301">
        <w:r>
          <w:rPr>
            <w:rStyle w:val="Hyperlink"/>
          </w:rPr>
          <w:t xml:space="preserve">https://doi.org/10.1126/science.1205106</w:t>
        </w:r>
      </w:hyperlink>
    </w:p>
    <w:p>
      <w:pPr>
        <w:pStyle w:val="BodyText"/>
      </w:pPr>
      <w:r>
        <w:t xml:space="preserve">Floridi, L. (2013). The ethics of information. Oxford University Press.</w:t>
      </w:r>
    </w:p>
    <w:p>
      <w:pPr>
        <w:pStyle w:val="BodyText"/>
      </w:pPr>
      <w:r>
        <w:t xml:space="preserve">Goodhart, C. A. E. (1984). Problems of monetary management: The UK experience. In C. A. E. Goodhart (Ed.), Monetary theory and practice: The UK experience (pp. 91–121). Macmillan.</w:t>
      </w:r>
    </w:p>
    <w:p>
      <w:pPr>
        <w:pStyle w:val="BodyText"/>
      </w:pPr>
      <w:r>
        <w:t xml:space="preserve">Hammond, J. S., Keeney, R. L., &amp; Raiffa, H. (1998). Smart choices: A practical guide to making better decisions. Harvard Business School Press.</w:t>
      </w:r>
    </w:p>
    <w:p>
      <w:pPr>
        <w:pStyle w:val="BodyText"/>
      </w:pPr>
      <w:r>
        <w:t xml:space="preserve">Integrated Food Security Phase Classification (IPC) Global Partners. (n.d.). Integrated Food Security Phase Classification (IPC) framework and tools. Retrieved February 19, 2026, from </w:t>
      </w:r>
      <w:hyperlink r:id="rId302">
        <w:r>
          <w:rPr>
            <w:rStyle w:val="Hyperlink"/>
          </w:rPr>
          <w:t xml:space="preserve">https://www.ipcinfo.org/</w:t>
        </w:r>
      </w:hyperlink>
    </w:p>
    <w:p>
      <w:pPr>
        <w:pStyle w:val="BodyText"/>
      </w:pPr>
      <w:r>
        <w:t xml:space="preserve">Intergovernmental Panel on Climate Change. (2023). Climate change 2023: Synthesis report. </w:t>
      </w:r>
      <w:hyperlink r:id="rId303">
        <w:r>
          <w:rPr>
            <w:rStyle w:val="Hyperlink"/>
          </w:rPr>
          <w:t xml:space="preserve">https://doi.org/10.59327/IPCC/AR6-9789291691647</w:t>
        </w:r>
      </w:hyperlink>
    </w:p>
    <w:p>
      <w:pPr>
        <w:pStyle w:val="BodyText"/>
      </w:pPr>
      <w:r>
        <w:t xml:space="preserve">International Labour Organization. (1998). ILO Declaration on Fundamental Principles and Rights at Work and its Follow-up. Retrieved February 19, 2026, from </w:t>
      </w:r>
      <w:hyperlink r:id="rId304">
        <w:r>
          <w:rPr>
            <w:rStyle w:val="Hyperlink"/>
          </w:rPr>
          <w:t xml:space="preserve">https://www.ilo.org/ilo-declaration-fundamental-principles-and-rights-work/about-declaration/text-declaration-and-its-follow</w:t>
        </w:r>
      </w:hyperlink>
    </w:p>
    <w:p>
      <w:pPr>
        <w:pStyle w:val="BodyText"/>
      </w:pPr>
      <w:r>
        <w:t xml:space="preserve">International Labour Organization. (2012). ILO indicators of forced labour (Special Action Programme to Combat Forced Labour).</w:t>
      </w:r>
      <w:r>
        <w:t xml:space="preserve"> </w:t>
      </w:r>
      <w:hyperlink r:id="rId305">
        <w:r>
          <w:rPr>
            <w:rStyle w:val="Hyperlink"/>
          </w:rPr>
          <w:t xml:space="preserve">https://www.ilo.org/publications/ilo-indicators-forced-labour</w:t>
        </w:r>
      </w:hyperlink>
    </w:p>
    <w:p>
      <w:pPr>
        <w:pStyle w:val="BodyText"/>
      </w:pPr>
      <w:r>
        <w:t xml:space="preserve">Kahneman, D., &amp; Tversky, A. (1979). Prospect theory: An analysis of decision under risk. Econometrica, 47(2), 263–291. </w:t>
      </w:r>
      <w:hyperlink r:id="rId306">
        <w:r>
          <w:rPr>
            <w:rStyle w:val="Hyperlink"/>
          </w:rPr>
          <w:t xml:space="preserve">https://doi.org/10.2307/1914185</w:t>
        </w:r>
      </w:hyperlink>
    </w:p>
    <w:p>
      <w:pPr>
        <w:pStyle w:val="BodyText"/>
      </w:pPr>
      <w:r>
        <w:t xml:space="preserve">Keeney, R. L., &amp; Raiffa, H. (1976). Decisions with multiple objectives: Preferences and value tradeoffs. Wiley.</w:t>
      </w:r>
    </w:p>
    <w:p>
      <w:pPr>
        <w:pStyle w:val="BodyText"/>
      </w:pPr>
      <w:r>
        <w:t xml:space="preserve">Lenton, T. M., Held, H., Kriegler, E., Hall, J. W., Lucht, W., Rahmstorf, S., &amp; Schellnhuber, H. J. (2008). Tipping elements in the Earth’s climate system. Proceedings of the National Academy of Sciences, 105(6), 1786–1793. </w:t>
      </w:r>
      <w:hyperlink r:id="rId307">
        <w:r>
          <w:rPr>
            <w:rStyle w:val="Hyperlink"/>
          </w:rPr>
          <w:t xml:space="preserve">https://doi.org/10.1073/pnas.0705414105</w:t>
        </w:r>
      </w:hyperlink>
    </w:p>
    <w:p>
      <w:pPr>
        <w:pStyle w:val="BodyText"/>
      </w:pPr>
      <w:r>
        <w:t xml:space="preserve">Manheim, D., &amp; Garrabrant, S. (2018). Categorizing variants of Goodhart’s law. arXiv. </w:t>
      </w:r>
      <w:hyperlink r:id="rId308">
        <w:r>
          <w:rPr>
            <w:rStyle w:val="Hyperlink"/>
          </w:rPr>
          <w:t xml:space="preserve">https://doi.org/10.48550/arXiv.1803.04585</w:t>
        </w:r>
      </w:hyperlink>
    </w:p>
    <w:p>
      <w:pPr>
        <w:pStyle w:val="BodyText"/>
      </w:pPr>
      <w:r>
        <w:t xml:space="preserve">March, J. G., &amp; Simon, H. A. (1958). Organizations. Wiley.</w:t>
      </w:r>
    </w:p>
    <w:p>
      <w:pPr>
        <w:pStyle w:val="BodyText"/>
      </w:pPr>
      <w:r>
        <w:t xml:space="preserve">Max-Neef, M. A. (1991). Human scale development: Conception, application and further reflections. Apex Press.</w:t>
      </w:r>
    </w:p>
    <w:p>
      <w:pPr>
        <w:pStyle w:val="BodyText"/>
      </w:pPr>
      <w:r>
        <w:t xml:space="preserve">McGaughran, J. (2026). Sentience Gradient Protocol (SGP) v8.5 [Specification]. MathGov Institute for Ethical Systems Design. Historical lineage: SGP v8.4 [Specification]; Sentience Gradient Protocol (SGP) v7.0 [Specification]; v6.0 [Specification]; v5.6 [Specification]; v5.5 [Specification]; v5.3 [Specification]; v5.2.1 [Specification]; v5.2 [Specification]; and v4.7.2 [Historical predecessor specification].</w:t>
      </w:r>
    </w:p>
    <w:p>
      <w:pPr>
        <w:pStyle w:val="BodyText"/>
      </w:pPr>
      <w:r>
        <w:t xml:space="preserve">Meadows, D. H. (2008). Thinking in systems: A primer. Chelsea Green Publishing.</w:t>
      </w:r>
    </w:p>
    <w:p>
      <w:pPr>
        <w:pStyle w:val="BodyText"/>
      </w:pPr>
      <w:r>
        <w:t xml:space="preserve">National Institute of Standards and Technology. (2023). Artificial Intelligence Risk Management Framework (AI RMF 1.0) (NIST AI 100-1). </w:t>
      </w:r>
      <w:hyperlink r:id="rId309">
        <w:r>
          <w:rPr>
            <w:rStyle w:val="Hyperlink"/>
          </w:rPr>
          <w:t xml:space="preserve">https://doi.org/10.6028/NIST.AI.100-1</w:t>
        </w:r>
      </w:hyperlink>
    </w:p>
    <w:p>
      <w:pPr>
        <w:pStyle w:val="BodyText"/>
      </w:pPr>
      <w:r>
        <w:t xml:space="preserve">Newman, M. E. J. (2010). Networks: An introduction. Oxford University Press.</w:t>
      </w:r>
    </w:p>
    <w:p>
      <w:pPr>
        <w:pStyle w:val="BodyText"/>
      </w:pPr>
      <w:r>
        <w:t xml:space="preserve">North, D. C. (1990). Institutions, institutional change and economic performance. Cambridge University Press.</w:t>
      </w:r>
    </w:p>
    <w:p>
      <w:pPr>
        <w:pStyle w:val="BodyText"/>
      </w:pPr>
      <w:r>
        <w:t xml:space="preserve">Nowak, M. A. (2006). Five rules for the evolution of cooperation. Science, 314(5805), 1560–1563. </w:t>
      </w:r>
      <w:hyperlink r:id="rId310">
        <w:r>
          <w:rPr>
            <w:rStyle w:val="Hyperlink"/>
          </w:rPr>
          <w:t xml:space="preserve">https://doi.org/10.1126/science.1133755</w:t>
        </w:r>
      </w:hyperlink>
    </w:p>
    <w:p>
      <w:pPr>
        <w:pStyle w:val="BodyText"/>
      </w:pPr>
      <w:r>
        <w:t xml:space="preserve">Nussbaum, M. C. (2011). Creating capabilities: The human development approach. Harvard University Press.</w:t>
      </w:r>
    </w:p>
    <w:p>
      <w:pPr>
        <w:pStyle w:val="BodyText"/>
      </w:pPr>
      <w:r>
        <w:t xml:space="preserve">Odum, E. P. (1971). Fundamentals of ecology (3rd ed.). W. B. Saunders.</w:t>
      </w:r>
    </w:p>
    <w:p>
      <w:pPr>
        <w:pStyle w:val="BodyText"/>
      </w:pPr>
      <w:r>
        <w:t xml:space="preserve">Ord, T. (2020). The precipice: Existential risk and the future of humanity. Hachette Books.</w:t>
      </w:r>
    </w:p>
    <w:p>
      <w:pPr>
        <w:pStyle w:val="BodyText"/>
      </w:pPr>
      <w:r>
        <w:t xml:space="preserve">Ostrom, E. (1990). Governing the commons: The evolution of institutions for collective action. Cambridge University Press.</w:t>
      </w:r>
    </w:p>
    <w:p>
      <w:pPr>
        <w:pStyle w:val="BodyText"/>
      </w:pPr>
      <w:r>
        <w:t xml:space="preserve">Popper, K. (1959). The logic of scientific discovery. Hutchinson.</w:t>
      </w:r>
    </w:p>
    <w:p>
      <w:pPr>
        <w:pStyle w:val="BodyText"/>
      </w:pPr>
      <w:r>
        <w:t xml:space="preserve">Putnam, R. D. (2000). Bowling alone: The collapse and revival of American community. Simon &amp; Schuster.</w:t>
      </w:r>
    </w:p>
    <w:p>
      <w:pPr>
        <w:pStyle w:val="BodyText"/>
      </w:pPr>
      <w:r>
        <w:t xml:space="preserve">Rawls, J. (1971). A theory of justice. Harvard University Press.</w:t>
      </w:r>
    </w:p>
    <w:p>
      <w:pPr>
        <w:pStyle w:val="BodyText"/>
      </w:pPr>
      <w:r>
        <w:t xml:space="preserve">Reporters Without Borders. (n.d.). World Press Freedom Index. Retrieved February 19, 2026, from </w:t>
      </w:r>
      <w:hyperlink r:id="rId311">
        <w:r>
          <w:rPr>
            <w:rStyle w:val="Hyperlink"/>
          </w:rPr>
          <w:t xml:space="preserve">https://rsf.org/en/index</w:t>
        </w:r>
      </w:hyperlink>
    </w:p>
    <w:p>
      <w:pPr>
        <w:pStyle w:val="BodyText"/>
      </w:pPr>
      <w:r>
        <w:t xml:space="preserve">Rockafellar, R. T., &amp; Uryasev, S. (2000). Optimization of conditional value-at-risk. Journal of Risk, 2(3), 21–41.</w:t>
      </w:r>
      <w:r>
        <w:t xml:space="preserve"> </w:t>
      </w:r>
      <w:hyperlink r:id="rId312">
        <w:r>
          <w:rPr>
            <w:rStyle w:val="Hyperlink"/>
          </w:rPr>
          <w:t xml:space="preserve">https://doi.org/10.21314/JOR.2000.038</w:t>
        </w:r>
      </w:hyperlink>
    </w:p>
    <w:p>
      <w:pPr>
        <w:pStyle w:val="BodyText"/>
      </w:pPr>
      <w:r>
        <w:t xml:space="preserve">Rockström, J., Gupta, J., Qin, D., Lade, S. J., Abrams, J. F., Andersen, L. S., Armstrong McKay, D. I., Bai, X., Bala, G., Bunn, S. E., Ciobanu, D., DeClerck, F., Ebi, K., Gifford, L., Gordon, C., Hasan, S., Kanie, N., Lenton, T. M., Loriani, S., … Zhang, X. (2023). Safe and just Earth system boundaries. Nature, 619(7968), 102–111. </w:t>
      </w:r>
      <w:hyperlink r:id="rId313">
        <w:r>
          <w:rPr>
            <w:rStyle w:val="Hyperlink"/>
          </w:rPr>
          <w:t xml:space="preserve">https://doi.org/10.1038/s41586-023-06083-8</w:t>
        </w:r>
      </w:hyperlink>
    </w:p>
    <w:p>
      <w:pPr>
        <w:pStyle w:val="BodyText"/>
      </w:pPr>
      <w:r>
        <w:t xml:space="preserve">Rockström, J., Steffen, W., Noone, K., Persson, Å., Chapin, F. S., Lambin, E. F., Lenton, T. M., Scheffer, M., Folke, C., Schellnhuber, H. J., Nykvist, B., de Wit, C. A., Hughes, T., van der Leeuw, S., Rodhe, H., Sörlin, S., Snyder, P. K., Costanza, R., Svedin, U., … Foley, J. A. (2009). A safe operating space for humanity. Nature, 461(7263), 472–475. </w:t>
      </w:r>
      <w:hyperlink r:id="rId314">
        <w:r>
          <w:rPr>
            <w:rStyle w:val="Hyperlink"/>
          </w:rPr>
          <w:t xml:space="preserve">https://doi.org/10.1038/461472a</w:t>
        </w:r>
      </w:hyperlink>
    </w:p>
    <w:p>
      <w:pPr>
        <w:pStyle w:val="BodyText"/>
      </w:pPr>
      <w:r>
        <w:t xml:space="preserve">Russell, S. (2019). Human compatible: Artificial intelligence and the problem of control. Viking.</w:t>
      </w:r>
    </w:p>
    <w:p>
      <w:pPr>
        <w:pStyle w:val="BodyText"/>
      </w:pPr>
      <w:r>
        <w:t xml:space="preserve">Ryan, R. M., &amp; Deci, E. L. (2000). Self-determination theory and the facilitation of intrinsic motivation, social development, and well-being. American Psychologist, 55(1), 68–78. </w:t>
      </w:r>
      <w:hyperlink r:id="rId315">
        <w:r>
          <w:rPr>
            <w:rStyle w:val="Hyperlink"/>
          </w:rPr>
          <w:t xml:space="preserve">https://doi.org/10.1037/0003-066X.55.1.68</w:t>
        </w:r>
      </w:hyperlink>
    </w:p>
    <w:p>
      <w:pPr>
        <w:pStyle w:val="BodyText"/>
      </w:pPr>
      <w:r>
        <w:t xml:space="preserve">Sen, A. (1999). Development as freedom. Knopf.</w:t>
      </w:r>
    </w:p>
    <w:p>
      <w:pPr>
        <w:pStyle w:val="BodyText"/>
      </w:pPr>
      <w:r>
        <w:t xml:space="preserve">Sen, A. (2009). The idea of justice. Harvard University Press.</w:t>
      </w:r>
    </w:p>
    <w:p>
      <w:pPr>
        <w:pStyle w:val="BodyText"/>
      </w:pPr>
      <w:r>
        <w:t xml:space="preserve">Simon, H. A. (1962). The architecture of complexity. Proceedings of the American Philosophical Society, 106(6), 467–482.</w:t>
      </w:r>
    </w:p>
    <w:p>
      <w:pPr>
        <w:pStyle w:val="BodyText"/>
      </w:pPr>
      <w:r>
        <w:t xml:space="preserve">Steffen, W., Richardson, K., Rockström, J., Cornell, S. E., Fetzer, I., Bennett, E. M., Biggs, R., Carpenter, S. R., de Vries, W., de Wit, C. A., Folke, C., Gerten, D., Heinke, J., Mace, G. M., Persson, L. M., Ramanathan, V., Reyers, B., &amp; Sörlin, S. (2015). Planetary boundaries: Guiding human development on a changing planet. Science, 347(6223), 1259855. </w:t>
      </w:r>
      <w:hyperlink r:id="rId316">
        <w:r>
          <w:rPr>
            <w:rStyle w:val="Hyperlink"/>
          </w:rPr>
          <w:t xml:space="preserve">https://doi.org/10.1126/science.1259855</w:t>
        </w:r>
      </w:hyperlink>
    </w:p>
    <w:p>
      <w:pPr>
        <w:pStyle w:val="BodyText"/>
      </w:pPr>
      <w:r>
        <w:t xml:space="preserve">Taleb, N. N. (2012). Antifragile: Things that gain from disorder. Random House.</w:t>
      </w:r>
    </w:p>
    <w:p>
      <w:pPr>
        <w:pStyle w:val="BodyText"/>
      </w:pPr>
      <w:r>
        <w:t xml:space="preserve">United Nations. (1966). International Covenant on Civil and Political Rights. United Nations Treaty Collection. Retrieved February 19, 2026, from </w:t>
      </w:r>
      <w:hyperlink r:id="rId318">
        <w:hyperlink r:id="rId317">
          <w:r>
            <w:rPr>
              <w:rStyle w:val="Hyperlink"/>
            </w:rPr>
            <w:t xml:space="preserve">https://treaties.un.org/Pages/ViewDetails.aspx?src=TREATY&amp;mtdsg_no=IV-4&amp;chapter=4&amp;clang=</w:t>
          </w:r>
        </w:hyperlink>
        <w:r>
          <w:rPr>
            <w:rStyle w:val="Hyperlink"/>
          </w:rPr>
          <w:t xml:space="preserve">\en</w:t>
        </w:r>
      </w:hyperlink>
    </w:p>
    <w:p>
      <w:pPr>
        <w:pStyle w:val="BodyText"/>
      </w:pPr>
      <w:r>
        <w:t xml:space="preserve">United Nations. (1984). Convention against Torture and Other Cruel, Inhuman or Degrading Treatment or Punishment. United Nations Treaty Collection. Retrieved February 19, 2026, from </w:t>
      </w:r>
      <w:hyperlink r:id="rId320">
        <w:hyperlink r:id="rId319">
          <w:r>
            <w:rPr>
              <w:rStyle w:val="Hyperlink"/>
            </w:rPr>
            <w:t xml:space="preserve">https://treaties.un.org/Pages/ViewDetails.aspx?src=TREATY&amp;mtdsg_no=IV-9&amp;chapter=4&amp;clang=</w:t>
          </w:r>
        </w:hyperlink>
        <w:r>
          <w:rPr>
            <w:rStyle w:val="Hyperlink"/>
          </w:rPr>
          <w:t xml:space="preserve">\en</w:t>
        </w:r>
      </w:hyperlink>
    </w:p>
    <w:p>
      <w:pPr>
        <w:pStyle w:val="BodyText"/>
      </w:pPr>
      <w:r>
        <w:t xml:space="preserve">United Nations Human Settlements Programme (UN-Habitat). (2003). The challenge of slums: Global report on human settlements 2003. Earthscan. Retrieved February 19, 2026, from </w:t>
      </w:r>
      <w:hyperlink r:id="rId321">
        <w:r>
          <w:rPr>
            <w:rStyle w:val="Hyperlink"/>
          </w:rPr>
          <w:t xml:space="preserve">https://unhabitat.org/the-challenge-of-slums-global-report-on-human-settlements-2003</w:t>
        </w:r>
      </w:hyperlink>
    </w:p>
    <w:p>
      <w:pPr>
        <w:pStyle w:val="BodyText"/>
      </w:pPr>
      <w:r>
        <w:t xml:space="preserve">United Nations Office on Genocide Prevention and the Responsibility to Protect. (2014). Framework of Analysis for Atrocity Crimes. Retrieved February 19, 2026, from </w:t>
      </w:r>
      <w:hyperlink r:id="rId322">
        <w:r>
          <w:rPr>
            <w:rStyle w:val="Hyperlink"/>
          </w:rPr>
          <w:t xml:space="preserve">https://www.un.org/en/genocideprevention/publications.shtml</w:t>
        </w:r>
      </w:hyperlink>
    </w:p>
    <w:p>
      <w:pPr>
        <w:pStyle w:val="BodyText"/>
      </w:pPr>
      <w:r>
        <w:t xml:space="preserve">Üstün, T. B., Kostanjsek, N., Chatterji, S., &amp; Rehm, J. (Eds.). (2010). Measuring health and disability: Manual for WHO Disability Assessment Schedule (WHODAS 2.0). World Health Organization. </w:t>
      </w:r>
      <w:hyperlink r:id="rId323">
        <w:r>
          <w:rPr>
            <w:rStyle w:val="Hyperlink"/>
          </w:rPr>
          <w:t xml:space="preserve">https://iris.who.int/handle/10665/43974</w:t>
        </w:r>
      </w:hyperlink>
    </w:p>
    <w:p>
      <w:pPr>
        <w:pStyle w:val="BodyText"/>
      </w:pPr>
      <w:r>
        <w:t xml:space="preserve">Weber, M. (1978). Economy and society (G. Roth &amp; C. Wittich, Eds.). University of California Press. (Original work published 1922)</w:t>
      </w:r>
    </w:p>
    <w:p>
      <w:pPr>
        <w:pStyle w:val="BodyText"/>
      </w:pPr>
      <w:r>
        <w:t xml:space="preserve">World Health Organization. (2001). International classification of functioning, disability and health (ICF). Retrieved February 19, 2026, from </w:t>
      </w:r>
      <w:hyperlink r:id="rId324">
        <w:r>
          <w:rPr>
            <w:rStyle w:val="Hyperlink"/>
          </w:rPr>
          <w:t xml:space="preserve">https://www.who.int/standards/classifications/international-classification-of-functioning-disability-and-health</w:t>
        </w:r>
      </w:hyperlink>
    </w:p>
    <w:p>
      <w:pPr>
        <w:pStyle w:val="BodyText"/>
      </w:pPr>
      <w:r>
        <w:t xml:space="preserve">World Justice Project. (n.d.). Rule of Law Index. Retrieved February 19, 2026, from </w:t>
      </w:r>
      <w:hyperlink r:id="rId325">
        <w:r>
          <w:rPr>
            <w:rStyle w:val="Hyperlink"/>
          </w:rPr>
          <w:t xml:space="preserve">https://worldjusticeproject.org/rule-of-law-index/</w:t>
        </w:r>
      </w:hyperlink>
    </w:p>
    <w:p>
      <w:pPr>
        <w:pStyle w:val="BodyText"/>
      </w:pPr>
      <w:r>
        <w:t xml:space="preserve">APPENDICES</w:t>
      </w:r>
    </w:p>
    <w:bookmarkEnd w:id="326"/>
    <w:bookmarkEnd w:id="327"/>
    <w:bookmarkStart w:id="344" w:name="appendix-a-symbols-and-notation-v120"/>
    <w:p>
      <w:pPr>
        <w:pStyle w:val="Heading1"/>
      </w:pPr>
      <w:bookmarkStart w:id="786" w:name="mg_toc_022"/>
      <w:r>
        <w:rPr>
          <w:bCs/>
          <w:b/>
        </w:rPr>
        <w:t xml:space="preserve">APPENDIX A: SYMBOLS AND NOTATION (v12.0)</w:t>
      </w:r>
      <w:bookmarkEnd w:id="786"/>
    </w:p>
    <w:p>
      <w:pPr>
        <w:pStyle w:val="FirstParagraph"/>
      </w:pPr>
      <w:r>
        <w:t xml:space="preserve">Appendix A is normative for symbol meanings and domains.</w:t>
      </w:r>
    </w:p>
    <w:p>
      <w:pPr>
        <w:pStyle w:val="BodyText"/>
      </w:pPr>
      <w:r>
        <w:t xml:space="preserve">Terminology note (Normative). u indexes Union Scopes (short: Scopes). “Union(s)” remains an allowed legacy alias. This does not change meanings in v9.0 and earlier, it clarifies the canonical term in v9.0.</w:t>
      </w:r>
    </w:p>
    <w:p>
      <w:pPr>
        <w:pStyle w:val="BodyText"/>
      </w:pPr>
      <w:r>
        <w:t xml:space="preserve">RealityGroundingRecord / RCR: A PCC-linked record identifying a run’s decision-relevant reality surface, material reality claims, evidence traces, declared unknowns, RealityGroundingStatus, vehicle/content/effect notes where social or institutional constructs are material, surface/territory limitations, and falsification or monitoring triggers. This is the canonical record. The older label RealitySurfaceRecord is deprecated and may be used only as a legacy full-text alias for the surface-description portion of RCR; RSR MUST NOT be used for RealitySurfaceRecord. To avoid acronym collision with ReferenceStructureRecord, use RCR for RealityGroundingRecord and RefStructRecord for ReferenceStructureRecord where abbreviations are needed.</w:t>
      </w:r>
    </w:p>
    <w:p>
      <w:pPr>
        <w:pStyle w:val="BodyText"/>
      </w:pPr>
      <w:r>
        <w:t xml:space="preserve">RealityGroundingStatus: The declared status of a decision claim’s contact with the relevant reality surface. Allowed values: GROUNDED, ESTIMATED, ASSUMPTION_BOUND, DECLARED_UNKNOWN, OUT_OF_SCOPE_WITH_RATIONALE, INSUFFICIENT_GROUNDING. Legacy aliases EVIDENCE_BACKED -&gt; GROUNDED and INSUFFICIENT_CONTACT -&gt; INSUFFICIENT_GROUNDING are retained for backward compatibility. At Tier 2 it is operator-declared with review status explicitly recorded; at Tier 3 it must follow the declared reviewer regime; at Tier 4 it must be independently re-derivable from EvidenceTrace and hash-pinned supporting artifacts.</w:t>
      </w:r>
    </w:p>
    <w:bookmarkStart w:id="328" w:name="a1-sets-and-indices"/>
    <w:p>
      <w:pPr>
        <w:pStyle w:val="Heading2"/>
      </w:pPr>
      <w:r>
        <w:rPr>
          <w:bCs/>
          <w:b/>
        </w:rPr>
        <w:t xml:space="preserve">A.1 Sets and Indices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Symbol</w:t>
            </w:r>
          </w:p>
        </w:tc>
        <w:tc>
          <w:tcPr>
            <w:shd w:val="clear" w:color="auto" w:fill="D9EAF7"/>
            <w:vAlign w:val="center"/>
          </w:tcPr>
          <w:p>
            <w:pPr>
              <w:pStyle w:val="Compact"/>
              <w:jc w:val="left"/>
            </w:pPr>
            <w:r>
              <w:rPr>
                <w:bCs/>
                <w:b/>
                <w:color w:val="17365D"/>
              </w:rPr>
              <w:t xml:space="preserve">Meaning</w:t>
            </w:r>
          </w:p>
        </w:tc>
        <w:tc>
          <w:tcPr>
            <w:shd w:val="clear" w:color="auto" w:fill="D9EAF7"/>
            <w:vAlign w:val="center"/>
          </w:tcPr>
          <w:p>
            <w:pPr>
              <w:pStyle w:val="Compact"/>
              <w:jc w:val="left"/>
            </w:pPr>
            <w:r>
              <w:rPr>
                <w:bCs/>
                <w:b/>
                <w:color w:val="17365D"/>
              </w:rPr>
              <w:t xml:space="preserve">Domain</w:t>
            </w:r>
          </w:p>
        </w:tc>
      </w:tr>
      <w:tr>
        <w:tc>
          <w:tcPr>
            <w:vAlign w:val="top"/>
          </w:tcPr>
          <w:p>
            <w:pPr>
              <w:pStyle w:val="Compact"/>
              <w:jc w:val="left"/>
            </w:pPr>
            <w:r>
              <w:t xml:space="preserve">u</w:t>
            </w:r>
          </w:p>
        </w:tc>
        <w:tc>
          <w:tcPr>
            <w:vAlign w:val="top"/>
          </w:tcPr>
          <w:p>
            <w:pPr>
              <w:pStyle w:val="Compact"/>
              <w:jc w:val="left"/>
            </w:pPr>
            <w:r>
              <w:t xml:space="preserve">Union Scope (Scope) index</w:t>
            </w:r>
          </w:p>
        </w:tc>
        <w:tc>
          <w:tcPr>
            <w:vAlign w:val="top"/>
          </w:tcPr>
          <w:p>
            <w:pPr>
              <w:pStyle w:val="Compact"/>
              <w:jc w:val="left"/>
            </w:pPr>
            <w:r>
              <w:t xml:space="preserve">u ∈ {1,2,3,4,5,6,7}</w:t>
            </w:r>
          </w:p>
        </w:tc>
      </w:tr>
      <w:tr>
        <w:tc>
          <w:tcPr>
            <w:shd w:val="clear" w:color="auto" w:fill="F7FBFE"/>
            <w:vAlign w:val="top"/>
          </w:tcPr>
          <w:p>
            <w:pPr>
              <w:pStyle w:val="Compact"/>
              <w:jc w:val="left"/>
            </w:pPr>
            <w:r>
              <w:t xml:space="preserve">d</w:t>
            </w:r>
          </w:p>
        </w:tc>
        <w:tc>
          <w:tcPr>
            <w:shd w:val="clear" w:color="auto" w:fill="F7FBFE"/>
            <w:vAlign w:val="top"/>
          </w:tcPr>
          <w:p>
            <w:pPr>
              <w:pStyle w:val="Compact"/>
              <w:jc w:val="left"/>
            </w:pPr>
            <w:r>
              <w:t xml:space="preserve">Dimension index</w:t>
            </w:r>
          </w:p>
        </w:tc>
        <w:tc>
          <w:tcPr>
            <w:shd w:val="clear" w:color="auto" w:fill="F7FBFE"/>
            <w:vAlign w:val="top"/>
          </w:tcPr>
          <w:p>
            <w:pPr>
              <w:pStyle w:val="Compact"/>
              <w:jc w:val="left"/>
            </w:pPr>
            <w:r>
              <w:t xml:space="preserve">d ∈ {1,2,3,4,5,6,7}</w:t>
            </w:r>
          </w:p>
        </w:tc>
      </w:tr>
      <w:tr>
        <w:tc>
          <w:tcPr>
            <w:vAlign w:val="top"/>
          </w:tcPr>
          <w:p>
            <w:pPr>
              <w:pStyle w:val="Compact"/>
              <w:jc w:val="left"/>
            </w:pPr>
            <w:r>
              <w:t xml:space="preserve">a</w:t>
            </w:r>
          </w:p>
        </w:tc>
        <w:tc>
          <w:tcPr>
            <w:vAlign w:val="top"/>
          </w:tcPr>
          <w:p>
            <w:pPr>
              <w:pStyle w:val="Compact"/>
              <w:jc w:val="left"/>
            </w:pPr>
            <w:r>
              <w:t xml:space="preserve">Option (candidate action)</w:t>
            </w:r>
          </w:p>
        </w:tc>
        <w:tc>
          <w:tcPr>
            <w:vAlign w:val="top"/>
          </w:tcPr>
          <w:p>
            <w:pPr>
              <w:pStyle w:val="Compact"/>
              <w:jc w:val="left"/>
            </w:pPr>
            <w:r>
              <w:t xml:space="preserve">a ∈ O</w:t>
            </w:r>
          </w:p>
        </w:tc>
      </w:tr>
      <w:tr>
        <w:tc>
          <w:tcPr>
            <w:shd w:val="clear" w:color="auto" w:fill="F7FBFE"/>
            <w:vAlign w:val="top"/>
          </w:tcPr>
          <w:p>
            <w:pPr>
              <w:pStyle w:val="Compact"/>
              <w:jc w:val="left"/>
            </w:pPr>
            <w:r>
              <w:t xml:space="preserve">s</w:t>
            </w:r>
          </w:p>
        </w:tc>
        <w:tc>
          <w:tcPr>
            <w:shd w:val="clear" w:color="auto" w:fill="F7FBFE"/>
            <w:vAlign w:val="top"/>
          </w:tcPr>
          <w:p>
            <w:pPr>
              <w:pStyle w:val="Compact"/>
              <w:jc w:val="left"/>
            </w:pPr>
            <w:r>
              <w:t xml:space="preserve">Scenario index</w:t>
            </w:r>
          </w:p>
        </w:tc>
        <w:tc>
          <w:tcPr>
            <w:shd w:val="clear" w:color="auto" w:fill="F7FBFE"/>
            <w:vAlign w:val="top"/>
          </w:tcPr>
          <w:p>
            <w:pPr>
              <w:pStyle w:val="Compact"/>
              <w:jc w:val="left"/>
            </w:pPr>
            <w:r>
              <w:t xml:space="preserve">s ∈ S</w:t>
            </w:r>
          </w:p>
        </w:tc>
      </w:tr>
      <w:tr>
        <w:tc>
          <w:tcPr>
            <w:vAlign w:val="top"/>
          </w:tcPr>
          <w:p>
            <w:pPr>
              <w:pStyle w:val="Compact"/>
              <w:jc w:val="left"/>
            </w:pPr>
            <w:r>
              <w:t xml:space="preserve">r</w:t>
            </w:r>
          </w:p>
        </w:tc>
        <w:tc>
          <w:tcPr>
            <w:vAlign w:val="top"/>
          </w:tcPr>
          <w:p>
            <w:pPr>
              <w:pStyle w:val="Compact"/>
              <w:jc w:val="left"/>
            </w:pPr>
            <w:r>
              <w:t xml:space="preserve">Right index</w:t>
            </w:r>
          </w:p>
        </w:tc>
        <w:tc>
          <w:tcPr>
            <w:vAlign w:val="top"/>
          </w:tcPr>
          <w:p>
            <w:pPr>
              <w:pStyle w:val="Compact"/>
              <w:jc w:val="left"/>
            </w:pPr>
            <w:r>
              <w:t xml:space="preserve">r ∈ R</w:t>
            </w:r>
          </w:p>
        </w:tc>
      </w:tr>
      <w:tr>
        <w:tc>
          <w:tcPr>
            <w:shd w:val="clear" w:color="auto" w:fill="F7FBFE"/>
            <w:vAlign w:val="top"/>
          </w:tcPr>
          <w:p>
            <w:pPr>
              <w:pStyle w:val="Compact"/>
              <w:jc w:val="left"/>
            </w:pPr>
            <w:r>
              <w:t xml:space="preserve">k</w:t>
            </w:r>
          </w:p>
        </w:tc>
        <w:tc>
          <w:tcPr>
            <w:shd w:val="clear" w:color="auto" w:fill="F7FBFE"/>
            <w:vAlign w:val="top"/>
          </w:tcPr>
          <w:p>
            <w:pPr>
              <w:pStyle w:val="Compact"/>
              <w:jc w:val="left"/>
            </w:pPr>
            <w:r>
              <w:t xml:space="preserve">Impact instance index</w:t>
            </w:r>
          </w:p>
        </w:tc>
        <w:tc>
          <w:tcPr>
            <w:shd w:val="clear" w:color="auto" w:fill="F7FBFE"/>
            <w:vAlign w:val="top"/>
          </w:tcPr>
          <w:p>
            <w:pPr>
              <w:pStyle w:val="Compact"/>
              <w:jc w:val="left"/>
            </w:pPr>
            <w:r>
              <w:t xml:space="preserve">integer</w:t>
            </w:r>
          </w:p>
        </w:tc>
      </w:tr>
      <w:tr>
        <w:tc>
          <w:tcPr>
            <w:vAlign w:val="top"/>
          </w:tcPr>
          <w:p>
            <w:pPr>
              <w:pStyle w:val="Compact"/>
              <w:jc w:val="left"/>
            </w:pPr>
            <w:r>
              <w:t xml:space="preserve">g</w:t>
            </w:r>
          </w:p>
        </w:tc>
        <w:tc>
          <w:tcPr>
            <w:vAlign w:val="top"/>
          </w:tcPr>
          <w:p>
            <w:pPr>
              <w:pStyle w:val="Compact"/>
              <w:jc w:val="left"/>
            </w:pPr>
            <w:r>
              <w:t xml:space="preserve">Protected subgroup index</w:t>
            </w:r>
          </w:p>
        </w:tc>
        <w:tc>
          <w:tcPr>
            <w:vAlign w:val="top"/>
          </w:tcPr>
          <w:p>
            <w:pPr>
              <w:pStyle w:val="Compact"/>
              <w:jc w:val="left"/>
            </w:pPr>
            <w:r>
              <w:t xml:space="preserve">g ∈ G_{u,d}</w:t>
            </w:r>
          </w:p>
        </w:tc>
      </w:tr>
    </w:tbl>
    <w:bookmarkEnd w:id="328"/>
    <w:bookmarkStart w:id="329" w:name="a2-core-sets"/>
    <w:p>
      <w:pPr>
        <w:pStyle w:val="Heading2"/>
      </w:pPr>
      <w:r>
        <w:rPr>
          <w:bCs/>
          <w:b/>
        </w:rPr>
        <w:t xml:space="preserve">A.2 Core Sets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Set</w:t>
            </w:r>
          </w:p>
        </w:tc>
        <w:tc>
          <w:tcPr>
            <w:shd w:val="clear" w:color="auto" w:fill="D9EAF7"/>
            <w:vAlign w:val="center"/>
          </w:tcPr>
          <w:p>
            <w:pPr>
              <w:pStyle w:val="Compact"/>
              <w:jc w:val="left"/>
            </w:pPr>
            <w:r>
              <w:rPr>
                <w:bCs/>
                <w:b/>
                <w:color w:val="17365D"/>
              </w:rPr>
              <w:t xml:space="preserve">Definition</w:t>
            </w:r>
          </w:p>
        </w:tc>
      </w:tr>
      <w:tr>
        <w:tc>
          <w:tcPr>
            <w:vAlign w:val="top"/>
          </w:tcPr>
          <w:p>
            <w:pPr>
              <w:pStyle w:val="Compact"/>
              <w:jc w:val="left"/>
            </w:pPr>
            <w:r>
              <w:t xml:space="preserve">U</w:t>
            </w:r>
          </w:p>
        </w:tc>
        <w:tc>
          <w:tcPr>
            <w:vAlign w:val="top"/>
          </w:tcPr>
          <w:p>
            <w:pPr>
              <w:pStyle w:val="Compact"/>
              <w:jc w:val="left"/>
            </w:pPr>
            <w:r>
              <w:t xml:space="preserve">Operational Scopes {Self, Household, Community, Organization, Polity, Humanity / Global Coordination, Biosphere}</w:t>
            </w:r>
          </w:p>
        </w:tc>
      </w:tr>
      <w:tr>
        <w:tc>
          <w:tcPr>
            <w:shd w:val="clear" w:color="auto" w:fill="F7FBFE"/>
            <w:vAlign w:val="top"/>
          </w:tcPr>
          <w:p>
            <w:pPr>
              <w:pStyle w:val="Compact"/>
              <w:jc w:val="left"/>
            </w:pPr>
            <w:r>
              <w:t xml:space="preserve">D</w:t>
            </w:r>
          </w:p>
        </w:tc>
        <w:tc>
          <w:tcPr>
            <w:shd w:val="clear" w:color="auto" w:fill="F7FBFE"/>
            <w:vAlign w:val="top"/>
          </w:tcPr>
          <w:p>
            <w:pPr>
              <w:pStyle w:val="Compact"/>
              <w:jc w:val="left"/>
            </w:pPr>
            <w:r>
              <w:t xml:space="preserve">Welfare dimensions {Material, Health, Social, Knowledge, Agency, Meaning, Environment}</w:t>
            </w:r>
          </w:p>
        </w:tc>
      </w:tr>
      <w:tr>
        <w:tc>
          <w:tcPr>
            <w:vAlign w:val="top"/>
          </w:tcPr>
          <w:p>
            <w:pPr>
              <w:pStyle w:val="Compact"/>
              <w:jc w:val="left"/>
            </w:pPr>
            <w:r>
              <w:t xml:space="preserve">O</w:t>
            </w:r>
          </w:p>
        </w:tc>
        <w:tc>
          <w:tcPr>
            <w:vAlign w:val="top"/>
          </w:tcPr>
          <w:p>
            <w:pPr>
              <w:pStyle w:val="Compact"/>
              <w:jc w:val="left"/>
            </w:pPr>
            <w:r>
              <w:t xml:space="preserve">Option set</w:t>
            </w:r>
          </w:p>
        </w:tc>
      </w:tr>
      <w:tr>
        <w:tc>
          <w:tcPr>
            <w:shd w:val="clear" w:color="auto" w:fill="F7FBFE"/>
            <w:vAlign w:val="top"/>
          </w:tcPr>
          <w:p>
            <w:pPr>
              <w:pStyle w:val="Compact"/>
              <w:jc w:val="left"/>
            </w:pPr>
            <w:r>
              <w:t xml:space="preserve">S</w:t>
            </w:r>
          </w:p>
        </w:tc>
        <w:tc>
          <w:tcPr>
            <w:shd w:val="clear" w:color="auto" w:fill="F7FBFE"/>
            <w:vAlign w:val="top"/>
          </w:tcPr>
          <w:p>
            <w:pPr>
              <w:pStyle w:val="Compact"/>
              <w:jc w:val="left"/>
            </w:pPr>
            <w:r>
              <w:t xml:space="preserve">Scenario set</w:t>
            </w:r>
          </w:p>
        </w:tc>
      </w:tr>
      <w:tr>
        <w:tc>
          <w:tcPr>
            <w:vAlign w:val="top"/>
          </w:tcPr>
          <w:p>
            <w:pPr>
              <w:pStyle w:val="Compact"/>
              <w:jc w:val="left"/>
            </w:pPr>
            <w:r>
              <w:t xml:space="preserve">R</w:t>
            </w:r>
          </w:p>
        </w:tc>
        <w:tc>
          <w:tcPr>
            <w:vAlign w:val="top"/>
          </w:tcPr>
          <w:p>
            <w:pPr>
              <w:pStyle w:val="Compact"/>
              <w:jc w:val="left"/>
            </w:pPr>
            <w:r>
              <w:t xml:space="preserve">Rights set {LIFE, BODY, LBTY, NEED, DIGN, PROC, INFO, ECOL}</w:t>
            </w:r>
          </w:p>
        </w:tc>
      </w:tr>
      <w:tr>
        <w:tc>
          <w:tcPr>
            <w:shd w:val="clear" w:color="auto" w:fill="F7FBFE"/>
            <w:vAlign w:val="top"/>
          </w:tcPr>
          <w:p>
            <w:pPr>
              <w:pStyle w:val="Compact"/>
              <w:jc w:val="left"/>
            </w:pPr>
            <w:r>
              <w:t xml:space="preserve">C_r ⊆ U×D</w:t>
            </w:r>
          </w:p>
        </w:tc>
        <w:tc>
          <w:tcPr>
            <w:shd w:val="clear" w:color="auto" w:fill="F7FBFE"/>
            <w:vAlign w:val="top"/>
          </w:tcPr>
          <w:p>
            <w:pPr>
              <w:pStyle w:val="Compact"/>
              <w:jc w:val="left"/>
            </w:pPr>
            <w:r>
              <w:t xml:space="preserve">Coverage set for right r</w:t>
            </w:r>
          </w:p>
        </w:tc>
      </w:tr>
      <w:tr>
        <w:tc>
          <w:tcPr>
            <w:vAlign w:val="top"/>
          </w:tcPr>
          <w:p>
            <w:pPr>
              <w:pStyle w:val="Compact"/>
              <w:jc w:val="left"/>
            </w:pPr>
            <w:r>
              <w:t xml:space="preserve">C_cat ⊆ U×D</w:t>
            </w:r>
          </w:p>
        </w:tc>
        <w:tc>
          <w:tcPr>
            <w:vAlign w:val="top"/>
          </w:tcPr>
          <w:p>
            <w:pPr>
              <w:pStyle w:val="Compact"/>
              <w:jc w:val="left"/>
            </w:pPr>
            <w:r>
              <w:t xml:space="preserve">Catastrophe cell set for TRC</w:t>
            </w:r>
          </w:p>
        </w:tc>
      </w:tr>
    </w:tbl>
    <w:bookmarkEnd w:id="329"/>
    <w:bookmarkStart w:id="330" w:name="a3-union-stack-canonical"/>
    <w:p>
      <w:pPr>
        <w:pStyle w:val="Heading2"/>
      </w:pPr>
      <w:r>
        <w:rPr>
          <w:bCs/>
          <w:b/>
        </w:rPr>
        <w:t xml:space="preserve">A.3 Union Stack (Canonical)</w:t>
      </w:r>
    </w:p>
    <w:bookmarkEnd w:id="330"/>
    <w:bookmarkStart w:id="331" w:name="X9da93d3eeafc7686262656297d8e5f1f467b73d"/>
    <w:p>
      <w:pPr>
        <w:pStyle w:val="Heading2"/>
      </w:pPr>
      <w:r>
        <w:rPr>
          <w:bCs/>
          <w:b/>
        </w:rPr>
        <w:t xml:space="preserve">Canonical Union Scopes: U1 Self; U2 Household; U3 Community; U4 Organization; U5 Polity; U6 Humanity / Global Coordination; U7 Biosphere. These are the row coordinates of the 7×7 welfare matrix. See Section 2.3 for definitions and Section 4.7 / Appendix AD for cell-level interpretation.</w:t>
      </w:r>
    </w:p>
    <w:bookmarkEnd w:id="331"/>
    <w:bookmarkStart w:id="332" w:name="Xa9ff609da2ec25b3bebbed92bc030b3eeb49bc5"/>
    <w:p>
      <w:pPr>
        <w:pStyle w:val="Heading2"/>
      </w:pPr>
      <w:r>
        <w:rPr>
          <w:bCs/>
          <w:b/>
        </w:rPr>
        <w:t xml:space="preserve">A.3A Scope × Dimension Reference Table (Non-Normative, clarity payload)</w:t>
      </w:r>
    </w:p>
    <w:p>
      <w:pPr>
        <w:pStyle w:val="FirstParagraph"/>
      </w:pPr>
      <w:r>
        <w:t xml:space="preserve">The table below reproduces the 7×7 Scope×Dimension reference grid for quick reading and cross-platform stability. The canonical grid definition is presented in Section 4.7.</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990"/>
        <w:gridCol w:w="990"/>
        <w:gridCol w:w="990"/>
        <w:gridCol w:w="990"/>
        <w:gridCol w:w="990"/>
        <w:gridCol w:w="990"/>
        <w:gridCol w:w="990"/>
        <w:gridCol w:w="990"/>
      </w:tblGrid>
      <w:tr>
        <w:trPr>
          <w:tblHeader w:val="true"/>
        </w:trPr>
        <w:tc>
          <w:tcPr>
            <w:shd w:val="clear" w:color="auto" w:fill="D9EAF7"/>
            <w:vAlign w:val="center"/>
          </w:tcPr>
          <w:p>
            <w:pPr>
              <w:pStyle w:val="Compact"/>
              <w:jc w:val="left"/>
            </w:pPr>
            <w:r>
              <w:rPr>
                <w:bCs/>
                <w:b/>
                <w:color w:val="17365D"/>
              </w:rPr>
              <w:t xml:space="preserve">Scope \ Dimension</w:t>
            </w:r>
          </w:p>
        </w:tc>
        <w:tc>
          <w:tcPr>
            <w:shd w:val="clear" w:color="auto" w:fill="D9EAF7"/>
            <w:vAlign w:val="center"/>
          </w:tcPr>
          <w:p>
            <w:pPr>
              <w:pStyle w:val="Compact"/>
              <w:jc w:val="left"/>
            </w:pPr>
            <w:r>
              <w:rPr>
                <w:bCs/>
                <w:b/>
                <w:color w:val="17365D"/>
              </w:rPr>
              <w:t xml:space="preserve">D1 Material</w:t>
            </w:r>
          </w:p>
        </w:tc>
        <w:tc>
          <w:tcPr>
            <w:shd w:val="clear" w:color="auto" w:fill="D9EAF7"/>
            <w:vAlign w:val="center"/>
          </w:tcPr>
          <w:p>
            <w:pPr>
              <w:pStyle w:val="Compact"/>
              <w:jc w:val="left"/>
            </w:pPr>
            <w:r>
              <w:rPr>
                <w:bCs/>
                <w:b/>
                <w:color w:val="17365D"/>
              </w:rPr>
              <w:t xml:space="preserve">D2 Health</w:t>
            </w:r>
          </w:p>
        </w:tc>
        <w:tc>
          <w:tcPr>
            <w:shd w:val="clear" w:color="auto" w:fill="D9EAF7"/>
            <w:vAlign w:val="center"/>
          </w:tcPr>
          <w:p>
            <w:pPr>
              <w:pStyle w:val="Compact"/>
              <w:jc w:val="left"/>
            </w:pPr>
            <w:r>
              <w:rPr>
                <w:bCs/>
                <w:b/>
                <w:color w:val="17365D"/>
              </w:rPr>
              <w:t xml:space="preserve">D3 Social</w:t>
            </w:r>
          </w:p>
        </w:tc>
        <w:tc>
          <w:tcPr>
            <w:shd w:val="clear" w:color="auto" w:fill="D9EAF7"/>
            <w:vAlign w:val="center"/>
          </w:tcPr>
          <w:p>
            <w:pPr>
              <w:pStyle w:val="Compact"/>
              <w:jc w:val="left"/>
            </w:pPr>
            <w:r>
              <w:rPr>
                <w:bCs/>
                <w:b/>
                <w:color w:val="17365D"/>
              </w:rPr>
              <w:t xml:space="preserve">D4 Knowledge</w:t>
            </w:r>
          </w:p>
        </w:tc>
        <w:tc>
          <w:tcPr>
            <w:shd w:val="clear" w:color="auto" w:fill="D9EAF7"/>
            <w:vAlign w:val="center"/>
          </w:tcPr>
          <w:p>
            <w:pPr>
              <w:pStyle w:val="Compact"/>
              <w:jc w:val="left"/>
            </w:pPr>
            <w:r>
              <w:rPr>
                <w:bCs/>
                <w:b/>
                <w:color w:val="17365D"/>
              </w:rPr>
              <w:t xml:space="preserve">D5 Agency</w:t>
            </w:r>
          </w:p>
        </w:tc>
        <w:tc>
          <w:tcPr>
            <w:shd w:val="clear" w:color="auto" w:fill="D9EAF7"/>
            <w:vAlign w:val="center"/>
          </w:tcPr>
          <w:p>
            <w:pPr>
              <w:pStyle w:val="Compact"/>
              <w:jc w:val="left"/>
            </w:pPr>
            <w:r>
              <w:rPr>
                <w:bCs/>
                <w:b/>
                <w:color w:val="17365D"/>
              </w:rPr>
              <w:t xml:space="preserve">D6 Meaning</w:t>
            </w:r>
          </w:p>
        </w:tc>
        <w:tc>
          <w:tcPr>
            <w:shd w:val="clear" w:color="auto" w:fill="D9EAF7"/>
            <w:vAlign w:val="center"/>
          </w:tcPr>
          <w:p>
            <w:pPr>
              <w:pStyle w:val="Compact"/>
              <w:jc w:val="left"/>
            </w:pPr>
            <w:r>
              <w:rPr>
                <w:bCs/>
                <w:b/>
                <w:color w:val="17365D"/>
              </w:rPr>
              <w:t xml:space="preserve">D7 Environment</w:t>
            </w:r>
          </w:p>
        </w:tc>
      </w:tr>
      <w:tr>
        <w:tc>
          <w:tcPr>
            <w:vAlign w:val="top"/>
          </w:tcPr>
          <w:p>
            <w:pPr>
              <w:pStyle w:val="Compact"/>
              <w:jc w:val="left"/>
            </w:pPr>
            <w:r>
              <w:t xml:space="preserve">U1 Self</w:t>
            </w:r>
          </w:p>
        </w:tc>
        <w:tc>
          <w:tcPr>
            <w:vAlign w:val="top"/>
          </w:tcPr>
          <w:p>
            <w:pPr>
              <w:pStyle w:val="Compact"/>
              <w:jc w:val="left"/>
            </w:pPr>
            <w:r>
              <w:t xml:space="preserve">Personal resources, income, essentials</w:t>
            </w:r>
          </w:p>
        </w:tc>
        <w:tc>
          <w:tcPr>
            <w:vAlign w:val="top"/>
          </w:tcPr>
          <w:p>
            <w:pPr>
              <w:pStyle w:val="Compact"/>
              <w:jc w:val="left"/>
            </w:pPr>
            <w:r>
              <w:t xml:space="preserve">Physical/mental health and safety</w:t>
            </w:r>
          </w:p>
        </w:tc>
        <w:tc>
          <w:tcPr>
            <w:vAlign w:val="top"/>
          </w:tcPr>
          <w:p>
            <w:pPr>
              <w:pStyle w:val="Compact"/>
              <w:jc w:val="left"/>
            </w:pPr>
            <w:r>
              <w:t xml:space="preserve">Relationships, belonging, support</w:t>
            </w:r>
          </w:p>
        </w:tc>
        <w:tc>
          <w:tcPr>
            <w:vAlign w:val="top"/>
          </w:tcPr>
          <w:p>
            <w:pPr>
              <w:pStyle w:val="Compact"/>
              <w:jc w:val="left"/>
            </w:pPr>
            <w:r>
              <w:t xml:space="preserve">Learning, understanding, competence</w:t>
            </w:r>
          </w:p>
        </w:tc>
        <w:tc>
          <w:tcPr>
            <w:vAlign w:val="top"/>
          </w:tcPr>
          <w:p>
            <w:pPr>
              <w:pStyle w:val="Compact"/>
              <w:jc w:val="left"/>
            </w:pPr>
            <w:r>
              <w:t xml:space="preserve">Autonomy, freedom, choice</w:t>
            </w:r>
          </w:p>
        </w:tc>
        <w:tc>
          <w:tcPr>
            <w:vAlign w:val="top"/>
          </w:tcPr>
          <w:p>
            <w:pPr>
              <w:pStyle w:val="Compact"/>
              <w:jc w:val="left"/>
            </w:pPr>
            <w:r>
              <w:t xml:space="preserve">Purpose, values, spiritual well-being</w:t>
            </w:r>
          </w:p>
        </w:tc>
        <w:tc>
          <w:tcPr>
            <w:vAlign w:val="top"/>
          </w:tcPr>
          <w:p>
            <w:pPr>
              <w:pStyle w:val="Compact"/>
              <w:jc w:val="left"/>
            </w:pPr>
            <w:r>
              <w:t xml:space="preserve">Local environment affecting self</w:t>
            </w:r>
          </w:p>
        </w:tc>
      </w:tr>
      <w:tr>
        <w:tc>
          <w:tcPr>
            <w:shd w:val="clear" w:color="auto" w:fill="F7FBFE"/>
            <w:vAlign w:val="top"/>
          </w:tcPr>
          <w:p>
            <w:pPr>
              <w:pStyle w:val="Compact"/>
              <w:jc w:val="left"/>
            </w:pPr>
            <w:r>
              <w:t xml:space="preserve">U2 Household</w:t>
            </w:r>
          </w:p>
        </w:tc>
        <w:tc>
          <w:tcPr>
            <w:shd w:val="clear" w:color="auto" w:fill="F7FBFE"/>
            <w:vAlign w:val="top"/>
          </w:tcPr>
          <w:p>
            <w:pPr>
              <w:pStyle w:val="Compact"/>
              <w:jc w:val="left"/>
            </w:pPr>
            <w:r>
              <w:t xml:space="preserve">Household livelihood, housing, food security</w:t>
            </w:r>
          </w:p>
        </w:tc>
        <w:tc>
          <w:tcPr>
            <w:shd w:val="clear" w:color="auto" w:fill="F7FBFE"/>
            <w:vAlign w:val="top"/>
          </w:tcPr>
          <w:p>
            <w:pPr>
              <w:pStyle w:val="Compact"/>
              <w:jc w:val="left"/>
            </w:pPr>
            <w:r>
              <w:t xml:space="preserve">Household health, caregiving capacity</w:t>
            </w:r>
          </w:p>
        </w:tc>
        <w:tc>
          <w:tcPr>
            <w:shd w:val="clear" w:color="auto" w:fill="F7FBFE"/>
            <w:vAlign w:val="top"/>
          </w:tcPr>
          <w:p>
            <w:pPr>
              <w:pStyle w:val="Compact"/>
              <w:jc w:val="left"/>
            </w:pPr>
            <w:r>
              <w:t xml:space="preserve">Family cohesion, care, safety</w:t>
            </w:r>
          </w:p>
        </w:tc>
        <w:tc>
          <w:tcPr>
            <w:shd w:val="clear" w:color="auto" w:fill="F7FBFE"/>
            <w:vAlign w:val="top"/>
          </w:tcPr>
          <w:p>
            <w:pPr>
              <w:pStyle w:val="Compact"/>
              <w:jc w:val="left"/>
            </w:pPr>
            <w:r>
              <w:t xml:space="preserve">Household learning, skills</w:t>
            </w:r>
          </w:p>
        </w:tc>
        <w:tc>
          <w:tcPr>
            <w:shd w:val="clear" w:color="auto" w:fill="F7FBFE"/>
            <w:vAlign w:val="top"/>
          </w:tcPr>
          <w:p>
            <w:pPr>
              <w:pStyle w:val="Compact"/>
              <w:jc w:val="left"/>
            </w:pPr>
            <w:r>
              <w:t xml:space="preserve">Household decision rights, roles</w:t>
            </w:r>
          </w:p>
        </w:tc>
        <w:tc>
          <w:tcPr>
            <w:shd w:val="clear" w:color="auto" w:fill="F7FBFE"/>
            <w:vAlign w:val="top"/>
          </w:tcPr>
          <w:p>
            <w:pPr>
              <w:pStyle w:val="Compact"/>
              <w:jc w:val="left"/>
            </w:pPr>
            <w:r>
              <w:t xml:space="preserve">Household meaning, culture, identity</w:t>
            </w:r>
          </w:p>
        </w:tc>
        <w:tc>
          <w:tcPr>
            <w:shd w:val="clear" w:color="auto" w:fill="F7FBFE"/>
            <w:vAlign w:val="top"/>
          </w:tcPr>
          <w:p>
            <w:pPr>
              <w:pStyle w:val="Compact"/>
              <w:jc w:val="left"/>
            </w:pPr>
            <w:r>
              <w:t xml:space="preserve">Home ecology, consumption footprint</w:t>
            </w:r>
          </w:p>
        </w:tc>
      </w:tr>
      <w:tr>
        <w:tc>
          <w:tcPr>
            <w:vAlign w:val="top"/>
          </w:tcPr>
          <w:p>
            <w:pPr>
              <w:pStyle w:val="Compact"/>
              <w:jc w:val="left"/>
            </w:pPr>
            <w:r>
              <w:t xml:space="preserve">U3 Community</w:t>
            </w:r>
          </w:p>
        </w:tc>
        <w:tc>
          <w:tcPr>
            <w:vAlign w:val="top"/>
          </w:tcPr>
          <w:p>
            <w:pPr>
              <w:pStyle w:val="Compact"/>
              <w:jc w:val="left"/>
            </w:pPr>
            <w:r>
              <w:t xml:space="preserve">Community economy, access to goods/services</w:t>
            </w:r>
          </w:p>
        </w:tc>
        <w:tc>
          <w:tcPr>
            <w:vAlign w:val="top"/>
          </w:tcPr>
          <w:p>
            <w:pPr>
              <w:pStyle w:val="Compact"/>
              <w:jc w:val="left"/>
            </w:pPr>
            <w:r>
              <w:t xml:space="preserve">Public health, local safety</w:t>
            </w:r>
          </w:p>
        </w:tc>
        <w:tc>
          <w:tcPr>
            <w:vAlign w:val="top"/>
          </w:tcPr>
          <w:p>
            <w:pPr>
              <w:pStyle w:val="Compact"/>
              <w:jc w:val="left"/>
            </w:pPr>
            <w:r>
              <w:t xml:space="preserve">Social trust, inclusion, cohesion</w:t>
            </w:r>
          </w:p>
        </w:tc>
        <w:tc>
          <w:tcPr>
            <w:vAlign w:val="top"/>
          </w:tcPr>
          <w:p>
            <w:pPr>
              <w:pStyle w:val="Compact"/>
              <w:jc w:val="left"/>
            </w:pPr>
            <w:r>
              <w:t xml:space="preserve">Education access, knowledge commons</w:t>
            </w:r>
          </w:p>
        </w:tc>
        <w:tc>
          <w:tcPr>
            <w:vAlign w:val="top"/>
          </w:tcPr>
          <w:p>
            <w:pPr>
              <w:pStyle w:val="Compact"/>
              <w:jc w:val="left"/>
            </w:pPr>
            <w:r>
              <w:t xml:space="preserve">Participation, civic agency</w:t>
            </w:r>
          </w:p>
        </w:tc>
        <w:tc>
          <w:tcPr>
            <w:vAlign w:val="top"/>
          </w:tcPr>
          <w:p>
            <w:pPr>
              <w:pStyle w:val="Compact"/>
              <w:jc w:val="left"/>
            </w:pPr>
            <w:r>
              <w:t xml:space="preserve">Shared narratives, cultural meaning</w:t>
            </w:r>
          </w:p>
        </w:tc>
        <w:tc>
          <w:tcPr>
            <w:vAlign w:val="top"/>
          </w:tcPr>
          <w:p>
            <w:pPr>
              <w:pStyle w:val="Compact"/>
              <w:jc w:val="left"/>
            </w:pPr>
            <w:r>
              <w:t xml:space="preserve">Local ecosystems, pollution, resilience</w:t>
            </w:r>
          </w:p>
        </w:tc>
      </w:tr>
      <w:tr>
        <w:tc>
          <w:tcPr>
            <w:shd w:val="clear" w:color="auto" w:fill="F7FBFE"/>
            <w:vAlign w:val="top"/>
          </w:tcPr>
          <w:p>
            <w:pPr>
              <w:pStyle w:val="Compact"/>
              <w:jc w:val="left"/>
            </w:pPr>
            <w:r>
              <w:t xml:space="preserve">U4 Organization</w:t>
            </w:r>
          </w:p>
        </w:tc>
        <w:tc>
          <w:tcPr>
            <w:shd w:val="clear" w:color="auto" w:fill="F7FBFE"/>
            <w:vAlign w:val="top"/>
          </w:tcPr>
          <w:p>
            <w:pPr>
              <w:pStyle w:val="Compact"/>
              <w:jc w:val="left"/>
            </w:pPr>
            <w:r>
              <w:t xml:space="preserve">Organizational resources, viability</w:t>
            </w:r>
          </w:p>
        </w:tc>
        <w:tc>
          <w:tcPr>
            <w:shd w:val="clear" w:color="auto" w:fill="F7FBFE"/>
            <w:vAlign w:val="top"/>
          </w:tcPr>
          <w:p>
            <w:pPr>
              <w:pStyle w:val="Compact"/>
              <w:jc w:val="left"/>
            </w:pPr>
            <w:r>
              <w:t xml:space="preserve">Workplace safety, wellbeing</w:t>
            </w:r>
          </w:p>
        </w:tc>
        <w:tc>
          <w:tcPr>
            <w:shd w:val="clear" w:color="auto" w:fill="F7FBFE"/>
            <w:vAlign w:val="top"/>
          </w:tcPr>
          <w:p>
            <w:pPr>
              <w:pStyle w:val="Compact"/>
              <w:jc w:val="left"/>
            </w:pPr>
            <w:r>
              <w:t xml:space="preserve">Org culture, fairness, belonging</w:t>
            </w:r>
          </w:p>
        </w:tc>
        <w:tc>
          <w:tcPr>
            <w:shd w:val="clear" w:color="auto" w:fill="F7FBFE"/>
            <w:vAlign w:val="top"/>
          </w:tcPr>
          <w:p>
            <w:pPr>
              <w:pStyle w:val="Compact"/>
              <w:jc w:val="left"/>
            </w:pPr>
            <w:r>
              <w:t xml:space="preserve">Org learning, data, competence</w:t>
            </w:r>
          </w:p>
        </w:tc>
        <w:tc>
          <w:tcPr>
            <w:shd w:val="clear" w:color="auto" w:fill="F7FBFE"/>
            <w:vAlign w:val="top"/>
          </w:tcPr>
          <w:p>
            <w:pPr>
              <w:pStyle w:val="Compact"/>
              <w:jc w:val="left"/>
            </w:pPr>
            <w:r>
              <w:t xml:space="preserve">Governance, employee agency</w:t>
            </w:r>
          </w:p>
        </w:tc>
        <w:tc>
          <w:tcPr>
            <w:shd w:val="clear" w:color="auto" w:fill="F7FBFE"/>
            <w:vAlign w:val="top"/>
          </w:tcPr>
          <w:p>
            <w:pPr>
              <w:pStyle w:val="Compact"/>
              <w:jc w:val="left"/>
            </w:pPr>
            <w:r>
              <w:t xml:space="preserve">Mission coherence, meaning</w:t>
            </w:r>
          </w:p>
        </w:tc>
        <w:tc>
          <w:tcPr>
            <w:shd w:val="clear" w:color="auto" w:fill="F7FBFE"/>
            <w:vAlign w:val="top"/>
          </w:tcPr>
          <w:p>
            <w:pPr>
              <w:pStyle w:val="Compact"/>
              <w:jc w:val="left"/>
            </w:pPr>
            <w:r>
              <w:t xml:space="preserve">Operational environmental impacts</w:t>
            </w:r>
          </w:p>
        </w:tc>
      </w:tr>
      <w:tr>
        <w:tc>
          <w:tcPr>
            <w:vAlign w:val="top"/>
          </w:tcPr>
          <w:p>
            <w:pPr>
              <w:pStyle w:val="Compact"/>
              <w:jc w:val="left"/>
            </w:pPr>
            <w:r>
              <w:t xml:space="preserve">U5 Polity</w:t>
            </w:r>
          </w:p>
        </w:tc>
        <w:tc>
          <w:tcPr>
            <w:vAlign w:val="top"/>
          </w:tcPr>
          <w:p>
            <w:pPr>
              <w:pStyle w:val="Compact"/>
              <w:jc w:val="left"/>
            </w:pPr>
            <w:r>
              <w:t xml:space="preserve">National economy, infrastructure, welfare capacity</w:t>
            </w:r>
          </w:p>
        </w:tc>
        <w:tc>
          <w:tcPr>
            <w:vAlign w:val="top"/>
          </w:tcPr>
          <w:p>
            <w:pPr>
              <w:pStyle w:val="Compact"/>
              <w:jc w:val="left"/>
            </w:pPr>
            <w:r>
              <w:t xml:space="preserve">Population health, security</w:t>
            </w:r>
          </w:p>
        </w:tc>
        <w:tc>
          <w:tcPr>
            <w:vAlign w:val="top"/>
          </w:tcPr>
          <w:p>
            <w:pPr>
              <w:pStyle w:val="Compact"/>
              <w:jc w:val="left"/>
            </w:pPr>
            <w:r>
              <w:t xml:space="preserve">Social stability, justice, cohesion</w:t>
            </w:r>
          </w:p>
        </w:tc>
        <w:tc>
          <w:tcPr>
            <w:vAlign w:val="top"/>
          </w:tcPr>
          <w:p>
            <w:pPr>
              <w:pStyle w:val="Compact"/>
              <w:jc w:val="left"/>
            </w:pPr>
            <w:r>
              <w:t xml:space="preserve">National knowledge, R&amp;D, education</w:t>
            </w:r>
          </w:p>
        </w:tc>
        <w:tc>
          <w:tcPr>
            <w:vAlign w:val="top"/>
          </w:tcPr>
          <w:p>
            <w:pPr>
              <w:pStyle w:val="Compact"/>
              <w:jc w:val="left"/>
            </w:pPr>
            <w:r>
              <w:t xml:space="preserve">Democratic agency, rights</w:t>
            </w:r>
          </w:p>
        </w:tc>
        <w:tc>
          <w:tcPr>
            <w:vAlign w:val="top"/>
          </w:tcPr>
          <w:p>
            <w:pPr>
              <w:pStyle w:val="Compact"/>
              <w:jc w:val="left"/>
            </w:pPr>
            <w:r>
              <w:t xml:space="preserve">National identity, legitimacy</w:t>
            </w:r>
          </w:p>
        </w:tc>
        <w:tc>
          <w:tcPr>
            <w:vAlign w:val="top"/>
          </w:tcPr>
          <w:p>
            <w:pPr>
              <w:pStyle w:val="Compact"/>
              <w:jc w:val="left"/>
            </w:pPr>
            <w:r>
              <w:t xml:space="preserve">National environment, climate policy</w:t>
            </w:r>
          </w:p>
        </w:tc>
      </w:tr>
      <w:tr>
        <w:tc>
          <w:tcPr>
            <w:shd w:val="clear" w:color="auto" w:fill="F7FBFE"/>
            <w:vAlign w:val="top"/>
          </w:tcPr>
          <w:p>
            <w:pPr>
              <w:pStyle w:val="Compact"/>
              <w:jc w:val="left"/>
            </w:pPr>
            <w:r>
              <w:t xml:space="preserve">U6 Humanity / Global Coordination</w:t>
            </w:r>
          </w:p>
        </w:tc>
        <w:tc>
          <w:tcPr>
            <w:shd w:val="clear" w:color="auto" w:fill="F7FBFE"/>
            <w:vAlign w:val="top"/>
          </w:tcPr>
          <w:p>
            <w:pPr>
              <w:pStyle w:val="Compact"/>
              <w:jc w:val="left"/>
            </w:pPr>
            <w:r>
              <w:t xml:space="preserve">Global economy, shared resources</w:t>
            </w:r>
          </w:p>
        </w:tc>
        <w:tc>
          <w:tcPr>
            <w:shd w:val="clear" w:color="auto" w:fill="F7FBFE"/>
            <w:vAlign w:val="top"/>
          </w:tcPr>
          <w:p>
            <w:pPr>
              <w:pStyle w:val="Compact"/>
              <w:jc w:val="left"/>
            </w:pPr>
            <w:r>
              <w:t xml:space="preserve">Global health, existential safety</w:t>
            </w:r>
          </w:p>
        </w:tc>
        <w:tc>
          <w:tcPr>
            <w:shd w:val="clear" w:color="auto" w:fill="F7FBFE"/>
            <w:vAlign w:val="top"/>
          </w:tcPr>
          <w:p>
            <w:pPr>
              <w:pStyle w:val="Compact"/>
              <w:jc w:val="left"/>
            </w:pPr>
            <w:r>
              <w:t xml:space="preserve">Human solidarity, equity, peace</w:t>
            </w:r>
          </w:p>
        </w:tc>
        <w:tc>
          <w:tcPr>
            <w:shd w:val="clear" w:color="auto" w:fill="F7FBFE"/>
            <w:vAlign w:val="top"/>
          </w:tcPr>
          <w:p>
            <w:pPr>
              <w:pStyle w:val="Compact"/>
              <w:jc w:val="left"/>
            </w:pPr>
            <w:r>
              <w:t xml:space="preserve">Global science, open knowledge</w:t>
            </w:r>
          </w:p>
        </w:tc>
        <w:tc>
          <w:tcPr>
            <w:shd w:val="clear" w:color="auto" w:fill="F7FBFE"/>
            <w:vAlign w:val="top"/>
          </w:tcPr>
          <w:p>
            <w:pPr>
              <w:pStyle w:val="Compact"/>
              <w:jc w:val="left"/>
            </w:pPr>
            <w:r>
              <w:t xml:space="preserve">Collective governance capacity</w:t>
            </w:r>
          </w:p>
        </w:tc>
        <w:tc>
          <w:tcPr>
            <w:shd w:val="clear" w:color="auto" w:fill="F7FBFE"/>
            <w:vAlign w:val="top"/>
          </w:tcPr>
          <w:p>
            <w:pPr>
              <w:pStyle w:val="Compact"/>
              <w:jc w:val="left"/>
            </w:pPr>
            <w:r>
              <w:t xml:space="preserve">Species meaning, long-run purpose</w:t>
            </w:r>
          </w:p>
        </w:tc>
        <w:tc>
          <w:tcPr>
            <w:shd w:val="clear" w:color="auto" w:fill="F7FBFE"/>
            <w:vAlign w:val="top"/>
          </w:tcPr>
          <w:p>
            <w:pPr>
              <w:pStyle w:val="Compact"/>
              <w:jc w:val="left"/>
            </w:pPr>
            <w:r>
              <w:t xml:space="preserve">Planetary boundaries, biosphere integrity</w:t>
            </w:r>
          </w:p>
        </w:tc>
      </w:tr>
      <w:tr>
        <w:tc>
          <w:tcPr>
            <w:vAlign w:val="top"/>
          </w:tcPr>
          <w:p>
            <w:pPr>
              <w:pStyle w:val="Compact"/>
              <w:jc w:val="left"/>
            </w:pPr>
            <w:r>
              <w:t xml:space="preserve">U7 Biosphere</w:t>
            </w:r>
          </w:p>
        </w:tc>
        <w:tc>
          <w:tcPr>
            <w:vAlign w:val="top"/>
          </w:tcPr>
          <w:p>
            <w:pPr>
              <w:pStyle w:val="Compact"/>
              <w:jc w:val="left"/>
            </w:pPr>
            <w:r>
              <w:t xml:space="preserve">Ecosystem services, material substrates</w:t>
            </w:r>
          </w:p>
        </w:tc>
        <w:tc>
          <w:tcPr>
            <w:vAlign w:val="top"/>
          </w:tcPr>
          <w:p>
            <w:pPr>
              <w:pStyle w:val="Compact"/>
              <w:jc w:val="left"/>
            </w:pPr>
            <w:r>
              <w:t xml:space="preserve">Species health, biodiversity</w:t>
            </w:r>
          </w:p>
        </w:tc>
        <w:tc>
          <w:tcPr>
            <w:vAlign w:val="top"/>
          </w:tcPr>
          <w:p>
            <w:pPr>
              <w:pStyle w:val="Compact"/>
              <w:jc w:val="left"/>
            </w:pPr>
            <w:r>
              <w:t xml:space="preserve">Symbiosis, interspecies stability</w:t>
            </w:r>
          </w:p>
        </w:tc>
        <w:tc>
          <w:tcPr>
            <w:vAlign w:val="top"/>
          </w:tcPr>
          <w:p>
            <w:pPr>
              <w:pStyle w:val="Compact"/>
              <w:jc w:val="left"/>
            </w:pPr>
            <w:r>
              <w:t xml:space="preserve">Ecological knowledge, monitoring</w:t>
            </w:r>
          </w:p>
        </w:tc>
        <w:tc>
          <w:tcPr>
            <w:vAlign w:val="top"/>
          </w:tcPr>
          <w:p>
            <w:pPr>
              <w:pStyle w:val="Compact"/>
              <w:jc w:val="left"/>
            </w:pPr>
            <w:r>
              <w:t xml:space="preserve">Resilience Capacity</w:t>
            </w:r>
          </w:p>
        </w:tc>
        <w:tc>
          <w:tcPr>
            <w:vAlign w:val="top"/>
          </w:tcPr>
          <w:p>
            <w:pPr>
              <w:pStyle w:val="Compact"/>
              <w:jc w:val="left"/>
            </w:pPr>
            <w:r>
              <w:t xml:space="preserve">Life Continuity</w:t>
            </w:r>
          </w:p>
        </w:tc>
        <w:tc>
          <w:tcPr>
            <w:vAlign w:val="top"/>
          </w:tcPr>
          <w:p>
            <w:pPr>
              <w:pStyle w:val="Compact"/>
              <w:jc w:val="left"/>
            </w:pPr>
            <w:r>
              <w:t xml:space="preserve">Habitats, climate stability, regeneration</w:t>
            </w:r>
          </w:p>
        </w:tc>
      </w:tr>
    </w:tbl>
    <w:bookmarkEnd w:id="332"/>
    <w:bookmarkStart w:id="333" w:name="a4-welfare-dimensions-canonical"/>
    <w:p>
      <w:pPr>
        <w:pStyle w:val="Heading2"/>
      </w:pPr>
      <w:r>
        <w:rPr>
          <w:bCs/>
          <w:b/>
        </w:rPr>
        <w:t xml:space="preserve">A.4 Welfare Dimensions (Canonical)</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Dimension</w:t>
            </w:r>
          </w:p>
        </w:tc>
        <w:tc>
          <w:tcPr>
            <w:shd w:val="clear" w:color="auto" w:fill="D9EAF7"/>
            <w:vAlign w:val="center"/>
          </w:tcPr>
          <w:p>
            <w:pPr>
              <w:pStyle w:val="Compact"/>
              <w:jc w:val="left"/>
            </w:pPr>
            <w:r>
              <w:rPr>
                <w:bCs/>
                <w:b/>
                <w:color w:val="17365D"/>
              </w:rPr>
              <w:t xml:space="preserve">Name</w:t>
            </w:r>
          </w:p>
        </w:tc>
        <w:tc>
          <w:tcPr>
            <w:shd w:val="clear" w:color="auto" w:fill="D9EAF7"/>
            <w:vAlign w:val="center"/>
          </w:tcPr>
          <w:p>
            <w:pPr>
              <w:pStyle w:val="Compact"/>
              <w:jc w:val="left"/>
            </w:pPr>
            <w:r>
              <w:rPr>
                <w:bCs/>
                <w:b/>
                <w:color w:val="17365D"/>
              </w:rPr>
              <w:t xml:space="preserve">Summary</w:t>
            </w:r>
          </w:p>
        </w:tc>
      </w:tr>
      <w:tr>
        <w:tc>
          <w:tcPr>
            <w:vAlign w:val="top"/>
          </w:tcPr>
          <w:p>
            <w:pPr>
              <w:pStyle w:val="Compact"/>
              <w:jc w:val="left"/>
            </w:pPr>
            <w:r>
              <w:t xml:space="preserve">D₁</w:t>
            </w:r>
          </w:p>
        </w:tc>
        <w:tc>
          <w:tcPr>
            <w:vAlign w:val="top"/>
          </w:tcPr>
          <w:p>
            <w:pPr>
              <w:pStyle w:val="Compact"/>
              <w:jc w:val="left"/>
            </w:pPr>
            <w:r>
              <w:t xml:space="preserve">Material</w:t>
            </w:r>
          </w:p>
        </w:tc>
        <w:tc>
          <w:tcPr>
            <w:vAlign w:val="top"/>
          </w:tcPr>
          <w:p>
            <w:pPr>
              <w:pStyle w:val="Compact"/>
              <w:jc w:val="left"/>
            </w:pPr>
            <w:r>
              <w:t xml:space="preserve">Resources, infrastructure, subsistence security</w:t>
            </w:r>
          </w:p>
        </w:tc>
      </w:tr>
      <w:tr>
        <w:tc>
          <w:tcPr>
            <w:shd w:val="clear" w:color="auto" w:fill="F7FBFE"/>
            <w:vAlign w:val="top"/>
          </w:tcPr>
          <w:p>
            <w:pPr>
              <w:pStyle w:val="Compact"/>
              <w:jc w:val="left"/>
            </w:pPr>
            <w:r>
              <w:t xml:space="preserve">D₂</w:t>
            </w:r>
          </w:p>
        </w:tc>
        <w:tc>
          <w:tcPr>
            <w:shd w:val="clear" w:color="auto" w:fill="F7FBFE"/>
            <w:vAlign w:val="top"/>
          </w:tcPr>
          <w:p>
            <w:pPr>
              <w:pStyle w:val="Compact"/>
              <w:jc w:val="left"/>
            </w:pPr>
            <w:r>
              <w:t xml:space="preserve">Health</w:t>
            </w:r>
          </w:p>
        </w:tc>
        <w:tc>
          <w:tcPr>
            <w:shd w:val="clear" w:color="auto" w:fill="F7FBFE"/>
            <w:vAlign w:val="top"/>
          </w:tcPr>
          <w:p>
            <w:pPr>
              <w:pStyle w:val="Compact"/>
              <w:jc w:val="left"/>
            </w:pPr>
            <w:r>
              <w:t xml:space="preserve">Physical/mental functioning, morbidity/mortality risk</w:t>
            </w:r>
          </w:p>
        </w:tc>
      </w:tr>
      <w:tr>
        <w:tc>
          <w:tcPr>
            <w:vAlign w:val="top"/>
          </w:tcPr>
          <w:p>
            <w:pPr>
              <w:pStyle w:val="Compact"/>
              <w:jc w:val="left"/>
            </w:pPr>
            <w:r>
              <w:t xml:space="preserve">D₃</w:t>
            </w:r>
          </w:p>
        </w:tc>
        <w:tc>
          <w:tcPr>
            <w:vAlign w:val="top"/>
          </w:tcPr>
          <w:p>
            <w:pPr>
              <w:pStyle w:val="Compact"/>
              <w:jc w:val="left"/>
            </w:pPr>
            <w:r>
              <w:t xml:space="preserve">Social</w:t>
            </w:r>
          </w:p>
        </w:tc>
        <w:tc>
          <w:tcPr>
            <w:vAlign w:val="top"/>
          </w:tcPr>
          <w:p>
            <w:pPr>
              <w:pStyle w:val="Compact"/>
              <w:jc w:val="left"/>
            </w:pPr>
            <w:r>
              <w:t xml:space="preserve">Trust, belonging, relational integrity</w:t>
            </w:r>
          </w:p>
        </w:tc>
      </w:tr>
      <w:tr>
        <w:tc>
          <w:tcPr>
            <w:shd w:val="clear" w:color="auto" w:fill="F7FBFE"/>
            <w:vAlign w:val="top"/>
          </w:tcPr>
          <w:p>
            <w:pPr>
              <w:pStyle w:val="Compact"/>
              <w:jc w:val="left"/>
            </w:pPr>
            <w:r>
              <w:t xml:space="preserve">D₄</w:t>
            </w:r>
          </w:p>
        </w:tc>
        <w:tc>
          <w:tcPr>
            <w:shd w:val="clear" w:color="auto" w:fill="F7FBFE"/>
            <w:vAlign w:val="top"/>
          </w:tcPr>
          <w:p>
            <w:pPr>
              <w:pStyle w:val="Compact"/>
              <w:jc w:val="left"/>
            </w:pPr>
            <w:r>
              <w:t xml:space="preserve">Knowledge</w:t>
            </w:r>
          </w:p>
        </w:tc>
        <w:tc>
          <w:tcPr>
            <w:shd w:val="clear" w:color="auto" w:fill="F7FBFE"/>
            <w:vAlign w:val="top"/>
          </w:tcPr>
          <w:p>
            <w:pPr>
              <w:pStyle w:val="Compact"/>
              <w:jc w:val="left"/>
            </w:pPr>
            <w:r>
              <w:t xml:space="preserve">Epistemic access, learning conditions</w:t>
            </w:r>
          </w:p>
        </w:tc>
      </w:tr>
      <w:tr>
        <w:tc>
          <w:tcPr>
            <w:vAlign w:val="top"/>
          </w:tcPr>
          <w:p>
            <w:pPr>
              <w:pStyle w:val="Compact"/>
              <w:jc w:val="left"/>
            </w:pPr>
            <w:r>
              <w:t xml:space="preserve">D₅</w:t>
            </w:r>
          </w:p>
        </w:tc>
        <w:tc>
          <w:tcPr>
            <w:vAlign w:val="top"/>
          </w:tcPr>
          <w:p>
            <w:pPr>
              <w:pStyle w:val="Compact"/>
              <w:jc w:val="left"/>
            </w:pPr>
            <w:r>
              <w:t xml:space="preserve">Agency</w:t>
            </w:r>
          </w:p>
        </w:tc>
        <w:tc>
          <w:tcPr>
            <w:vAlign w:val="top"/>
          </w:tcPr>
          <w:p>
            <w:pPr>
              <w:pStyle w:val="Compact"/>
              <w:jc w:val="left"/>
            </w:pPr>
            <w:r>
              <w:t xml:space="preserve">Autonomy, effective choice, freedom from coercion</w:t>
            </w:r>
          </w:p>
        </w:tc>
      </w:tr>
      <w:tr>
        <w:tc>
          <w:tcPr>
            <w:shd w:val="clear" w:color="auto" w:fill="F7FBFE"/>
            <w:vAlign w:val="top"/>
          </w:tcPr>
          <w:p>
            <w:pPr>
              <w:pStyle w:val="Compact"/>
              <w:jc w:val="left"/>
            </w:pPr>
            <w:r>
              <w:t xml:space="preserve">D₆</w:t>
            </w:r>
          </w:p>
        </w:tc>
        <w:tc>
          <w:tcPr>
            <w:shd w:val="clear" w:color="auto" w:fill="F7FBFE"/>
            <w:vAlign w:val="top"/>
          </w:tcPr>
          <w:p>
            <w:pPr>
              <w:pStyle w:val="Compact"/>
              <w:jc w:val="left"/>
            </w:pPr>
            <w:r>
              <w:t xml:space="preserve">Meaning</w:t>
            </w:r>
          </w:p>
        </w:tc>
        <w:tc>
          <w:tcPr>
            <w:shd w:val="clear" w:color="auto" w:fill="F7FBFE"/>
            <w:vAlign w:val="top"/>
          </w:tcPr>
          <w:p>
            <w:pPr>
              <w:pStyle w:val="Compact"/>
              <w:jc w:val="left"/>
            </w:pPr>
            <w:r>
              <w:t xml:space="preserve">Purpose/coherence/valued projects (cautious measurement)</w:t>
            </w:r>
          </w:p>
        </w:tc>
      </w:tr>
      <w:tr>
        <w:tc>
          <w:tcPr>
            <w:vAlign w:val="top"/>
          </w:tcPr>
          <w:p>
            <w:pPr>
              <w:pStyle w:val="Compact"/>
              <w:jc w:val="left"/>
            </w:pPr>
            <w:r>
              <w:t xml:space="preserve">D₇</w:t>
            </w:r>
          </w:p>
        </w:tc>
        <w:tc>
          <w:tcPr>
            <w:vAlign w:val="top"/>
          </w:tcPr>
          <w:p>
            <w:pPr>
              <w:pStyle w:val="Compact"/>
              <w:jc w:val="left"/>
            </w:pPr>
            <w:r>
              <w:t xml:space="preserve">Environment</w:t>
            </w:r>
          </w:p>
        </w:tc>
        <w:tc>
          <w:tcPr>
            <w:vAlign w:val="top"/>
          </w:tcPr>
          <w:p>
            <w:pPr>
              <w:pStyle w:val="Compact"/>
              <w:jc w:val="left"/>
            </w:pPr>
            <w:r>
              <w:t xml:space="preserve">Ecological and built context integrity</w:t>
            </w:r>
          </w:p>
        </w:tc>
      </w:tr>
    </w:tbl>
    <w:bookmarkEnd w:id="333"/>
    <w:bookmarkStart w:id="334" w:name="a5-impact-objects"/>
    <w:p>
      <w:pPr>
        <w:pStyle w:val="Heading2"/>
      </w:pPr>
      <w:r>
        <w:rPr>
          <w:bCs/>
          <w:b/>
        </w:rPr>
        <w:t xml:space="preserve">A.5 Impact Objects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Symbol</w:t>
            </w:r>
          </w:p>
        </w:tc>
        <w:tc>
          <w:tcPr>
            <w:shd w:val="clear" w:color="auto" w:fill="D9EAF7"/>
            <w:vAlign w:val="center"/>
          </w:tcPr>
          <w:p>
            <w:pPr>
              <w:pStyle w:val="Compact"/>
              <w:jc w:val="left"/>
            </w:pPr>
            <w:r>
              <w:rPr>
                <w:bCs/>
                <w:b/>
                <w:color w:val="17365D"/>
              </w:rPr>
              <w:t xml:space="preserve">Meaning</w:t>
            </w:r>
          </w:p>
        </w:tc>
        <w:tc>
          <w:tcPr>
            <w:shd w:val="clear" w:color="auto" w:fill="D9EAF7"/>
            <w:vAlign w:val="center"/>
          </w:tcPr>
          <w:p>
            <w:pPr>
              <w:pStyle w:val="Compact"/>
              <w:jc w:val="left"/>
            </w:pPr>
            <w:r>
              <w:rPr>
                <w:bCs/>
                <w:b/>
                <w:color w:val="17365D"/>
              </w:rPr>
              <w:t xml:space="preserve">Range</w:t>
            </w:r>
          </w:p>
        </w:tc>
      </w:tr>
      <w:tr>
        <w:tc>
          <w:tcPr>
            <w:vAlign w:val="top"/>
          </w:tcPr>
          <w:p>
            <w:pPr>
              <w:pStyle w:val="Compact"/>
              <w:jc w:val="left"/>
            </w:pPr>
            <w:r>
              <w:t xml:space="preserve">Ĩ_dir(u,d,a)</w:t>
            </w:r>
          </w:p>
        </w:tc>
        <w:tc>
          <w:tcPr>
            <w:vAlign w:val="top"/>
          </w:tcPr>
          <w:p>
            <w:pPr>
              <w:pStyle w:val="Compact"/>
              <w:jc w:val="left"/>
            </w:pPr>
            <w:r>
              <w:t xml:space="preserve">Pre-saturation direct impact</w:t>
            </w:r>
          </w:p>
        </w:tc>
        <w:tc>
          <w:tcPr>
            <w:vAlign w:val="top"/>
          </w:tcPr>
          <w:p>
            <w:pPr>
              <w:pStyle w:val="Compact"/>
              <w:jc w:val="left"/>
            </w:pPr>
            <w:r>
              <w:t xml:space="preserve">ℝ</w:t>
            </w:r>
          </w:p>
        </w:tc>
      </w:tr>
      <w:tr>
        <w:tc>
          <w:tcPr>
            <w:shd w:val="clear" w:color="auto" w:fill="F7FBFE"/>
            <w:vAlign w:val="top"/>
          </w:tcPr>
          <w:p>
            <w:pPr>
              <w:pStyle w:val="Compact"/>
              <w:jc w:val="left"/>
            </w:pPr>
            <w:r>
              <w:t xml:space="preserve">I_dir(u,d,a)</w:t>
            </w:r>
          </w:p>
        </w:tc>
        <w:tc>
          <w:tcPr>
            <w:shd w:val="clear" w:color="auto" w:fill="F7FBFE"/>
            <w:vAlign w:val="top"/>
          </w:tcPr>
          <w:p>
            <w:pPr>
              <w:pStyle w:val="Compact"/>
              <w:jc w:val="left"/>
            </w:pPr>
            <w:r>
              <w:t xml:space="preserve">Direct impact (post-saturation)</w:t>
            </w:r>
          </w:p>
        </w:tc>
        <w:tc>
          <w:tcPr>
            <w:shd w:val="clear" w:color="auto" w:fill="F7FBFE"/>
            <w:vAlign w:val="top"/>
          </w:tcPr>
          <w:p>
            <w:pPr>
              <w:pStyle w:val="Compact"/>
              <w:jc w:val="left"/>
            </w:pPr>
            <w:r>
              <w:t xml:space="preserve">[-1,+1]</w:t>
            </w:r>
          </w:p>
        </w:tc>
      </w:tr>
      <w:tr>
        <w:tc>
          <w:tcPr>
            <w:vAlign w:val="top"/>
          </w:tcPr>
          <w:p>
            <w:pPr>
              <w:pStyle w:val="Compact"/>
              <w:jc w:val="left"/>
            </w:pPr>
            <w:r>
              <w:t xml:space="preserve">Ĩ_prop(u,d,a)</w:t>
            </w:r>
          </w:p>
        </w:tc>
        <w:tc>
          <w:tcPr>
            <w:vAlign w:val="top"/>
          </w:tcPr>
          <w:p>
            <w:pPr>
              <w:pStyle w:val="Compact"/>
              <w:jc w:val="left"/>
            </w:pPr>
            <w:r>
              <w:t xml:space="preserve">Pre-saturation propagated impact</w:t>
            </w:r>
          </w:p>
        </w:tc>
        <w:tc>
          <w:tcPr>
            <w:vAlign w:val="top"/>
          </w:tcPr>
          <w:p>
            <w:pPr>
              <w:pStyle w:val="Compact"/>
              <w:jc w:val="left"/>
            </w:pPr>
            <w:r>
              <w:t xml:space="preserve">ℝ</w:t>
            </w:r>
          </w:p>
        </w:tc>
      </w:tr>
      <w:tr>
        <w:tc>
          <w:tcPr>
            <w:shd w:val="clear" w:color="auto" w:fill="F7FBFE"/>
            <w:vAlign w:val="top"/>
          </w:tcPr>
          <w:p>
            <w:pPr>
              <w:pStyle w:val="Compact"/>
              <w:jc w:val="left"/>
            </w:pPr>
            <w:r>
              <w:t xml:space="preserve">I_prop(u,d,a)</w:t>
            </w:r>
          </w:p>
        </w:tc>
        <w:tc>
          <w:tcPr>
            <w:shd w:val="clear" w:color="auto" w:fill="F7FBFE"/>
            <w:vAlign w:val="top"/>
          </w:tcPr>
          <w:p>
            <w:pPr>
              <w:pStyle w:val="Compact"/>
              <w:jc w:val="left"/>
            </w:pPr>
            <w:r>
              <w:t xml:space="preserve">Propagated impact (post-saturation)</w:t>
            </w:r>
          </w:p>
        </w:tc>
        <w:tc>
          <w:tcPr>
            <w:shd w:val="clear" w:color="auto" w:fill="F7FBFE"/>
            <w:vAlign w:val="top"/>
          </w:tcPr>
          <w:p>
            <w:pPr>
              <w:pStyle w:val="Compact"/>
              <w:jc w:val="left"/>
            </w:pPr>
            <w:r>
              <w:t xml:space="preserve">[-1,+1]</w:t>
            </w:r>
          </w:p>
        </w:tc>
      </w:tr>
      <w:tr>
        <w:tc>
          <w:tcPr>
            <w:vAlign w:val="top"/>
          </w:tcPr>
          <w:p>
            <w:pPr>
              <w:pStyle w:val="Compact"/>
              <w:jc w:val="left"/>
            </w:pPr>
            <w:r>
              <w:t xml:space="preserve">I_rights(u,d,a)</w:t>
            </w:r>
          </w:p>
        </w:tc>
        <w:tc>
          <w:tcPr>
            <w:vAlign w:val="top"/>
          </w:tcPr>
          <w:p>
            <w:pPr>
              <w:pStyle w:val="Compact"/>
              <w:jc w:val="left"/>
            </w:pPr>
            <w:r>
              <w:t xml:space="preserve">Worst-off subgroup rights-floor impact</w:t>
            </w:r>
          </w:p>
        </w:tc>
        <w:tc>
          <w:tcPr>
            <w:vAlign w:val="top"/>
          </w:tcPr>
          <w:p>
            <w:pPr>
              <w:pStyle w:val="Compact"/>
              <w:jc w:val="left"/>
            </w:pPr>
            <w:r>
              <w:t xml:space="preserve">[-1,+1]</w:t>
            </w:r>
          </w:p>
        </w:tc>
      </w:tr>
    </w:tbl>
    <w:bookmarkEnd w:id="334"/>
    <w:bookmarkStart w:id="335" w:name="a6-impact-instance-attributes"/>
    <w:p>
      <w:pPr>
        <w:pStyle w:val="Heading2"/>
      </w:pPr>
      <w:r>
        <w:rPr>
          <w:bCs/>
          <w:b/>
        </w:rPr>
        <w:t xml:space="preserve">A.6 Impact Instance Attributes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Symbol</w:t>
            </w:r>
          </w:p>
        </w:tc>
        <w:tc>
          <w:tcPr>
            <w:shd w:val="clear" w:color="auto" w:fill="D9EAF7"/>
            <w:vAlign w:val="center"/>
          </w:tcPr>
          <w:p>
            <w:pPr>
              <w:pStyle w:val="Compact"/>
              <w:jc w:val="left"/>
            </w:pPr>
            <w:r>
              <w:rPr>
                <w:bCs/>
                <w:b/>
                <w:color w:val="17365D"/>
              </w:rPr>
              <w:t xml:space="preserve">Meaning</w:t>
            </w:r>
          </w:p>
        </w:tc>
        <w:tc>
          <w:tcPr>
            <w:shd w:val="clear" w:color="auto" w:fill="D9EAF7"/>
            <w:vAlign w:val="center"/>
          </w:tcPr>
          <w:p>
            <w:pPr>
              <w:pStyle w:val="Compact"/>
              <w:jc w:val="left"/>
            </w:pPr>
            <w:r>
              <w:rPr>
                <w:bCs/>
                <w:b/>
                <w:color w:val="17365D"/>
              </w:rPr>
              <w:t xml:space="preserve">Range / Default</w:t>
            </w:r>
          </w:p>
        </w:tc>
      </w:tr>
      <w:tr>
        <w:tc>
          <w:tcPr>
            <w:vAlign w:val="top"/>
          </w:tcPr>
          <w:p>
            <w:pPr>
              <w:pStyle w:val="Compact"/>
              <w:jc w:val="left"/>
            </w:pPr>
            <w:r>
              <w:t xml:space="preserve">μ_k</w:t>
            </w:r>
          </w:p>
        </w:tc>
        <w:tc>
          <w:tcPr>
            <w:vAlign w:val="top"/>
          </w:tcPr>
          <w:p>
            <w:pPr>
              <w:pStyle w:val="Compact"/>
              <w:jc w:val="left"/>
            </w:pPr>
            <w:r>
              <w:t xml:space="preserve">Magnitude (baseline-delta, normalized)</w:t>
            </w:r>
          </w:p>
        </w:tc>
        <w:tc>
          <w:tcPr>
            <w:vAlign w:val="top"/>
          </w:tcPr>
          <w:p>
            <w:pPr>
              <w:pStyle w:val="Compact"/>
              <w:jc w:val="left"/>
            </w:pPr>
            <w:r>
              <w:t xml:space="preserve">[-1, +1]</w:t>
            </w:r>
          </w:p>
        </w:tc>
      </w:tr>
      <w:tr>
        <w:tc>
          <w:tcPr>
            <w:shd w:val="clear" w:color="auto" w:fill="F7FBFE"/>
            <w:vAlign w:val="top"/>
          </w:tcPr>
          <w:p>
            <w:pPr>
              <w:pStyle w:val="Compact"/>
              <w:jc w:val="left"/>
            </w:pPr>
            <w:r>
              <w:t xml:space="preserve">r_k</w:t>
            </w:r>
          </w:p>
        </w:tc>
        <w:tc>
          <w:tcPr>
            <w:shd w:val="clear" w:color="auto" w:fill="F7FBFE"/>
            <w:vAlign w:val="top"/>
          </w:tcPr>
          <w:p>
            <w:pPr>
              <w:pStyle w:val="Compact"/>
              <w:jc w:val="left"/>
            </w:pPr>
            <w:r>
              <w:t xml:space="preserve">Reach</w:t>
            </w:r>
          </w:p>
        </w:tc>
        <w:tc>
          <w:tcPr>
            <w:shd w:val="clear" w:color="auto" w:fill="F7FBFE"/>
            <w:vAlign w:val="top"/>
          </w:tcPr>
          <w:p>
            <w:pPr>
              <w:pStyle w:val="Compact"/>
              <w:jc w:val="left"/>
            </w:pPr>
            <w:r>
              <w:t xml:space="preserve">[0, 1]</w:t>
            </w:r>
          </w:p>
        </w:tc>
      </w:tr>
      <w:tr>
        <w:tc>
          <w:tcPr>
            <w:vAlign w:val="top"/>
          </w:tcPr>
          <w:p>
            <w:pPr>
              <w:pStyle w:val="Compact"/>
              <w:jc w:val="left"/>
            </w:pPr>
            <w:r>
              <w:t xml:space="preserve">t_k</w:t>
            </w:r>
          </w:p>
        </w:tc>
        <w:tc>
          <w:tcPr>
            <w:vAlign w:val="top"/>
          </w:tcPr>
          <w:p>
            <w:pPr>
              <w:pStyle w:val="Compact"/>
              <w:jc w:val="left"/>
            </w:pPr>
            <w:r>
              <w:t xml:space="preserve">Time horizon</w:t>
            </w:r>
          </w:p>
        </w:tc>
        <w:tc>
          <w:tcPr>
            <w:vAlign w:val="top"/>
          </w:tcPr>
          <w:p>
            <w:pPr>
              <w:pStyle w:val="Compact"/>
              <w:jc w:val="left"/>
            </w:pPr>
            <w:r>
              <w:t xml:space="preserve">(0, ∞) years</w:t>
            </w:r>
          </w:p>
        </w:tc>
      </w:tr>
      <w:tr>
        <w:tc>
          <w:tcPr>
            <w:shd w:val="clear" w:color="auto" w:fill="F7FBFE"/>
            <w:vAlign w:val="top"/>
          </w:tcPr>
          <w:p>
            <w:pPr>
              <w:pStyle w:val="Compact"/>
              <w:jc w:val="left"/>
            </w:pPr>
            <w:r>
              <w:t xml:space="preserve">ℓ_k</w:t>
            </w:r>
          </w:p>
        </w:tc>
        <w:tc>
          <w:tcPr>
            <w:shd w:val="clear" w:color="auto" w:fill="F7FBFE"/>
            <w:vAlign w:val="top"/>
          </w:tcPr>
          <w:p>
            <w:pPr>
              <w:pStyle w:val="Compact"/>
              <w:jc w:val="left"/>
            </w:pPr>
            <w:r>
              <w:t xml:space="preserve">Likelihood</w:t>
            </w:r>
          </w:p>
        </w:tc>
        <w:tc>
          <w:tcPr>
            <w:shd w:val="clear" w:color="auto" w:fill="F7FBFE"/>
            <w:vAlign w:val="top"/>
          </w:tcPr>
          <w:p>
            <w:pPr>
              <w:pStyle w:val="Compact"/>
              <w:jc w:val="left"/>
            </w:pPr>
            <w:r>
              <w:t xml:space="preserve">[0, 1]</w:t>
            </w:r>
          </w:p>
        </w:tc>
      </w:tr>
      <w:tr>
        <w:tc>
          <w:tcPr>
            <w:vAlign w:val="top"/>
          </w:tcPr>
          <w:p>
            <w:pPr>
              <w:pStyle w:val="Compact"/>
              <w:jc w:val="left"/>
            </w:pPr>
            <w:r>
              <w:t xml:space="preserve">c_k</w:t>
            </w:r>
          </w:p>
        </w:tc>
        <w:tc>
          <w:tcPr>
            <w:vAlign w:val="top"/>
          </w:tcPr>
          <w:p>
            <w:pPr>
              <w:pStyle w:val="Compact"/>
              <w:jc w:val="left"/>
            </w:pPr>
            <w:r>
              <w:t xml:space="preserve">Confidence</w:t>
            </w:r>
          </w:p>
        </w:tc>
        <w:tc>
          <w:tcPr>
            <w:vAlign w:val="top"/>
          </w:tcPr>
          <w:p>
            <w:pPr>
              <w:pStyle w:val="Compact"/>
              <w:jc w:val="left"/>
            </w:pPr>
            <w:r>
              <w:t xml:space="preserve">[0.1, 1]</w:t>
            </w:r>
          </w:p>
        </w:tc>
      </w:tr>
      <w:tr>
        <w:tc>
          <w:tcPr>
            <w:shd w:val="clear" w:color="auto" w:fill="F7FBFE"/>
            <w:vAlign w:val="top"/>
          </w:tcPr>
          <w:p>
            <w:pPr>
              <w:pStyle w:val="Compact"/>
              <w:jc w:val="left"/>
            </w:pPr>
            <w:r>
              <w:t xml:space="preserve">e_k</w:t>
            </w:r>
          </w:p>
        </w:tc>
        <w:tc>
          <w:tcPr>
            <w:shd w:val="clear" w:color="auto" w:fill="F7FBFE"/>
            <w:vAlign w:val="top"/>
          </w:tcPr>
          <w:p>
            <w:pPr>
              <w:pStyle w:val="Compact"/>
              <w:jc w:val="left"/>
            </w:pPr>
            <w:r>
              <w:t xml:space="preserve">Equity/resilience multiplier</w:t>
            </w:r>
          </w:p>
        </w:tc>
        <w:tc>
          <w:tcPr>
            <w:shd w:val="clear" w:color="auto" w:fill="F7FBFE"/>
            <w:vAlign w:val="top"/>
          </w:tcPr>
          <w:p>
            <w:pPr>
              <w:pStyle w:val="Compact"/>
              <w:jc w:val="left"/>
            </w:pPr>
            <w:r>
              <w:t xml:space="preserve">Tier 2: 1.00 only unless named governed instrument; Tier 3: [0.75, 1.25] default 1.00</w:t>
            </w:r>
          </w:p>
        </w:tc>
      </w:tr>
      <w:tr>
        <w:tc>
          <w:tcPr>
            <w:vAlign w:val="top"/>
          </w:tcPr>
          <w:p>
            <w:pPr>
              <w:pStyle w:val="Compact"/>
              <w:jc w:val="left"/>
            </w:pPr>
            <w:r>
              <w:t xml:space="preserve">h_{k,x}</w:t>
            </w:r>
          </w:p>
        </w:tc>
        <w:tc>
          <w:tcPr>
            <w:vAlign w:val="top"/>
          </w:tcPr>
          <w:p>
            <w:pPr>
              <w:pStyle w:val="Compact"/>
              <w:jc w:val="left"/>
            </w:pPr>
            <w:r>
              <w:t xml:space="preserve">Registered stream coefficient for x ∈ {base, welfare}</w:t>
            </w:r>
          </w:p>
        </w:tc>
        <w:tc>
          <w:tcPr>
            <w:vAlign w:val="top"/>
          </w:tcPr>
          <w:p>
            <w:pPr>
              <w:pStyle w:val="Compact"/>
              <w:jc w:val="left"/>
            </w:pPr>
            <w:r>
              <w:t xml:space="preserve">h_{k,base}=1 by definition; h_{k,welfare}=1 for humans and FPP, otherwise a governed inclusion hypothesis; never use an unregistered s_k or m_k alias</w:t>
            </w:r>
          </w:p>
        </w:tc>
      </w:tr>
      <w:tr>
        <w:tc>
          <w:tcPr>
            <w:shd w:val="clear" w:color="auto" w:fill="F7FBFE"/>
            <w:vAlign w:val="top"/>
          </w:tcPr>
          <w:p>
            <w:pPr>
              <w:pStyle w:val="Compact"/>
              <w:jc w:val="left"/>
            </w:pPr>
            <w:r>
              <w:t xml:space="preserve">t_min</w:t>
            </w:r>
          </w:p>
        </w:tc>
        <w:tc>
          <w:tcPr>
            <w:shd w:val="clear" w:color="auto" w:fill="F7FBFE"/>
            <w:vAlign w:val="top"/>
          </w:tcPr>
          <w:p>
            <w:pPr>
              <w:pStyle w:val="Compact"/>
              <w:jc w:val="left"/>
            </w:pPr>
            <w:r>
              <w:t xml:space="preserve">Minimum time horizon floor</w:t>
            </w:r>
          </w:p>
        </w:tc>
        <w:tc>
          <w:tcPr>
            <w:shd w:val="clear" w:color="auto" w:fill="F7FBFE"/>
            <w:vAlign w:val="top"/>
          </w:tcPr>
          <w:p>
            <w:pPr>
              <w:pStyle w:val="Compact"/>
              <w:jc w:val="left"/>
            </w:pPr>
            <w:r>
              <w:t xml:space="preserve">0.083 years (≈1 month); prevents τ(0) = 0</w:t>
            </w:r>
          </w:p>
        </w:tc>
      </w:tr>
    </w:tbl>
    <w:bookmarkEnd w:id="335"/>
    <w:bookmarkStart w:id="336" w:name="a7-operators-and-functions"/>
    <w:p>
      <w:pPr>
        <w:pStyle w:val="Heading2"/>
      </w:pPr>
      <w:r>
        <w:rPr>
          <w:bCs/>
          <w:b/>
        </w:rPr>
        <w:t xml:space="preserve">A.7 Operators and Functions</w:t>
      </w:r>
    </w:p>
    <w:p>
      <w:pPr>
        <w:pStyle w:val="FirstParagraph"/>
      </w:pPr>
      <w:r>
        <w:t xml:space="preserve">Symbol</w:t>
      </w:r>
    </w:p>
    <w:p>
      <w:pPr>
        <w:pStyle w:val="BodyText"/>
      </w:pPr>
      <w:r>
        <w:t xml:space="preserve">Definition</w:t>
      </w:r>
    </w:p>
    <w:p>
      <w:pPr>
        <w:pStyle w:val="BodyText"/>
      </w:pPr>
      <w:r>
        <w:t xml:space="preserve">(x)⁺</w:t>
      </w:r>
    </w:p>
    <w:p>
      <w:pPr>
        <w:pStyle w:val="BodyText"/>
      </w:pPr>
      <w:r>
        <w:t xml:space="preserve">max(x, 0)</w:t>
      </w:r>
    </w:p>
    <w:p>
      <w:pPr>
        <w:pStyle w:val="BodyText"/>
      </w:pPr>
      <w:r>
        <w:t xml:space="preserve">clip(x, a, b)</w:t>
      </w:r>
    </w:p>
    <w:p>
      <w:pPr>
        <w:pStyle w:val="BodyText"/>
      </w:pPr>
      <w:r>
        <w:t xml:space="preserve">max(a, min(x, b))</w:t>
      </w:r>
    </w:p>
    <w:p>
      <w:pPr>
        <w:pStyle w:val="BodyText"/>
      </w:pPr>
      <w:r>
        <w:t xml:space="preserve">sat_β(x)</w:t>
      </w:r>
    </w:p>
    <w:p>
      <w:pPr>
        <w:pStyle w:val="BodyText"/>
      </w:pPr>
      <w:r>
        <w:t xml:space="preserve">tanh(β × x)</w:t>
      </w:r>
    </w:p>
    <w:p>
      <w:pPr>
        <w:pStyle w:val="BodyText"/>
      </w:pPr>
      <w:r>
        <w:t xml:space="preserve">τ(t)</w:t>
      </w:r>
    </w:p>
    <w:p>
      <w:pPr>
        <w:pStyle w:val="BodyText"/>
      </w:pPr>
      <w:r>
        <w:t xml:space="preserve">min(1, ln(1 + max(t, t_min)) / ln(1 + T_ref)) Defaults: T_ref = 25 years, t_min = 0.083 years Cap ensures τ(t) ≤ 1 for all t; floor ensures τ &gt; 0 for all t &gt; 0</w:t>
      </w:r>
    </w:p>
    <w:p>
      <w:pPr>
        <w:pStyle w:val="BodyText"/>
      </w:pPr>
      <w:r>
        <w:t xml:space="preserve">φ(u, d)</w:t>
      </w:r>
    </w:p>
    <w:p>
      <w:pPr>
        <w:pStyle w:val="BodyText"/>
      </w:pPr>
      <w:r>
        <w:t xml:space="preserve">7(u − 1) + d (flattening map for kernel indexing)</w:t>
      </w:r>
    </w:p>
    <w:p>
      <w:pPr>
        <w:pStyle w:val="BodyText"/>
      </w:pPr>
      <w:r>
        <w:t xml:space="preserve">Contain(u, G_c)</w:t>
      </w:r>
    </w:p>
    <w:p>
      <w:pPr>
        <w:pStyle w:val="BodyText"/>
      </w:pPr>
      <w:r>
        <w:t xml:space="preserve">Decision-specific set of scopes or systems declared to contain, sustain, govern, or enable union scope u in directed containment/dependency graph G_c. Scope order alone does not establish containment.</w:t>
      </w:r>
    </w:p>
    <w:p>
      <w:pPr>
        <w:pStyle w:val="BodyText"/>
      </w:pPr>
      <w:r>
        <w:t xml:space="preserve">T_ref</w:t>
      </w:r>
    </w:p>
    <w:p>
      <w:pPr>
        <w:pStyle w:val="BodyText"/>
      </w:pPr>
      <w:r>
        <w:t xml:space="preserve">Governance reference time horizon for temporal weighting. Default: 25 years. MUST NOT be set &lt; 10 years without charter-level justification.</w:t>
      </w:r>
    </w:p>
    <w:bookmarkEnd w:id="336"/>
    <w:bookmarkStart w:id="337" w:name="a8-kernel-and-propagation"/>
    <w:p>
      <w:pPr>
        <w:pStyle w:val="Heading2"/>
      </w:pPr>
      <w:r>
        <w:rPr>
          <w:bCs/>
          <w:b/>
        </w:rPr>
        <w:t xml:space="preserve">A.8 Kernel and Propagation</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Symbol</w:t>
            </w:r>
          </w:p>
        </w:tc>
        <w:tc>
          <w:tcPr>
            <w:shd w:val="clear" w:color="auto" w:fill="D9EAF7"/>
            <w:vAlign w:val="center"/>
          </w:tcPr>
          <w:p>
            <w:pPr>
              <w:pStyle w:val="Compact"/>
              <w:jc w:val="left"/>
            </w:pPr>
            <w:r>
              <w:rPr>
                <w:bCs/>
                <w:b/>
                <w:color w:val="17365D"/>
              </w:rPr>
              <w:t xml:space="preserve">Meaning</w:t>
            </w:r>
          </w:p>
        </w:tc>
      </w:tr>
      <w:tr>
        <w:tc>
          <w:tcPr>
            <w:vAlign w:val="top"/>
          </w:tcPr>
          <w:p>
            <w:pPr>
              <w:pStyle w:val="Compact"/>
              <w:jc w:val="left"/>
            </w:pPr>
            <w:r>
              <w:t xml:space="preserve">K ∈ ℝ^{49×49}</w:t>
            </w:r>
          </w:p>
        </w:tc>
        <w:tc>
          <w:tcPr>
            <w:vAlign w:val="top"/>
          </w:tcPr>
          <w:p>
            <w:pPr>
              <w:pStyle w:val="Compact"/>
              <w:jc w:val="left"/>
            </w:pPr>
            <w:r>
              <w:t xml:space="preserve">Ripple kernel matrix (sparse)</w:t>
            </w:r>
          </w:p>
        </w:tc>
      </w:tr>
      <w:tr>
        <w:tc>
          <w:tcPr>
            <w:shd w:val="clear" w:color="auto" w:fill="F7FBFE"/>
            <w:vAlign w:val="top"/>
          </w:tcPr>
          <w:p>
            <w:pPr>
              <w:pStyle w:val="Compact"/>
              <w:jc w:val="left"/>
            </w:pPr>
            <w:r>
              <w:t xml:space="preserve">K_{ij}</w:t>
            </w:r>
          </w:p>
        </w:tc>
        <w:tc>
          <w:tcPr>
            <w:shd w:val="clear" w:color="auto" w:fill="F7FBFE"/>
            <w:vAlign w:val="top"/>
          </w:tcPr>
          <w:p>
            <w:pPr>
              <w:pStyle w:val="Compact"/>
              <w:jc w:val="left"/>
            </w:pPr>
            <w:r>
              <w:t xml:space="preserve">Kernel entry mapping source j to target i (target-row, source-column)</w:t>
            </w:r>
          </w:p>
        </w:tc>
      </w:tr>
      <w:tr>
        <w:tc>
          <w:tcPr>
            <w:vAlign w:val="top"/>
          </w:tcPr>
          <w:p>
            <w:pPr>
              <w:pStyle w:val="Compact"/>
              <w:jc w:val="left"/>
            </w:pPr>
            <w:r>
              <w:t xml:space="preserve">κ_max</w:t>
            </w:r>
          </w:p>
        </w:tc>
        <w:tc>
          <w:tcPr>
            <w:vAlign w:val="top"/>
          </w:tcPr>
          <w:p>
            <w:pPr>
              <w:pStyle w:val="Compact"/>
              <w:jc w:val="left"/>
            </w:pPr>
            <w:r>
              <w:t xml:space="preserve">Maximum absolute kernel entry bound, default 0.5</w:t>
            </w:r>
          </w:p>
        </w:tc>
      </w:tr>
      <w:tr>
        <w:tc>
          <w:tcPr>
            <w:shd w:val="clear" w:color="auto" w:fill="F7FBFE"/>
            <w:vAlign w:val="top"/>
          </w:tcPr>
          <w:p>
            <w:pPr>
              <w:pStyle w:val="Compact"/>
              <w:jc w:val="left"/>
            </w:pPr>
            <w:r>
              <w:t xml:space="preserve">κ_use_min</w:t>
            </w:r>
          </w:p>
        </w:tc>
        <w:tc>
          <w:tcPr>
            <w:shd w:val="clear" w:color="auto" w:fill="F7FBFE"/>
            <w:vAlign w:val="top"/>
          </w:tcPr>
          <w:p>
            <w:pPr>
              <w:pStyle w:val="Compact"/>
              <w:jc w:val="left"/>
            </w:pPr>
            <w:r>
              <w:t xml:space="preserve">Minimum absolute kernel edge magnitude for “relied-upon edge” classification in KQS computation (Section 6.5.1). Default: 0.05 unless the PCC declares a stricter value.</w:t>
            </w:r>
          </w:p>
        </w:tc>
      </w:tr>
      <w:tr>
        <w:tc>
          <w:tcPr>
            <w:vAlign w:val="top"/>
          </w:tcPr>
          <w:p>
            <w:pPr>
              <w:pStyle w:val="Compact"/>
              <w:jc w:val="left"/>
            </w:pPr>
            <w:r>
              <w:t xml:space="preserve">ρ_max</w:t>
            </w:r>
          </w:p>
        </w:tc>
        <w:tc>
          <w:tcPr>
            <w:vAlign w:val="top"/>
          </w:tcPr>
          <w:p>
            <w:pPr>
              <w:pStyle w:val="Compact"/>
              <w:jc w:val="left"/>
            </w:pPr>
            <w:r>
              <w:t xml:space="preserve">Maximum absolute row-sum bound, default 0.9</w:t>
            </w:r>
          </w:p>
        </w:tc>
      </w:tr>
      <w:tr>
        <w:tc>
          <w:tcPr>
            <w:shd w:val="clear" w:color="auto" w:fill="F7FBFE"/>
            <w:vAlign w:val="top"/>
          </w:tcPr>
          <w:p>
            <w:pPr>
              <w:pStyle w:val="Compact"/>
              <w:jc w:val="left"/>
            </w:pPr>
            <w:r>
              <w:t xml:space="preserve">∥K∥∞</w:t>
            </w:r>
          </w:p>
        </w:tc>
        <w:tc>
          <w:tcPr>
            <w:shd w:val="clear" w:color="auto" w:fill="F7FBFE"/>
            <w:vAlign w:val="top"/>
          </w:tcPr>
          <w:p>
            <w:pPr>
              <w:pStyle w:val="Compact"/>
              <w:jc w:val="left"/>
            </w:pPr>
            <w:r>
              <w:t xml:space="preserve">Maximum absolute row-sum norm of K: ∥K∥∞ := max_i Σ_j |K_{ij}|. Used for Tier 1-3 kernel stability verification (Section 6.4).</w:t>
            </w:r>
          </w:p>
        </w:tc>
      </w:tr>
      <w:tr>
        <w:tc>
          <w:tcPr>
            <w:vAlign w:val="top"/>
          </w:tcPr>
          <w:p>
            <w:pPr>
              <w:pStyle w:val="Compact"/>
              <w:jc w:val="left"/>
            </w:pPr>
            <w:r>
              <w:t xml:space="preserve">ρ(K)</w:t>
            </w:r>
          </w:p>
        </w:tc>
        <w:tc>
          <w:tcPr>
            <w:vAlign w:val="top"/>
          </w:tcPr>
          <w:p>
            <w:pPr>
              <w:pStyle w:val="Compact"/>
              <w:jc w:val="left"/>
            </w:pPr>
            <w:r>
              <w:t xml:space="preserve">Spectral radius of K. For Tier 1-3, treated as satisfied when ∥K∥∞ &lt; 1 per Section 6.4 (since ρ(K) ≤ ∥K∥∞).</w:t>
            </w:r>
          </w:p>
        </w:tc>
      </w:tr>
      <w:tr>
        <w:tc>
          <w:tcPr>
            <w:shd w:val="clear" w:color="auto" w:fill="F7FBFE"/>
            <w:vAlign w:val="top"/>
          </w:tcPr>
          <w:p>
            <w:pPr>
              <w:pStyle w:val="Compact"/>
              <w:jc w:val="left"/>
            </w:pPr>
            <w:r>
              <w:t xml:space="preserve">NONE mode</w:t>
            </w:r>
          </w:p>
        </w:tc>
        <w:tc>
          <w:tcPr>
            <w:shd w:val="clear" w:color="auto" w:fill="F7FBFE"/>
            <w:vAlign w:val="top"/>
          </w:tcPr>
          <w:p>
            <w:pPr>
              <w:pStyle w:val="Compact"/>
              <w:jc w:val="left"/>
            </w:pPr>
            <w:r>
              <w:t xml:space="preserve">I_prop := I_dir</w:t>
            </w:r>
          </w:p>
        </w:tc>
      </w:tr>
      <w:tr>
        <w:tc>
          <w:tcPr>
            <w:vAlign w:val="top"/>
          </w:tcPr>
          <w:p>
            <w:pPr>
              <w:pStyle w:val="Compact"/>
              <w:jc w:val="left"/>
            </w:pPr>
            <w:r>
              <w:t xml:space="preserve">QUICK mode</w:t>
            </w:r>
          </w:p>
        </w:tc>
        <w:tc>
          <w:tcPr>
            <w:vAlign w:val="top"/>
          </w:tcPr>
          <w:p>
            <w:pPr>
              <w:pStyle w:val="Compact"/>
              <w:jc w:val="left"/>
            </w:pPr>
            <w:r>
              <w:t xml:space="preserve">Ĩ_prop = I_dir + K × I_dir, then saturate</w:t>
            </w:r>
          </w:p>
        </w:tc>
      </w:tr>
    </w:tbl>
    <w:p>
      <w:pPr>
        <w:pStyle w:val="BodyText"/>
      </w:pPr>
      <w:r>
        <w:t xml:space="preserve">Stream note (Normative). Kernel propagation applies per stream x∈{base, welfare} as specified in Appendix B. In Appendix A, the symbols I_dir, Ĩ_prop, and I_prop may be used as shorthand for their stream-specific forms I_dir,x, Ĩ_prop,x, and I_prop,x. Admissibility computation uses the Base stream (h_k:=1); RLS uses the Welfare stream with the governed welfare-inclusion hypothesis set carried through robust sensitivity analysis.</w:t>
      </w:r>
    </w:p>
    <w:bookmarkEnd w:id="337"/>
    <w:bookmarkStart w:id="338" w:name="a9-rights-and-constraints"/>
    <w:p>
      <w:pPr>
        <w:pStyle w:val="Heading2"/>
      </w:pPr>
      <w:r>
        <w:rPr>
          <w:bCs/>
          <w:b/>
        </w:rPr>
        <w:t xml:space="preserve">A.9 Rights and Constraints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Symbol</w:t>
            </w:r>
          </w:p>
        </w:tc>
        <w:tc>
          <w:tcPr>
            <w:shd w:val="clear" w:color="auto" w:fill="D9EAF7"/>
            <w:vAlign w:val="center"/>
          </w:tcPr>
          <w:p>
            <w:pPr>
              <w:pStyle w:val="Compact"/>
              <w:jc w:val="left"/>
            </w:pPr>
            <w:r>
              <w:rPr>
                <w:bCs/>
                <w:b/>
                <w:color w:val="17365D"/>
              </w:rPr>
              <w:t xml:space="preserve">Meaning</w:t>
            </w:r>
          </w:p>
        </w:tc>
      </w:tr>
      <w:tr>
        <w:tc>
          <w:tcPr>
            <w:vAlign w:val="top"/>
          </w:tcPr>
          <w:p>
            <w:pPr>
              <w:pStyle w:val="Compact"/>
              <w:jc w:val="left"/>
            </w:pPr>
            <w:r>
              <w:t xml:space="preserve">θ_r</w:t>
            </w:r>
          </w:p>
        </w:tc>
        <w:tc>
          <w:tcPr>
            <w:vAlign w:val="top"/>
          </w:tcPr>
          <w:p>
            <w:pPr>
              <w:pStyle w:val="Compact"/>
              <w:jc w:val="left"/>
            </w:pPr>
            <w:r>
              <w:t xml:space="preserve">Rights threshold for right r</w:t>
            </w:r>
          </w:p>
        </w:tc>
      </w:tr>
      <w:tr>
        <w:tc>
          <w:tcPr>
            <w:shd w:val="clear" w:color="auto" w:fill="F7FBFE"/>
            <w:vAlign w:val="top"/>
          </w:tcPr>
          <w:p>
            <w:pPr>
              <w:pStyle w:val="Compact"/>
              <w:jc w:val="left"/>
            </w:pPr>
            <w:r>
              <w:t xml:space="preserve">v_r(a)</w:t>
            </w:r>
          </w:p>
        </w:tc>
        <w:tc>
          <w:tcPr>
            <w:shd w:val="clear" w:color="auto" w:fill="F7FBFE"/>
            <w:vAlign w:val="top"/>
          </w:tcPr>
          <w:p>
            <w:pPr>
              <w:pStyle w:val="Compact"/>
              <w:jc w:val="left"/>
            </w:pPr>
            <w:r>
              <w:t xml:space="preserve">Violation depth for right r under option a</w:t>
            </w:r>
          </w:p>
        </w:tc>
      </w:tr>
      <w:tr>
        <w:tc>
          <w:tcPr>
            <w:vAlign w:val="top"/>
          </w:tcPr>
          <w:p>
            <w:pPr>
              <w:pStyle w:val="Compact"/>
              <w:jc w:val="left"/>
            </w:pPr>
            <w:r>
              <w:t xml:space="preserve">NCRC(a)</w:t>
            </w:r>
          </w:p>
        </w:tc>
        <w:tc>
          <w:tcPr>
            <w:vAlign w:val="top"/>
          </w:tcPr>
          <w:p>
            <w:pPr>
              <w:pStyle w:val="Compact"/>
              <w:jc w:val="left"/>
            </w:pPr>
            <w:r>
              <w:t xml:space="preserve">Rights admissibility predicate</w:t>
            </w:r>
          </w:p>
        </w:tc>
      </w:tr>
      <w:tr>
        <w:tc>
          <w:tcPr>
            <w:shd w:val="clear" w:color="auto" w:fill="F7FBFE"/>
            <w:vAlign w:val="top"/>
          </w:tcPr>
          <w:p>
            <w:pPr>
              <w:pStyle w:val="Compact"/>
              <w:jc w:val="left"/>
            </w:pPr>
            <w:r>
              <w:t xml:space="preserve">TRC(a)</w:t>
            </w:r>
          </w:p>
        </w:tc>
        <w:tc>
          <w:tcPr>
            <w:shd w:val="clear" w:color="auto" w:fill="F7FBFE"/>
            <w:vAlign w:val="top"/>
          </w:tcPr>
          <w:p>
            <w:pPr>
              <w:pStyle w:val="Compact"/>
              <w:jc w:val="left"/>
            </w:pPr>
            <w:r>
              <w:t xml:space="preserve">Tail-risk admissibility predicate</w:t>
            </w:r>
          </w:p>
        </w:tc>
      </w:tr>
      <w:tr>
        <w:tc>
          <w:tcPr>
            <w:vAlign w:val="top"/>
          </w:tcPr>
          <w:p>
            <w:pPr>
              <w:pStyle w:val="Compact"/>
              <w:jc w:val="left"/>
            </w:pPr>
            <w:r>
              <w:t xml:space="preserve">τ_TRC</w:t>
            </w:r>
          </w:p>
        </w:tc>
        <w:tc>
          <w:tcPr>
            <w:vAlign w:val="top"/>
          </w:tcPr>
          <w:p>
            <w:pPr>
              <w:pStyle w:val="Compact"/>
              <w:jc w:val="left"/>
            </w:pPr>
            <w:r>
              <w:t xml:space="preserve">TRC corridor threshold</w:t>
            </w:r>
          </w:p>
        </w:tc>
      </w:tr>
      <w:tr>
        <w:tc>
          <w:tcPr>
            <w:shd w:val="clear" w:color="auto" w:fill="F7FBFE"/>
            <w:vAlign w:val="top"/>
          </w:tcPr>
          <w:p>
            <w:pPr>
              <w:pStyle w:val="Compact"/>
              <w:jc w:val="left"/>
            </w:pPr>
            <w:r>
              <w:t xml:space="preserve">α</w:t>
            </w:r>
          </w:p>
        </w:tc>
        <w:tc>
          <w:tcPr>
            <w:shd w:val="clear" w:color="auto" w:fill="F7FBFE"/>
            <w:vAlign w:val="top"/>
          </w:tcPr>
          <w:p>
            <w:pPr>
              <w:pStyle w:val="Compact"/>
              <w:jc w:val="left"/>
            </w:pPr>
            <w:r>
              <w:t xml:space="preserve">CVaR tail level ∈ (0, 1)</w:t>
            </w:r>
          </w:p>
        </w:tc>
      </w:tr>
      <w:tr>
        <w:tc>
          <w:tcPr>
            <w:vAlign w:val="top"/>
          </w:tcPr>
          <w:p>
            <w:pPr>
              <w:pStyle w:val="Compact"/>
              <w:jc w:val="left"/>
            </w:pPr>
            <w:r>
              <w:t xml:space="preserve">CVaR_α[L(a)]</w:t>
            </w:r>
          </w:p>
        </w:tc>
        <w:tc>
          <w:tcPr>
            <w:vAlign w:val="top"/>
          </w:tcPr>
          <w:p>
            <w:pPr>
              <w:pStyle w:val="Compact"/>
              <w:jc w:val="left"/>
            </w:pPr>
            <w:r>
              <w:t xml:space="preserve">Conditional Value-at-Risk for loss distribution of option a</w:t>
            </w:r>
          </w:p>
        </w:tc>
      </w:tr>
      <w:tr>
        <w:tc>
          <w:tcPr>
            <w:shd w:val="clear" w:color="auto" w:fill="F7FBFE"/>
            <w:vAlign w:val="top"/>
          </w:tcPr>
          <w:p>
            <w:pPr>
              <w:pStyle w:val="Compact"/>
              <w:jc w:val="left"/>
            </w:pPr>
            <w:r>
              <w:t xml:space="preserve">θ_pos</w:t>
            </w:r>
          </w:p>
        </w:tc>
        <w:tc>
          <w:tcPr>
            <w:shd w:val="clear" w:color="auto" w:fill="F7FBFE"/>
            <w:vAlign w:val="top"/>
          </w:tcPr>
          <w:p>
            <w:pPr>
              <w:pStyle w:val="Compact"/>
              <w:jc w:val="left"/>
            </w:pPr>
            <w:r>
              <w:t xml:space="preserve">Positive impact threshold (containment trigger), default 0.05</w:t>
            </w:r>
          </w:p>
        </w:tc>
      </w:tr>
      <w:tr>
        <w:tc>
          <w:tcPr>
            <w:vAlign w:val="top"/>
          </w:tcPr>
          <w:p>
            <w:pPr>
              <w:pStyle w:val="Compact"/>
              <w:jc w:val="left"/>
            </w:pPr>
            <w:r>
              <w:t xml:space="preserve">τ_c</w:t>
            </w:r>
          </w:p>
        </w:tc>
        <w:tc>
          <w:tcPr>
            <w:vAlign w:val="top"/>
          </w:tcPr>
          <w:p>
            <w:pPr>
              <w:pStyle w:val="Compact"/>
              <w:jc w:val="left"/>
            </w:pPr>
            <w:r>
              <w:t xml:space="preserve">Containment tolerance threshold, default -0.10</w:t>
            </w:r>
          </w:p>
        </w:tc>
      </w:tr>
      <w:tr>
        <w:tc>
          <w:tcPr>
            <w:shd w:val="clear" w:color="auto" w:fill="F7FBFE"/>
            <w:vAlign w:val="top"/>
          </w:tcPr>
          <w:p>
            <w:pPr>
              <w:pStyle w:val="Compact"/>
              <w:jc w:val="left"/>
            </w:pPr>
            <w:r>
              <w:t xml:space="preserve">D_c</w:t>
            </w:r>
          </w:p>
        </w:tc>
        <w:tc>
          <w:tcPr>
            <w:shd w:val="clear" w:color="auto" w:fill="F7FBFE"/>
            <w:vAlign w:val="top"/>
          </w:tcPr>
          <w:p>
            <w:pPr>
              <w:pStyle w:val="Compact"/>
              <w:jc w:val="left"/>
            </w:pPr>
            <w:r>
              <w:t xml:space="preserve">Containment ancestor depth, default 2</w:t>
            </w:r>
          </w:p>
        </w:tc>
      </w:tr>
    </w:tbl>
    <w:bookmarkEnd w:id="338"/>
    <w:bookmarkStart w:id="339" w:name="a10-scoring-and-uncertainty"/>
    <w:p>
      <w:pPr>
        <w:pStyle w:val="Heading2"/>
      </w:pPr>
      <w:r>
        <w:rPr>
          <w:bCs/>
          <w:b/>
        </w:rPr>
        <w:t xml:space="preserve">A.10 Scoring and Uncertainty</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Symbol</w:t>
            </w:r>
          </w:p>
        </w:tc>
        <w:tc>
          <w:tcPr>
            <w:shd w:val="clear" w:color="auto" w:fill="D9EAF7"/>
            <w:vAlign w:val="center"/>
          </w:tcPr>
          <w:p>
            <w:pPr>
              <w:pStyle w:val="Compact"/>
              <w:jc w:val="left"/>
            </w:pPr>
            <w:r>
              <w:rPr>
                <w:bCs/>
                <w:b/>
                <w:color w:val="17365D"/>
              </w:rPr>
              <w:t xml:space="preserve">Meaning</w:t>
            </w:r>
          </w:p>
        </w:tc>
      </w:tr>
      <w:tr>
        <w:tc>
          <w:tcPr>
            <w:vAlign w:val="top"/>
          </w:tcPr>
          <w:p>
            <w:pPr>
              <w:pStyle w:val="Compact"/>
              <w:jc w:val="left"/>
            </w:pPr>
            <w:r>
              <w:t xml:space="preserve">w_u</w:t>
            </w:r>
          </w:p>
        </w:tc>
        <w:tc>
          <w:tcPr>
            <w:vAlign w:val="top"/>
          </w:tcPr>
          <w:p>
            <w:pPr>
              <w:pStyle w:val="Compact"/>
              <w:jc w:val="left"/>
            </w:pPr>
            <w:r>
              <w:t xml:space="preserve">Union weight (w_u ≥ 0, Σ_u w_u = 1)</w:t>
            </w:r>
          </w:p>
        </w:tc>
      </w:tr>
      <w:tr>
        <w:tc>
          <w:tcPr>
            <w:shd w:val="clear" w:color="auto" w:fill="F7FBFE"/>
            <w:vAlign w:val="top"/>
          </w:tcPr>
          <w:p>
            <w:pPr>
              <w:pStyle w:val="Compact"/>
              <w:jc w:val="left"/>
            </w:pPr>
            <w:r>
              <w:t xml:space="preserve">v_d</w:t>
            </w:r>
          </w:p>
        </w:tc>
        <w:tc>
          <w:tcPr>
            <w:shd w:val="clear" w:color="auto" w:fill="F7FBFE"/>
            <w:vAlign w:val="top"/>
          </w:tcPr>
          <w:p>
            <w:pPr>
              <w:pStyle w:val="Compact"/>
              <w:jc w:val="left"/>
            </w:pPr>
            <w:r>
              <w:t xml:space="preserve">Dimension weight (v_d ≥ 0, Σ_d v_d = 1)</w:t>
            </w:r>
          </w:p>
        </w:tc>
      </w:tr>
      <w:tr>
        <w:tc>
          <w:tcPr>
            <w:vAlign w:val="top"/>
          </w:tcPr>
          <w:p>
            <w:pPr>
              <w:pStyle w:val="Compact"/>
              <w:jc w:val="left"/>
            </w:pPr>
            <w:r>
              <w:t xml:space="preserve">m(u,d)</w:t>
            </w:r>
          </w:p>
        </w:tc>
        <w:tc>
          <w:tcPr>
            <w:vAlign w:val="top"/>
          </w:tcPr>
          <w:p>
            <w:pPr>
              <w:pStyle w:val="Compact"/>
              <w:jc w:val="left"/>
            </w:pPr>
            <w:r>
              <w:t xml:space="preserve">Applicability mask for RLS only ∈ {0, 1}</w:t>
            </w:r>
          </w:p>
        </w:tc>
      </w:tr>
      <w:tr>
        <w:tc>
          <w:tcPr>
            <w:shd w:val="clear" w:color="auto" w:fill="F7FBFE"/>
            <w:vAlign w:val="top"/>
          </w:tcPr>
          <w:p>
            <w:pPr>
              <w:pStyle w:val="Compact"/>
              <w:jc w:val="left"/>
            </w:pPr>
            <w:r>
              <w:t xml:space="preserve">κ(u,d)</w:t>
            </w:r>
          </w:p>
        </w:tc>
        <w:tc>
          <w:tcPr>
            <w:shd w:val="clear" w:color="auto" w:fill="F7FBFE"/>
            <w:vAlign w:val="top"/>
          </w:tcPr>
          <w:p>
            <w:pPr>
              <w:pStyle w:val="Compact"/>
              <w:jc w:val="left"/>
            </w:pPr>
            <w:r>
              <w:t xml:space="preserve">Cell multiplier for RLS, default 1</w:t>
            </w:r>
          </w:p>
        </w:tc>
      </w:tr>
      <w:tr>
        <w:tc>
          <w:tcPr>
            <w:vAlign w:val="top"/>
          </w:tcPr>
          <w:p>
            <w:pPr>
              <w:pStyle w:val="Compact"/>
              <w:jc w:val="left"/>
            </w:pPr>
            <w:r>
              <w:t xml:space="preserve">RLS(a)</w:t>
            </w:r>
          </w:p>
        </w:tc>
        <w:tc>
          <w:tcPr>
            <w:vAlign w:val="top"/>
          </w:tcPr>
          <w:p>
            <w:pPr>
              <w:pStyle w:val="Compact"/>
              <w:jc w:val="left"/>
            </w:pPr>
            <w:r>
              <w:t xml:space="preserve">RippleLogic Score</w:t>
            </w:r>
          </w:p>
        </w:tc>
      </w:tr>
      <w:tr>
        <w:tc>
          <w:tcPr>
            <w:shd w:val="clear" w:color="auto" w:fill="F7FBFE"/>
            <w:vAlign w:val="top"/>
          </w:tcPr>
          <w:p>
            <w:pPr>
              <w:pStyle w:val="Compact"/>
              <w:jc w:val="left"/>
            </w:pPr>
            <w:r>
              <w:t xml:space="preserve">σ(u,d,a)</w:t>
            </w:r>
          </w:p>
        </w:tc>
        <w:tc>
          <w:tcPr>
            <w:shd w:val="clear" w:color="auto" w:fill="F7FBFE"/>
            <w:vAlign w:val="top"/>
          </w:tcPr>
          <w:p>
            <w:pPr>
              <w:pStyle w:val="Compact"/>
              <w:jc w:val="left"/>
            </w:pPr>
            <w:r>
              <w:t xml:space="preserve">Cell-level uncertainty proxy</w:t>
            </w:r>
          </w:p>
        </w:tc>
      </w:tr>
      <w:tr>
        <w:tc>
          <w:tcPr>
            <w:vAlign w:val="top"/>
          </w:tcPr>
          <w:p>
            <w:pPr>
              <w:pStyle w:val="Compact"/>
              <w:jc w:val="left"/>
            </w:pPr>
            <w:r>
              <w:t xml:space="preserve">σ_RLS(a)</w:t>
            </w:r>
          </w:p>
        </w:tc>
        <w:tc>
          <w:tcPr>
            <w:vAlign w:val="top"/>
          </w:tcPr>
          <w:p>
            <w:pPr>
              <w:pStyle w:val="Compact"/>
              <w:jc w:val="left"/>
            </w:pPr>
            <w:r>
              <w:t xml:space="preserve">RLS uncertainty proxy</w:t>
            </w:r>
          </w:p>
        </w:tc>
      </w:tr>
      <w:tr>
        <w:tc>
          <w:tcPr>
            <w:shd w:val="clear" w:color="auto" w:fill="F7FBFE"/>
            <w:vAlign w:val="top"/>
          </w:tcPr>
          <w:p>
            <w:pPr>
              <w:pStyle w:val="Compact"/>
              <w:jc w:val="left"/>
            </w:pPr>
            <w:r>
              <w:t xml:space="preserve">δ</w:t>
            </w:r>
          </w:p>
        </w:tc>
        <w:tc>
          <w:tcPr>
            <w:shd w:val="clear" w:color="auto" w:fill="F7FBFE"/>
            <w:vAlign w:val="top"/>
          </w:tcPr>
          <w:p>
            <w:pPr>
              <w:pStyle w:val="Compact"/>
              <w:jc w:val="left"/>
            </w:pPr>
            <w:r>
              <w:t xml:space="preserve">Discrimination threshold for decisive lead, default 2</w:t>
            </w:r>
          </w:p>
        </w:tc>
      </w:tr>
      <w:tr>
        <w:tc>
          <w:tcPr>
            <w:vAlign w:val="top"/>
          </w:tcPr>
          <w:p>
            <w:pPr>
              <w:pStyle w:val="Compact"/>
              <w:jc w:val="left"/>
            </w:pPr>
            <w:r>
              <w:t xml:space="preserve">ε</w:t>
            </w:r>
          </w:p>
        </w:tc>
        <w:tc>
          <w:tcPr>
            <w:vAlign w:val="top"/>
          </w:tcPr>
          <w:p>
            <w:pPr>
              <w:pStyle w:val="Compact"/>
              <w:jc w:val="left"/>
            </w:pPr>
            <w:r>
              <w:t xml:space="preserve">Stabilizer in Gap computation, default 10⁻⁶</w:t>
            </w:r>
          </w:p>
        </w:tc>
      </w:tr>
      <w:tr>
        <w:tc>
          <w:tcPr>
            <w:shd w:val="clear" w:color="auto" w:fill="F7FBFE"/>
            <w:vAlign w:val="top"/>
          </w:tcPr>
          <w:p>
            <w:pPr>
              <w:pStyle w:val="Compact"/>
              <w:jc w:val="left"/>
            </w:pPr>
            <w:r>
              <w:t xml:space="preserve">λ</w:t>
            </w:r>
          </w:p>
        </w:tc>
        <w:tc>
          <w:tcPr>
            <w:shd w:val="clear" w:color="auto" w:fill="F7FBFE"/>
            <w:vAlign w:val="top"/>
          </w:tcPr>
          <w:p>
            <w:pPr>
              <w:pStyle w:val="Compact"/>
              <w:jc w:val="left"/>
            </w:pPr>
            <w:r>
              <w:t xml:space="preserve">Risk-aversion coefficient for RLS_adj, default 0.5</w:t>
            </w:r>
          </w:p>
        </w:tc>
      </w:tr>
    </w:tbl>
    <w:bookmarkEnd w:id="339"/>
    <w:bookmarkStart w:id="340" w:name="a11-structural-metrics"/>
    <w:p>
      <w:pPr>
        <w:pStyle w:val="Heading2"/>
      </w:pPr>
      <w:r>
        <w:rPr>
          <w:bCs/>
          <w:b/>
        </w:rPr>
        <w:t xml:space="preserve">A.11 Structural Metrics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Symbol</w:t>
            </w:r>
          </w:p>
        </w:tc>
        <w:tc>
          <w:tcPr>
            <w:shd w:val="clear" w:color="auto" w:fill="D9EAF7"/>
            <w:vAlign w:val="center"/>
          </w:tcPr>
          <w:p>
            <w:pPr>
              <w:pStyle w:val="Compact"/>
              <w:jc w:val="left"/>
            </w:pPr>
            <w:r>
              <w:rPr>
                <w:bCs/>
                <w:b/>
                <w:color w:val="17365D"/>
              </w:rPr>
              <w:t xml:space="preserve">Meaning</w:t>
            </w:r>
          </w:p>
        </w:tc>
      </w:tr>
      <w:tr>
        <w:tc>
          <w:tcPr>
            <w:vAlign w:val="top"/>
          </w:tcPr>
          <w:p>
            <w:pPr>
              <w:pStyle w:val="Compact"/>
              <w:jc w:val="left"/>
            </w:pPr>
            <w:r>
              <w:t xml:space="preserve">UCI_u</w:t>
            </w:r>
          </w:p>
        </w:tc>
        <w:tc>
          <w:tcPr>
            <w:vAlign w:val="top"/>
          </w:tcPr>
          <w:p>
            <w:pPr>
              <w:pStyle w:val="Compact"/>
              <w:jc w:val="left"/>
            </w:pPr>
            <w:r>
              <w:t xml:space="preserve">Union Coherence Index for union u ∈ [0, 1]</w:t>
            </w:r>
          </w:p>
        </w:tc>
      </w:tr>
      <w:tr>
        <w:tc>
          <w:tcPr>
            <w:shd w:val="clear" w:color="auto" w:fill="F7FBFE"/>
            <w:vAlign w:val="top"/>
          </w:tcPr>
          <w:p>
            <w:pPr>
              <w:pStyle w:val="Compact"/>
              <w:jc w:val="left"/>
            </w:pPr>
            <w:r>
              <w:t xml:space="preserve">ΔUCI_u(a)</w:t>
            </w:r>
          </w:p>
        </w:tc>
        <w:tc>
          <w:tcPr>
            <w:shd w:val="clear" w:color="auto" w:fill="F7FBFE"/>
            <w:vAlign w:val="top"/>
          </w:tcPr>
          <w:p>
            <w:pPr>
              <w:pStyle w:val="Compact"/>
              <w:jc w:val="left"/>
            </w:pPr>
            <w:r>
              <w:t xml:space="preserve">Coherence change under option a = UCI_u(a) − UCI_u(baseline)</w:t>
            </w:r>
          </w:p>
        </w:tc>
      </w:tr>
      <w:tr>
        <w:tc>
          <w:tcPr>
            <w:vAlign w:val="top"/>
          </w:tcPr>
          <w:p>
            <w:pPr>
              <w:pStyle w:val="Compact"/>
              <w:jc w:val="left"/>
            </w:pPr>
            <w:r>
              <w:t xml:space="preserve">HOI_t</w:t>
            </w:r>
          </w:p>
        </w:tc>
        <w:tc>
          <w:tcPr>
            <w:vAlign w:val="top"/>
          </w:tcPr>
          <w:p>
            <w:pPr>
              <w:pStyle w:val="Compact"/>
              <w:jc w:val="left"/>
            </w:pPr>
            <w:r>
              <w:t xml:space="preserve">Hollowing-Out Index at time t</w:t>
            </w:r>
          </w:p>
        </w:tc>
      </w:tr>
      <w:tr>
        <w:tc>
          <w:tcPr>
            <w:shd w:val="clear" w:color="auto" w:fill="F7FBFE"/>
            <w:vAlign w:val="top"/>
          </w:tcPr>
          <w:p>
            <w:pPr>
              <w:pStyle w:val="Compact"/>
              <w:jc w:val="left"/>
            </w:pPr>
            <w:r>
              <w:t xml:space="preserve">H_u</w:t>
            </w:r>
          </w:p>
        </w:tc>
        <w:tc>
          <w:tcPr>
            <w:shd w:val="clear" w:color="auto" w:fill="F7FBFE"/>
            <w:vAlign w:val="top"/>
          </w:tcPr>
          <w:p>
            <w:pPr>
              <w:pStyle w:val="Compact"/>
              <w:jc w:val="left"/>
            </w:pPr>
            <w:r>
              <w:t xml:space="preserve">Cohesion component of UCI</w:t>
            </w:r>
          </w:p>
        </w:tc>
      </w:tr>
      <w:tr>
        <w:tc>
          <w:tcPr>
            <w:vAlign w:val="top"/>
          </w:tcPr>
          <w:p>
            <w:pPr>
              <w:pStyle w:val="Compact"/>
              <w:jc w:val="left"/>
            </w:pPr>
            <w:r>
              <w:t xml:space="preserve">F_u</w:t>
            </w:r>
          </w:p>
        </w:tc>
        <w:tc>
          <w:tcPr>
            <w:vAlign w:val="top"/>
          </w:tcPr>
          <w:p>
            <w:pPr>
              <w:pStyle w:val="Compact"/>
              <w:jc w:val="left"/>
            </w:pPr>
            <w:r>
              <w:t xml:space="preserve">Flow component of UCI</w:t>
            </w:r>
          </w:p>
        </w:tc>
      </w:tr>
      <w:tr>
        <w:tc>
          <w:tcPr>
            <w:shd w:val="clear" w:color="auto" w:fill="F7FBFE"/>
            <w:vAlign w:val="top"/>
          </w:tcPr>
          <w:p>
            <w:pPr>
              <w:pStyle w:val="Compact"/>
              <w:jc w:val="left"/>
            </w:pPr>
            <w:r>
              <w:t xml:space="preserve">R_u</w:t>
            </w:r>
          </w:p>
        </w:tc>
        <w:tc>
          <w:tcPr>
            <w:shd w:val="clear" w:color="auto" w:fill="F7FBFE"/>
            <w:vAlign w:val="top"/>
          </w:tcPr>
          <w:p>
            <w:pPr>
              <w:pStyle w:val="Compact"/>
              <w:jc w:val="left"/>
            </w:pPr>
            <w:r>
              <w:t xml:space="preserve">Resilience component of UCI</w:t>
            </w:r>
          </w:p>
        </w:tc>
      </w:tr>
      <w:tr>
        <w:tc>
          <w:tcPr>
            <w:vAlign w:val="top"/>
          </w:tcPr>
          <w:p>
            <w:pPr>
              <w:pStyle w:val="Compact"/>
              <w:jc w:val="left"/>
            </w:pPr>
            <w:r>
              <w:t xml:space="preserve">E_u</w:t>
            </w:r>
          </w:p>
        </w:tc>
        <w:tc>
          <w:tcPr>
            <w:vAlign w:val="top"/>
          </w:tcPr>
          <w:p>
            <w:pPr>
              <w:pStyle w:val="Compact"/>
              <w:jc w:val="left"/>
            </w:pPr>
            <w:r>
              <w:t xml:space="preserve">Equity component of UCI; NA where genuinely inapplicable, UNKNOWN where applicable evidence is missing</w:t>
            </w:r>
          </w:p>
        </w:tc>
      </w:tr>
    </w:tbl>
    <w:bookmarkEnd w:id="340"/>
    <w:bookmarkStart w:id="341" w:name="a12-audit-artifacts"/>
    <w:p>
      <w:pPr>
        <w:pStyle w:val="Heading2"/>
      </w:pPr>
      <w:r>
        <w:rPr>
          <w:bCs/>
          <w:b/>
        </w:rPr>
        <w:t xml:space="preserve">A.12 Audit Artifacts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Symbol</w:t>
            </w:r>
          </w:p>
        </w:tc>
        <w:tc>
          <w:tcPr>
            <w:shd w:val="clear" w:color="auto" w:fill="D9EAF7"/>
            <w:vAlign w:val="center"/>
          </w:tcPr>
          <w:p>
            <w:pPr>
              <w:pStyle w:val="Compact"/>
              <w:jc w:val="left"/>
            </w:pPr>
            <w:r>
              <w:rPr>
                <w:bCs/>
                <w:b/>
                <w:color w:val="17365D"/>
              </w:rPr>
              <w:t xml:space="preserve">Meaning</w:t>
            </w:r>
          </w:p>
        </w:tc>
      </w:tr>
      <w:tr>
        <w:tc>
          <w:tcPr>
            <w:vAlign w:val="top"/>
          </w:tcPr>
          <w:p>
            <w:pPr>
              <w:pStyle w:val="Compact"/>
              <w:jc w:val="left"/>
            </w:pPr>
            <w:r>
              <w:t xml:space="preserve">PCC</w:t>
            </w:r>
          </w:p>
        </w:tc>
        <w:tc>
          <w:tcPr>
            <w:vAlign w:val="top"/>
          </w:tcPr>
          <w:p>
            <w:pPr>
              <w:pStyle w:val="Compact"/>
              <w:jc w:val="left"/>
            </w:pPr>
            <w:r>
              <w:t xml:space="preserve">Provenance and Compliance Certificate</w:t>
            </w:r>
          </w:p>
        </w:tc>
      </w:tr>
      <w:tr>
        <w:tc>
          <w:tcPr>
            <w:shd w:val="clear" w:color="auto" w:fill="F7FBFE"/>
            <w:vAlign w:val="top"/>
          </w:tcPr>
          <w:p>
            <w:pPr>
              <w:pStyle w:val="Compact"/>
              <w:jc w:val="left"/>
            </w:pPr>
            <w:r>
              <w:t xml:space="preserve">5SPR</w:t>
            </w:r>
          </w:p>
        </w:tc>
        <w:tc>
          <w:tcPr>
            <w:shd w:val="clear" w:color="auto" w:fill="F7FBFE"/>
            <w:vAlign w:val="top"/>
          </w:tcPr>
          <w:p>
            <w:pPr>
              <w:pStyle w:val="Compact"/>
              <w:jc w:val="left"/>
            </w:pPr>
            <w:r>
              <w:t xml:space="preserve">Five-Sentence Public Rationale</w:t>
            </w:r>
          </w:p>
        </w:tc>
      </w:tr>
      <w:tr>
        <w:tc>
          <w:tcPr>
            <w:vAlign w:val="top"/>
          </w:tcPr>
          <w:p>
            <w:pPr>
              <w:pStyle w:val="Compact"/>
              <w:jc w:val="left"/>
            </w:pPr>
            <w:r>
              <w:t xml:space="preserve">AIL</w:t>
            </w:r>
          </w:p>
        </w:tc>
        <w:tc>
          <w:tcPr>
            <w:vAlign w:val="top"/>
          </w:tcPr>
          <w:p>
            <w:pPr>
              <w:pStyle w:val="Compact"/>
              <w:jc w:val="left"/>
            </w:pPr>
            <w:r>
              <w:t xml:space="preserve">Artifact Integrity Law (Tier 2-3 integrity rules)</w:t>
            </w:r>
          </w:p>
        </w:tc>
      </w:tr>
      <w:tr>
        <w:tc>
          <w:tcPr>
            <w:shd w:val="clear" w:color="auto" w:fill="F7FBFE"/>
            <w:vAlign w:val="top"/>
          </w:tcPr>
          <w:p>
            <w:pPr>
              <w:pStyle w:val="Compact"/>
              <w:jc w:val="left"/>
            </w:pPr>
            <w:r>
              <w:t xml:space="preserve">Audit flags</w:t>
            </w:r>
          </w:p>
        </w:tc>
        <w:tc>
          <w:tcPr>
            <w:shd w:val="clear" w:color="auto" w:fill="F7FBFE"/>
            <w:vAlign w:val="top"/>
          </w:tcPr>
          <w:p>
            <w:pPr>
              <w:pStyle w:val="Compact"/>
              <w:jc w:val="left"/>
            </w:pPr>
            <w:r>
              <w:t xml:space="preserve">Standard labels for invalidity or warnings (Appendix H)</w:t>
            </w:r>
          </w:p>
        </w:tc>
      </w:tr>
    </w:tbl>
    <w:bookmarkEnd w:id="341"/>
    <w:bookmarkStart w:id="342" w:name="a13-scenario-and-trc-objects"/>
    <w:p>
      <w:pPr>
        <w:pStyle w:val="Heading2"/>
      </w:pPr>
      <w:r>
        <w:rPr>
          <w:bCs/>
          <w:b/>
        </w:rPr>
        <w:t xml:space="preserve">A.13 Scenario and TRC Objects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Symbol</w:t>
            </w:r>
          </w:p>
        </w:tc>
        <w:tc>
          <w:tcPr>
            <w:shd w:val="clear" w:color="auto" w:fill="D9EAF7"/>
            <w:vAlign w:val="center"/>
          </w:tcPr>
          <w:p>
            <w:pPr>
              <w:pStyle w:val="Compact"/>
              <w:jc w:val="left"/>
            </w:pPr>
            <w:r>
              <w:rPr>
                <w:bCs/>
                <w:b/>
                <w:color w:val="17365D"/>
              </w:rPr>
              <w:t xml:space="preserve">Meaning</w:t>
            </w:r>
          </w:p>
        </w:tc>
      </w:tr>
      <w:tr>
        <w:tc>
          <w:tcPr>
            <w:vAlign w:val="top"/>
          </w:tcPr>
          <w:p>
            <w:pPr>
              <w:pStyle w:val="Compact"/>
              <w:jc w:val="left"/>
            </w:pPr>
            <w:r>
              <w:t xml:space="preserve">S</w:t>
            </w:r>
          </w:p>
        </w:tc>
        <w:tc>
          <w:tcPr>
            <w:vAlign w:val="top"/>
          </w:tcPr>
          <w:p>
            <w:pPr>
              <w:pStyle w:val="Compact"/>
              <w:jc w:val="left"/>
            </w:pPr>
            <w:r>
              <w:t xml:space="preserve">Scenario set</w:t>
            </w:r>
          </w:p>
        </w:tc>
      </w:tr>
      <w:tr>
        <w:tc>
          <w:tcPr>
            <w:shd w:val="clear" w:color="auto" w:fill="F7FBFE"/>
            <w:vAlign w:val="top"/>
          </w:tcPr>
          <w:p>
            <w:pPr>
              <w:pStyle w:val="Compact"/>
              <w:jc w:val="left"/>
            </w:pPr>
            <w:r>
              <w:t xml:space="preserve">p_s</w:t>
            </w:r>
          </w:p>
        </w:tc>
        <w:tc>
          <w:tcPr>
            <w:shd w:val="clear" w:color="auto" w:fill="F7FBFE"/>
            <w:vAlign w:val="top"/>
          </w:tcPr>
          <w:p>
            <w:pPr>
              <w:pStyle w:val="Compact"/>
              <w:jc w:val="left"/>
            </w:pPr>
            <w:r>
              <w:t xml:space="preserve">Scenario probability (p_s ≥ 0, Σ_s p_s = 1)</w:t>
            </w:r>
          </w:p>
        </w:tc>
      </w:tr>
      <w:tr>
        <w:tc>
          <w:tcPr>
            <w:vAlign w:val="top"/>
          </w:tcPr>
          <w:p>
            <w:pPr>
              <w:pStyle w:val="Compact"/>
              <w:jc w:val="left"/>
            </w:pPr>
            <w:r>
              <w:t xml:space="preserve">L(a,s)</w:t>
            </w:r>
          </w:p>
        </w:tc>
        <w:tc>
          <w:tcPr>
            <w:vAlign w:val="top"/>
          </w:tcPr>
          <w:p>
            <w:pPr>
              <w:pStyle w:val="Compact"/>
              <w:jc w:val="left"/>
            </w:pPr>
            <w:r>
              <w:t xml:space="preserve">Scenario loss for option a under scenario s</w:t>
            </w:r>
          </w:p>
        </w:tc>
      </w:tr>
      <w:tr>
        <w:tc>
          <w:tcPr>
            <w:shd w:val="clear" w:color="auto" w:fill="F7FBFE"/>
            <w:vAlign w:val="top"/>
          </w:tcPr>
          <w:p>
            <w:pPr>
              <w:pStyle w:val="Compact"/>
              <w:jc w:val="left"/>
            </w:pPr>
            <w:r>
              <w:t xml:space="preserve">ω_c</w:t>
            </w:r>
          </w:p>
        </w:tc>
        <w:tc>
          <w:tcPr>
            <w:shd w:val="clear" w:color="auto" w:fill="F7FBFE"/>
            <w:vAlign w:val="top"/>
          </w:tcPr>
          <w:p>
            <w:pPr>
              <w:pStyle w:val="Compact"/>
              <w:jc w:val="left"/>
            </w:pPr>
            <w:r>
              <w:t xml:space="preserve">Catastrophe cell weight (ω_c ≥ 0, Σ_c ω_c = 1)</w:t>
            </w:r>
          </w:p>
        </w:tc>
      </w:tr>
      <w:tr>
        <w:tc>
          <w:tcPr>
            <w:vAlign w:val="top"/>
          </w:tcPr>
          <w:p>
            <w:pPr>
              <w:pStyle w:val="Compact"/>
              <w:jc w:val="left"/>
            </w:pPr>
            <w:r>
              <w:t xml:space="preserve">p_floor</w:t>
            </w:r>
          </w:p>
        </w:tc>
        <w:tc>
          <w:tcPr>
            <w:vAlign w:val="top"/>
          </w:tcPr>
          <w:p>
            <w:pPr>
              <w:pStyle w:val="Compact"/>
              <w:jc w:val="left"/>
            </w:pPr>
            <w:r>
              <w:t xml:space="preserve">Minimum probability floor per mandatory tail category, default 0.02</w:t>
            </w:r>
          </w:p>
        </w:tc>
      </w:tr>
    </w:tbl>
    <w:bookmarkEnd w:id="342"/>
    <w:bookmarkStart w:id="343" w:name="a14-sgp-v85-integration"/>
    <w:p>
      <w:pPr>
        <w:pStyle w:val="Heading2"/>
      </w:pPr>
      <w:r>
        <w:rPr>
          <w:bCs/>
          <w:b/>
        </w:rPr>
        <w:t xml:space="preserve">A.14 SGP v8.5 Integration</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Symbol</w:t>
            </w:r>
          </w:p>
        </w:tc>
        <w:tc>
          <w:tcPr>
            <w:shd w:val="clear" w:color="auto" w:fill="D9EAF7"/>
            <w:vAlign w:val="center"/>
          </w:tcPr>
          <w:p>
            <w:pPr>
              <w:pStyle w:val="Compact"/>
              <w:jc w:val="left"/>
            </w:pPr>
            <w:r>
              <w:rPr>
                <w:bCs/>
                <w:b/>
                <w:color w:val="17365D"/>
              </w:rPr>
              <w:t xml:space="preserve">Meaning</w:t>
            </w:r>
          </w:p>
        </w:tc>
      </w:tr>
      <w:tr>
        <w:tc>
          <w:tcPr>
            <w:vAlign w:val="top"/>
          </w:tcPr>
          <w:p>
            <w:pPr>
              <w:pStyle w:val="Compact"/>
              <w:jc w:val="left"/>
            </w:pPr>
            <w:r>
              <w:t xml:space="preserve">MPS(E,t)</w:t>
            </w:r>
          </w:p>
        </w:tc>
        <w:tc>
          <w:tcPr>
            <w:vAlign w:val="top"/>
          </w:tcPr>
          <w:p>
            <w:pPr>
              <w:pStyle w:val="Compact"/>
              <w:jc w:val="left"/>
            </w:pPr>
            <w:r>
              <w:t xml:space="preserve">Moral Patienthood Surface: evidence families, band, interval, confidence, and protection posture.</w:t>
            </w:r>
          </w:p>
        </w:tc>
      </w:tr>
      <w:tr>
        <w:tc>
          <w:tcPr>
            <w:shd w:val="clear" w:color="auto" w:fill="F7FBFE"/>
            <w:vAlign w:val="top"/>
          </w:tcPr>
          <w:p>
            <w:pPr>
              <w:pStyle w:val="Compact"/>
              <w:jc w:val="left"/>
            </w:pPr>
            <w:r>
              <w:t xml:space="preserve">RMCP(C,D,t)</w:t>
            </w:r>
          </w:p>
        </w:tc>
        <w:tc>
          <w:tcPr>
            <w:shd w:val="clear" w:color="auto" w:fill="F7FBFE"/>
            <w:vAlign w:val="top"/>
          </w:tcPr>
          <w:p>
            <w:pPr>
              <w:pStyle w:val="Compact"/>
              <w:jc w:val="left"/>
            </w:pPr>
            <w:r>
              <w:t xml:space="preserve">Reality-Management Capacity Profile for a declared entity/collective C, domain D, and time t; informative only.</w:t>
            </w:r>
          </w:p>
        </w:tc>
      </w:tr>
      <w:tr>
        <w:tc>
          <w:tcPr>
            <w:vAlign w:val="top"/>
          </w:tcPr>
          <w:p>
            <w:pPr>
              <w:pStyle w:val="Compact"/>
              <w:jc w:val="left"/>
            </w:pPr>
            <w:r>
              <w:t xml:space="preserve">P100(C)</w:t>
            </w:r>
          </w:p>
        </w:tc>
        <w:tc>
          <w:tcPr>
            <w:vAlign w:val="top"/>
          </w:tcPr>
          <w:p>
            <w:pPr>
              <w:pStyle w:val="Compact"/>
              <w:jc w:val="left"/>
            </w:pPr>
            <w:r>
              <w:t xml:space="preserve">Open top-plateau status for functional equivalence to or greater integrated reality-management capacity than the human collective anchor.</w:t>
            </w:r>
          </w:p>
        </w:tc>
      </w:tr>
      <w:tr>
        <w:tc>
          <w:tcPr>
            <w:shd w:val="clear" w:color="auto" w:fill="F7FBFE"/>
            <w:vAlign w:val="top"/>
          </w:tcPr>
          <w:p>
            <w:pPr>
              <w:pStyle w:val="Compact"/>
              <w:jc w:val="left"/>
            </w:pPr>
            <w:r>
              <w:t xml:space="preserve">FPP(E)</w:t>
            </w:r>
          </w:p>
        </w:tc>
        <w:tc>
          <w:tcPr>
            <w:shd w:val="clear" w:color="auto" w:fill="F7FBFE"/>
            <w:vAlign w:val="top"/>
          </w:tcPr>
          <w:p>
            <w:pPr>
              <w:pStyle w:val="Compact"/>
              <w:jc w:val="left"/>
            </w:pPr>
            <w:r>
              <w:t xml:space="preserve">Full Protection Plateau: constitutional or governed non-downgrade rights-of-protection status.</w:t>
            </w:r>
          </w:p>
        </w:tc>
      </w:tr>
      <w:tr>
        <w:tc>
          <w:tcPr>
            <w:vAlign w:val="top"/>
          </w:tcPr>
          <w:p>
            <w:pPr>
              <w:pStyle w:val="Compact"/>
              <w:jc w:val="left"/>
            </w:pPr>
            <w:r>
              <w:t xml:space="preserve">GPR(E,r,t)</w:t>
            </w:r>
          </w:p>
        </w:tc>
        <w:tc>
          <w:tcPr>
            <w:vAlign w:val="top"/>
          </w:tcPr>
          <w:p>
            <w:pPr>
              <w:pStyle w:val="Compact"/>
              <w:jc w:val="left"/>
            </w:pPr>
            <w:r>
              <w:t xml:space="preserve">Governance Participation Readiness for a named process or institution.</w:t>
            </w:r>
          </w:p>
        </w:tc>
      </w:tr>
      <w:tr>
        <w:tc>
          <w:tcPr>
            <w:shd w:val="clear" w:color="auto" w:fill="F7FBFE"/>
            <w:vAlign w:val="top"/>
          </w:tcPr>
          <w:p>
            <w:pPr>
              <w:pStyle w:val="Compact"/>
              <w:jc w:val="left"/>
            </w:pPr>
            <w:r>
              <w:t xml:space="preserve">SPR(E,r,t)</w:t>
            </w:r>
          </w:p>
        </w:tc>
        <w:tc>
          <w:tcPr>
            <w:shd w:val="clear" w:color="auto" w:fill="F7FBFE"/>
            <w:vAlign w:val="top"/>
          </w:tcPr>
          <w:p>
            <w:pPr>
              <w:pStyle w:val="Compact"/>
              <w:jc w:val="left"/>
            </w:pPr>
            <w:r>
              <w:t xml:space="preserve">Stewardship/Power Readiness verdict for a named consequential role.</w:t>
            </w:r>
          </w:p>
        </w:tc>
      </w:tr>
      <w:tr>
        <w:tc>
          <w:tcPr>
            <w:vAlign w:val="top"/>
          </w:tcPr>
          <w:p>
            <w:pPr>
              <w:pStyle w:val="Compact"/>
              <w:jc w:val="left"/>
            </w:pPr>
            <w:r>
              <w:t xml:space="preserve">ICP(E,D,t)</w:t>
            </w:r>
          </w:p>
        </w:tc>
        <w:tc>
          <w:tcPr>
            <w:vAlign w:val="top"/>
          </w:tcPr>
          <w:p>
            <w:pPr>
              <w:pStyle w:val="Compact"/>
              <w:jc w:val="left"/>
            </w:pPr>
            <w:r>
              <w:t xml:space="preserve">Optional Intelligence Capacity Profile for a declared domain; informative only.</w:t>
            </w:r>
          </w:p>
        </w:tc>
      </w:tr>
      <w:tr>
        <w:tc>
          <w:tcPr>
            <w:shd w:val="clear" w:color="auto" w:fill="F7FBFE"/>
            <w:vAlign w:val="top"/>
          </w:tcPr>
          <w:p>
            <w:pPr>
              <w:pStyle w:val="Compact"/>
              <w:jc w:val="left"/>
            </w:pPr>
            <w:r>
              <w:t xml:space="preserve">h_k</w:t>
            </w:r>
          </w:p>
        </w:tc>
        <w:tc>
          <w:tcPr>
            <w:shd w:val="clear" w:color="auto" w:fill="F7FBFE"/>
            <w:vAlign w:val="top"/>
          </w:tcPr>
          <w:p>
            <w:pPr>
              <w:pStyle w:val="Compact"/>
              <w:jc w:val="left"/>
            </w:pPr>
            <w:r>
              <w:t xml:space="preserve">Welfare-inclusion hypothesis coefficient used in robust RLS sensitivity; ordinarily 0 or 1, with h_k=1 for humans and FPP entities.</w:t>
            </w:r>
          </w:p>
        </w:tc>
      </w:tr>
    </w:tbl>
    <w:p>
      <w:pPr>
        <w:pStyle w:val="BodyText"/>
      </w:pPr>
      <w:r>
        <w:t xml:space="preserve">End Appendix A.</w:t>
      </w:r>
    </w:p>
    <w:bookmarkEnd w:id="343"/>
    <w:bookmarkEnd w:id="344"/>
    <w:bookmarkStart w:id="365" w:name="X0dd11ef948f363d18a496ae2ba3aeff938adf34"/>
    <w:p>
      <w:pPr>
        <w:pStyle w:val="Heading1"/>
      </w:pPr>
      <w:bookmarkStart w:id="787" w:name="mg_toc_023"/>
      <w:r>
        <w:rPr>
          <w:bCs/>
          <w:b/>
        </w:rPr>
        <w:t xml:space="preserve">APPENDIX B: CANONICAL EQUATIONS (TIER 1-3 EXECUTABLE)</w:t>
      </w:r>
      <w:bookmarkEnd w:id="787"/>
    </w:p>
    <w:p>
      <w:pPr>
        <w:pStyle w:val="FirstParagraph"/>
      </w:pPr>
      <w:r>
        <w:t xml:space="preserve">Appendix B is normative and is the canonical equation pack for Tier 1-3 implementations. All equations are reproduced explicitly for standalone executability.</w:t>
      </w:r>
    </w:p>
    <w:bookmarkStart w:id="345" w:name="b1-temporal-weighting"/>
    <w:p>
      <w:pPr>
        <w:pStyle w:val="Heading2"/>
      </w:pPr>
      <w:r>
        <w:rPr>
          <w:bCs/>
          <w:b/>
        </w:rPr>
        <w:t xml:space="preserve">B.1 Temporal Weighting</w:t>
      </w:r>
    </w:p>
    <w:p>
      <w:pPr>
        <w:pStyle w:val="FirstParagraph"/>
      </w:pPr>
      <w:r>
        <w:t xml:space="preserve">Defaults: T_ref = 25 years; t_min = 0.083 years (≈1 month).</w:t>
      </w:r>
    </w:p>
    <w:p>
      <w:pPr>
        <w:pStyle w:val="BodyText"/>
      </w:pPr>
      <w:r>
        <w:t xml:space="preserve">τ(t) = min(1, ln(1 + max(t, t_min)) / ln(1 + T_ref))</w:t>
      </w:r>
    </w:p>
    <w:p>
      <w:pPr>
        <w:pStyle w:val="BodyText"/>
      </w:pPr>
      <w:r>
        <w:t xml:space="preserve">This function has three properties by construction:</w:t>
      </w:r>
    </w:p>
    <w:p>
      <w:pPr>
        <w:pStyle w:val="BodyText"/>
      </w:pPr>
      <w:r>
        <w:t xml:space="preserve">(a) Logarithmic growth ensures that short-term effects receive proportionally less weight than long-term effects, without the exponential discounting that aggressively devalues future generations.</w:t>
      </w:r>
    </w:p>
    <w:p>
      <w:pPr>
        <w:pStyle w:val="BodyText"/>
      </w:pPr>
      <w:r>
        <w:t xml:space="preserve">(b) The min(1, ·) cap ensures that no effect receives more temporal weight than the governance reference horizon. At T_ref, τ = 1.00. Beyond T_ref, τ remains 1.00 (capped).</w:t>
      </w:r>
    </w:p>
    <w:p>
      <w:pPr>
        <w:pStyle w:val="BodyText"/>
      </w:pPr>
      <w:r>
        <w:t xml:space="preserve">(c) The max(t, t_min) floor ensures that τ(t) &gt; 0 for all positive t, preventing very short-term effects from being zeroed out.</w:t>
      </w:r>
    </w:p>
    <w:p>
      <w:pPr>
        <w:pStyle w:val="BodyText"/>
      </w:pPr>
      <w:r>
        <w:t xml:space="preserve">Illustrative values (with defaults T_ref = 25, t_min = 0.083):</w:t>
      </w:r>
    </w:p>
    <w:p>
      <w:pPr>
        <w:pStyle w:val="BodyText"/>
      </w:pPr>
      <w:r>
        <w:t xml:space="preserve">At 100 years: τ = 1.00 (capped)</w:t>
      </w:r>
    </w:p>
    <w:p>
      <w:pPr>
        <w:pStyle w:val="BodyText"/>
      </w:pPr>
      <w:r>
        <w:t xml:space="preserve">At 50 years: τ = 1.00 (capped)</w:t>
      </w:r>
    </w:p>
    <w:p>
      <w:pPr>
        <w:pStyle w:val="BodyText"/>
      </w:pPr>
      <w:r>
        <w:t xml:space="preserve">At 25 years: τ = 1.00</w:t>
      </w:r>
    </w:p>
    <w:p>
      <w:pPr>
        <w:pStyle w:val="BodyText"/>
      </w:pPr>
      <w:r>
        <w:t xml:space="preserve">At 10 years: τ ≈ 0.74</w:t>
      </w:r>
    </w:p>
    <w:p>
      <w:pPr>
        <w:pStyle w:val="BodyText"/>
      </w:pPr>
      <w:r>
        <w:t xml:space="preserve">At 5 years: τ ≈ 0.55</w:t>
      </w:r>
    </w:p>
    <w:p>
      <w:pPr>
        <w:pStyle w:val="BodyText"/>
      </w:pPr>
      <w:r>
        <w:t xml:space="preserve">At 1 year: τ ≈ 0.21</w:t>
      </w:r>
    </w:p>
    <w:p>
      <w:pPr>
        <w:pStyle w:val="BodyText"/>
      </w:pPr>
      <w:r>
        <w:t xml:space="preserve">At t_min (≈1 month): τ ≈ 0.025</w:t>
      </w:r>
    </w:p>
    <w:p>
      <w:pPr>
        <w:pStyle w:val="BodyText"/>
      </w:pPr>
      <w:r>
        <w:t xml:space="preserve">Historical change note (v7.5.0; carried forward unchanged in v9.0): This replaces the uncapped function τ(t) = ln(1+t)/ln(1+T_ref) from v7.4.5, which produced τ(50) ≈ 1.22. The capped version is normatively preferred. See Section 5.3 for design rationale.</w:t>
      </w:r>
    </w:p>
    <w:bookmarkEnd w:id="345"/>
    <w:bookmarkStart w:id="346" w:name="Xc5b4030eb667988f868774c4272995ff62bf1ea"/>
    <w:p>
      <w:pPr>
        <w:pStyle w:val="Heading2"/>
      </w:pPr>
      <w:r>
        <w:rPr>
          <w:bCs/>
          <w:b/>
        </w:rPr>
        <w:t xml:space="preserve">B.2 Direct Impact Aggregation (Pre-Saturation; stream-separated)</w:t>
      </w:r>
    </w:p>
    <w:bookmarkEnd w:id="346"/>
    <w:bookmarkStart w:id="347" w:name="b2a-base-stream-admissibility-h_k1"/>
    <w:p>
      <w:pPr>
        <w:pStyle w:val="Heading2"/>
      </w:pPr>
      <w:r>
        <w:rPr>
          <w:bCs/>
          <w:b/>
        </w:rPr>
        <w:t xml:space="preserve">B.2A Base stream (admissibility; h_k:=1):</w:t>
      </w:r>
    </w:p>
    <w:p>
      <w:pPr>
        <w:pStyle w:val="FirstParagraph"/>
      </w:pPr>
      <w:r>
        <w:t xml:space="preserve">Ĩ_dir_base(u,d,a) = Σ_{k ∈ K(u,d,a)} [r_k × τ(t_k) × ℓ_k × c_k × e_k × (1) × μ_k]</w:t>
      </w:r>
    </w:p>
    <w:p>
      <w:pPr>
        <w:pStyle w:val="BodyText"/>
      </w:pPr>
      <w:r>
        <w:t xml:space="preserve">B.2A Gate-critical confidence guard. In the Base stream used by RF/NCRC, TRC, and CSV, c_k represents evidence support but cannot by itself excuse unresolved severe adverse gate-critical impacts. Apply GateAdverseBound(k) from Section 5.2: use the most adverse admissible harm endpoint and least favourable gate-supporting endpoint; if only c_k is available, set c_gate,k:=1 for adverse gate computation and retain c_gate,k:=c_k for beneficial safety claims. If the bound is not reproducible and the gate could change, return UNKNOWN, ESCALATE, NARROW, or REFUSE rather than PASS.</w:t>
      </w:r>
    </w:p>
    <w:bookmarkEnd w:id="347"/>
    <w:bookmarkStart w:id="348" w:name="X91f9e55dee887ef1a730c61facf1324ca5dd91b"/>
    <w:p>
      <w:pPr>
        <w:pStyle w:val="Heading2"/>
      </w:pPr>
      <w:r>
        <w:rPr>
          <w:bCs/>
          <w:b/>
        </w:rPr>
        <w:t xml:space="preserve">B.2B Welfare stream (RLS; welfare-inclusion hypotheses):</w:t>
      </w:r>
    </w:p>
    <w:p>
      <w:pPr>
        <w:pStyle w:val="FirstParagraph"/>
      </w:pPr>
      <w:r>
        <w:t xml:space="preserve">Ĩ_dir_welfare(u,d,a;h) = Σ_{k ∈ K(u,d,a)} [r_k × τ(t_k) × ℓ_k × c_k × e_k × h_{k,welfare} × μ_k]</w:t>
      </w:r>
    </w:p>
    <w:p>
      <w:pPr>
        <w:pStyle w:val="BodyText"/>
      </w:pPr>
      <w:r>
        <w:t xml:space="preserve">Here h_{k,welfare}^{(j)} is selected from the governed welfare-inclusion hypothesis set only for a declared sensitivity evaluation j; the Base stream (B.2A) fixes h_k:=1.0 for all instances. MPS bands or intervals MUST NOT be substituted directly for h_k. A representative display may be shown only if all decision-material hypothesis results are also reported.</w:t>
      </w:r>
    </w:p>
    <w:p>
      <w:pPr>
        <w:pStyle w:val="BodyText"/>
      </w:pPr>
      <w:r>
        <w:t xml:space="preserve">Where K(u,d,a) is the set of impact instances asserted for cell (u,d) under option a.</w:t>
      </w:r>
    </w:p>
    <w:bookmarkEnd w:id="348"/>
    <w:bookmarkStart w:id="349" w:name="b3-direct-saturation-per-stream"/>
    <w:p>
      <w:pPr>
        <w:pStyle w:val="Heading2"/>
      </w:pPr>
      <w:r>
        <w:rPr>
          <w:bCs/>
          <w:b/>
        </w:rPr>
        <w:t xml:space="preserve">B.3 Direct Saturation (per stream)</w:t>
      </w:r>
    </w:p>
    <w:p>
      <w:pPr>
        <w:pStyle w:val="FirstParagraph"/>
      </w:pPr>
      <w:r>
        <w:t xml:space="preserve">For x ∈ {base, welfare}:</w:t>
      </w:r>
    </w:p>
    <w:p>
      <w:pPr>
        <w:pStyle w:val="BodyText"/>
      </w:pPr>
      <w:r>
        <w:t xml:space="preserve">I_dir_x(u,d,a) = tanh(β × Ĩ_dir_x(u,d,a))</w:t>
      </w:r>
    </w:p>
    <w:p>
      <w:pPr>
        <w:pStyle w:val="BodyText"/>
      </w:pPr>
      <w:r>
        <w:t xml:space="preserve">Default: β = 2.</w:t>
      </w:r>
    </w:p>
    <w:bookmarkEnd w:id="349"/>
    <w:bookmarkStart w:id="350" w:name="X65e94bf6ea706413e06bf43519560a489971819"/>
    <w:p>
      <w:pPr>
        <w:pStyle w:val="Heading2"/>
      </w:pPr>
      <w:r>
        <w:rPr>
          <w:bCs/>
          <w:b/>
        </w:rPr>
        <w:t xml:space="preserve">B.4 Missing Data (Ignorance Penalty Phantom Instance)</w:t>
      </w:r>
    </w:p>
    <w:p>
      <w:pPr>
        <w:pStyle w:val="FirstParagraph"/>
      </w:pPr>
      <w:r>
        <w:t xml:space="preserve">If cell (u,d) is required-active but K(u,d,a) = ∅, add phantom instance with:</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Parameter</w:t>
            </w:r>
          </w:p>
        </w:tc>
        <w:tc>
          <w:tcPr>
            <w:shd w:val="clear" w:color="auto" w:fill="D9EAF7"/>
            <w:vAlign w:val="center"/>
          </w:tcPr>
          <w:p>
            <w:pPr>
              <w:pStyle w:val="Compact"/>
              <w:jc w:val="left"/>
            </w:pPr>
            <w:r>
              <w:rPr>
                <w:bCs/>
                <w:b/>
                <w:color w:val="17365D"/>
              </w:rPr>
              <w:t xml:space="preserve">Phantom Value</w:t>
            </w:r>
          </w:p>
        </w:tc>
      </w:tr>
      <w:tr>
        <w:tc>
          <w:tcPr>
            <w:vAlign w:val="top"/>
          </w:tcPr>
          <w:p>
            <w:pPr>
              <w:pStyle w:val="Compact"/>
              <w:jc w:val="left"/>
            </w:pPr>
            <w:r>
              <w:t xml:space="preserve">μ_phantom</w:t>
            </w:r>
          </w:p>
        </w:tc>
        <w:tc>
          <w:tcPr>
            <w:vAlign w:val="top"/>
          </w:tcPr>
          <w:p>
            <w:pPr>
              <w:pStyle w:val="Compact"/>
              <w:jc w:val="left"/>
            </w:pPr>
            <w:r>
              <w:t xml:space="preserve">-0.10</w:t>
            </w:r>
          </w:p>
        </w:tc>
      </w:tr>
      <w:tr>
        <w:tc>
          <w:tcPr>
            <w:shd w:val="clear" w:color="auto" w:fill="F7FBFE"/>
            <w:vAlign w:val="top"/>
          </w:tcPr>
          <w:p>
            <w:pPr>
              <w:pStyle w:val="Compact"/>
              <w:jc w:val="left"/>
            </w:pPr>
            <w:r>
              <w:t xml:space="preserve">r</w:t>
            </w:r>
          </w:p>
        </w:tc>
        <w:tc>
          <w:tcPr>
            <w:shd w:val="clear" w:color="auto" w:fill="F7FBFE"/>
            <w:vAlign w:val="top"/>
          </w:tcPr>
          <w:p>
            <w:pPr>
              <w:pStyle w:val="Compact"/>
              <w:jc w:val="left"/>
            </w:pPr>
            <w:r>
              <w:t xml:space="preserve">1</w:t>
            </w:r>
          </w:p>
        </w:tc>
      </w:tr>
      <w:tr>
        <w:tc>
          <w:tcPr>
            <w:vAlign w:val="top"/>
          </w:tcPr>
          <w:p>
            <w:pPr>
              <w:pStyle w:val="Compact"/>
              <w:jc w:val="left"/>
            </w:pPr>
            <w:r>
              <w:t xml:space="preserve">t</w:t>
            </w:r>
          </w:p>
        </w:tc>
        <w:tc>
          <w:tcPr>
            <w:vAlign w:val="top"/>
          </w:tcPr>
          <w:p>
            <w:pPr>
              <w:pStyle w:val="Compact"/>
              <w:jc w:val="left"/>
            </w:pPr>
            <w:r>
              <w:t xml:space="preserve">T_ref (25 years)</w:t>
            </w:r>
          </w:p>
        </w:tc>
      </w:tr>
      <w:tr>
        <w:tc>
          <w:tcPr>
            <w:shd w:val="clear" w:color="auto" w:fill="F7FBFE"/>
            <w:vAlign w:val="top"/>
          </w:tcPr>
          <w:p>
            <w:pPr>
              <w:pStyle w:val="Compact"/>
              <w:jc w:val="left"/>
            </w:pPr>
            <w:r>
              <w:t xml:space="preserve">ℓ</w:t>
            </w:r>
          </w:p>
        </w:tc>
        <w:tc>
          <w:tcPr>
            <w:shd w:val="clear" w:color="auto" w:fill="F7FBFE"/>
            <w:vAlign w:val="top"/>
          </w:tcPr>
          <w:p>
            <w:pPr>
              <w:pStyle w:val="Compact"/>
              <w:jc w:val="left"/>
            </w:pPr>
            <w:r>
              <w:t xml:space="preserve">1</w:t>
            </w:r>
          </w:p>
        </w:tc>
      </w:tr>
      <w:tr>
        <w:tc>
          <w:tcPr>
            <w:vAlign w:val="top"/>
          </w:tcPr>
          <w:p>
            <w:pPr>
              <w:pStyle w:val="Compact"/>
              <w:jc w:val="left"/>
            </w:pPr>
            <w:r>
              <w:t xml:space="preserve">c</w:t>
            </w:r>
          </w:p>
        </w:tc>
        <w:tc>
          <w:tcPr>
            <w:vAlign w:val="top"/>
          </w:tcPr>
          <w:p>
            <w:pPr>
              <w:pStyle w:val="Compact"/>
              <w:jc w:val="left"/>
            </w:pPr>
            <w:r>
              <w:t xml:space="preserve">1</w:t>
            </w:r>
          </w:p>
        </w:tc>
      </w:tr>
      <w:tr>
        <w:tc>
          <w:tcPr>
            <w:shd w:val="clear" w:color="auto" w:fill="F7FBFE"/>
            <w:vAlign w:val="top"/>
          </w:tcPr>
          <w:p>
            <w:pPr>
              <w:pStyle w:val="Compact"/>
              <w:jc w:val="left"/>
            </w:pPr>
            <w:r>
              <w:t xml:space="preserve">e</w:t>
            </w:r>
          </w:p>
        </w:tc>
        <w:tc>
          <w:tcPr>
            <w:shd w:val="clear" w:color="auto" w:fill="F7FBFE"/>
            <w:vAlign w:val="top"/>
          </w:tcPr>
          <w:p>
            <w:pPr>
              <w:pStyle w:val="Compact"/>
              <w:jc w:val="left"/>
            </w:pPr>
            <w:r>
              <w:t xml:space="preserve">1</w:t>
            </w:r>
          </w:p>
        </w:tc>
      </w:tr>
      <w:tr>
        <w:tc>
          <w:tcPr>
            <w:vAlign w:val="top"/>
          </w:tcPr>
          <w:p>
            <w:pPr>
              <w:pStyle w:val="Compact"/>
              <w:jc w:val="left"/>
            </w:pPr>
            <w:r>
              <w:t xml:space="preserve">h_{k,base}</w:t>
            </w:r>
          </w:p>
        </w:tc>
        <w:tc>
          <w:tcPr>
            <w:vAlign w:val="top"/>
          </w:tcPr>
          <w:p>
            <w:pPr>
              <w:pStyle w:val="Compact"/>
              <w:jc w:val="left"/>
            </w:pPr>
            <w:r>
              <w:t xml:space="preserve">1</w:t>
            </w:r>
          </w:p>
        </w:tc>
      </w:tr>
      <w:tr>
        <w:tc>
          <w:tcPr>
            <w:shd w:val="clear" w:color="auto" w:fill="F7FBFE"/>
            <w:vAlign w:val="top"/>
          </w:tcPr>
          <w:p>
            <w:pPr>
              <w:pStyle w:val="Compact"/>
              <w:jc w:val="left"/>
            </w:pPr>
            <w:r>
              <w:t xml:space="preserve">h_{k,welfare}</w:t>
            </w:r>
          </w:p>
        </w:tc>
        <w:tc>
          <w:tcPr>
            <w:shd w:val="clear" w:color="auto" w:fill="F7FBFE"/>
            <w:vAlign w:val="top"/>
          </w:tcPr>
          <w:p>
            <w:pPr>
              <w:pStyle w:val="Compact"/>
              <w:jc w:val="left"/>
            </w:pPr>
            <w:r>
              <w:t xml:space="preserve">1</w:t>
            </w:r>
          </w:p>
        </w:tc>
      </w:tr>
    </w:tbl>
    <w:bookmarkEnd w:id="350"/>
    <w:bookmarkStart w:id="351" w:name="b5-flattening-map-kernel-indexing"/>
    <w:p>
      <w:pPr>
        <w:pStyle w:val="Heading2"/>
      </w:pPr>
      <w:r>
        <w:rPr>
          <w:bCs/>
          <w:b/>
        </w:rPr>
        <w:t xml:space="preserve">B.5 Flattening Map (Kernel Indexing)</w:t>
      </w:r>
    </w:p>
    <w:p>
      <w:pPr>
        <w:pStyle w:val="FirstParagraph"/>
      </w:pPr>
      <w:r>
        <w:t xml:space="preserve">Vectorize I_dir into a 49-vector by:</w:t>
      </w:r>
    </w:p>
    <w:p>
      <w:pPr>
        <w:pStyle w:val="BodyText"/>
      </w:pPr>
      <w:r>
        <w:t xml:space="preserve">i = φ(u,d) = 7(u − 1) + d</w:t>
      </w:r>
    </w:p>
    <w:bookmarkEnd w:id="351"/>
    <w:bookmarkStart w:id="352" w:name="X32925d8a01a0e615b1ebd530de4c0176fa81698"/>
    <w:p>
      <w:pPr>
        <w:pStyle w:val="Heading2"/>
      </w:pPr>
      <w:r>
        <w:rPr>
          <w:bCs/>
          <w:b/>
        </w:rPr>
        <w:t xml:space="preserve">B.6 Propagation Modes (Tier 1-3: NONE and QUICK only)</w:t>
      </w:r>
    </w:p>
    <w:p>
      <w:pPr>
        <w:pStyle w:val="FirstParagraph"/>
      </w:pPr>
      <w:r>
        <w:t xml:space="preserve">NONE:</w:t>
      </w:r>
    </w:p>
    <w:p>
      <w:pPr>
        <w:pStyle w:val="BodyText"/>
      </w:pPr>
      <w:r>
        <w:t xml:space="preserve">For x ∈ {base, welfare}: I_prop_x := I_dir_x</w:t>
      </w:r>
    </w:p>
    <w:p>
      <w:pPr>
        <w:pStyle w:val="BodyText"/>
      </w:pPr>
      <w:r>
        <w:t xml:space="preserve">QUICK:</w:t>
      </w:r>
    </w:p>
    <w:p>
      <w:pPr>
        <w:pStyle w:val="BodyText"/>
      </w:pPr>
      <w:r>
        <w:t xml:space="preserve">For stream x ∈ {base, welfare}: Ĩ_prop_x = I_dir_x + K × I_dir_x</w:t>
      </w:r>
    </w:p>
    <w:p>
      <w:pPr>
        <w:pStyle w:val="BodyText"/>
      </w:pPr>
      <w:r>
        <w:t xml:space="preserve">Then apply post-propagation saturation (B.7).</w:t>
      </w:r>
    </w:p>
    <w:bookmarkEnd w:id="352"/>
    <w:bookmarkStart w:id="353" w:name="X721e1a882492d343483632bb7abb4ec4583e7e5"/>
    <w:p>
      <w:pPr>
        <w:pStyle w:val="Heading2"/>
      </w:pPr>
      <w:r>
        <w:rPr>
          <w:bCs/>
          <w:b/>
        </w:rPr>
        <w:t xml:space="preserve">B.7 Post-Propagation Saturation (per stream)</w:t>
      </w:r>
    </w:p>
    <w:p>
      <w:pPr>
        <w:pStyle w:val="FirstParagraph"/>
      </w:pPr>
      <w:r>
        <w:t xml:space="preserve">For x ∈ {base, welfare}:</w:t>
      </w:r>
    </w:p>
    <w:p>
      <w:pPr>
        <w:pStyle w:val="BodyText"/>
      </w:pPr>
      <w:r>
        <w:t xml:space="preserve">I_prop_x(u,d,a) = tanh(β_prop × Ĩ_prop_x(u,d,a))</w:t>
      </w:r>
    </w:p>
    <w:p>
      <w:pPr>
        <w:pStyle w:val="BodyText"/>
      </w:pPr>
      <w:r>
        <w:t xml:space="preserve">Default: β_prop = 1.</w:t>
      </w:r>
    </w:p>
    <w:bookmarkEnd w:id="353"/>
    <w:bookmarkStart w:id="354" w:name="b8-worst-off-subgroup-impact-rights"/>
    <w:p>
      <w:pPr>
        <w:pStyle w:val="Heading2"/>
      </w:pPr>
      <w:r>
        <w:rPr>
          <w:bCs/>
          <w:b/>
        </w:rPr>
        <w:t xml:space="preserve">B.8 Worst-Off Subgroup Impact (Rights)</w:t>
      </w:r>
    </w:p>
    <w:p>
      <w:pPr>
        <w:pStyle w:val="FirstParagraph"/>
      </w:pPr>
      <w:r>
        <w:t xml:space="preserve">I_rights(u,d,a,r) = min_{g ∈ G_RF(u,d,a,r)} I_RF(u,d,a|g,r)</w:t>
      </w:r>
    </w:p>
    <w:bookmarkEnd w:id="354"/>
    <w:bookmarkStart w:id="355" w:name="X2eceac8122fa62416d8e7b72439e7326310fc43"/>
    <w:p>
      <w:pPr>
        <w:pStyle w:val="Heading2"/>
      </w:pPr>
      <w:r>
        <w:rPr>
          <w:bCs/>
          <w:b/>
        </w:rPr>
        <w:t xml:space="preserve">B.9 NCRC Violation Depth and Rights Admissibility</w:t>
      </w:r>
    </w:p>
    <w:p>
      <w:pPr>
        <w:pStyle w:val="FirstParagraph"/>
      </w:pPr>
      <w:r>
        <w:t xml:space="preserve">For each right</w:t>
      </w:r>
      <w:r>
        <w:t xml:space="preserve"> </w:t>
      </w:r>
      <w:r>
        <w:rPr>
          <w:rStyle w:val="VerbatimChar"/>
        </w:rPr>
        <w:t xml:space="preserve">r</w:t>
      </w:r>
      <w:r>
        <w:t xml:space="preserve">, define three independent violation channels using Section 7.4 inputs:</w:t>
      </w:r>
    </w:p>
    <w:p>
      <w:pPr>
        <w:pStyle w:val="BodyText"/>
      </w:pPr>
      <w:r>
        <w:rPr>
          <w:rStyle w:val="VerbatimChar"/>
        </w:rPr>
        <w:t xml:space="preserve">v_r^floor(a) = max_{(u,d) in C_r} (theta_r - I_rights(u,d,a))^+</w:t>
      </w:r>
    </w:p>
    <w:p>
      <w:pPr>
        <w:pStyle w:val="BodyText"/>
      </w:pPr>
      <w:r>
        <w:rPr>
          <w:rStyle w:val="VerbatimChar"/>
        </w:rPr>
        <w:t xml:space="preserve">v_r^cat(a) = max_{k in K_r(a)} z_{k,r}</w:t>
      </w:r>
    </w:p>
    <w:p>
      <w:pPr>
        <w:pStyle w:val="BodyText"/>
      </w:pPr>
      <w:r>
        <w:rPr>
          <w:rStyle w:val="VerbatimChar"/>
        </w:rPr>
        <w:t xml:space="preserve">v_r^risk(a) = max_{k in K_r(a): SevereRightsHazardActive(k,r)} (p_{k,r}^U - rho_r)^+</w:t>
      </w:r>
    </w:p>
    <w:p>
      <w:pPr>
        <w:pStyle w:val="BodyText"/>
      </w:pPr>
      <w:r>
        <w:t xml:space="preserve">where</w:t>
      </w:r>
      <w:r>
        <w:t xml:space="preserve"> </w:t>
      </w:r>
      <w:r>
        <w:rPr>
          <w:rStyle w:val="VerbatimChar"/>
        </w:rPr>
        <w:t xml:space="preserve">(x)^+ = max(x,0)</w:t>
      </w:r>
      <w:r>
        <w:t xml:space="preserve">,</w:t>
      </w:r>
      <w:r>
        <w:t xml:space="preserve"> </w:t>
      </w:r>
      <w:r>
        <w:rPr>
          <w:rStyle w:val="VerbatimChar"/>
        </w:rPr>
        <w:t xml:space="preserve">z_{k,r}</w:t>
      </w:r>
      <w:r>
        <w:t xml:space="preserve"> </w:t>
      </w:r>
      <w:r>
        <w:t xml:space="preserve">is the categorical-prohibition indicator,</w:t>
      </w:r>
      <w:r>
        <w:t xml:space="preserve"> </w:t>
      </w:r>
      <w:r>
        <w:rPr>
          <w:rStyle w:val="VerbatimChar"/>
        </w:rPr>
        <w:t xml:space="preserve">h_{sev,k,r}</w:t>
      </w:r>
      <w:r>
        <w:t xml:space="preserve"> </w:t>
      </w:r>
      <w:r>
        <w:t xml:space="preserve">is intrinsic rights severity,</w:t>
      </w:r>
      <w:r>
        <w:t xml:space="preserve"> </w:t>
      </w:r>
      <w:r>
        <w:rPr>
          <w:rStyle w:val="VerbatimChar"/>
        </w:rPr>
        <w:t xml:space="preserve">p_{k,r}^U</w:t>
      </w:r>
      <w:r>
        <w:t xml:space="preserve"> </w:t>
      </w:r>
      <w:r>
        <w:t xml:space="preserve">is the conservative upper event-probability bound, and</w:t>
      </w:r>
      <w:r>
        <w:t xml:space="preserve"> </w:t>
      </w:r>
      <w:r>
        <w:rPr>
          <w:rStyle w:val="VerbatimChar"/>
        </w:rPr>
        <w:t xml:space="preserve">rho_r</w:t>
      </w:r>
      <w:r>
        <w:t xml:space="preserve"> </w:t>
      </w:r>
      <w:r>
        <w:t xml:space="preserve">is the governed rights-risk tolerance.</w:t>
      </w:r>
    </w:p>
    <w:p>
      <w:pPr>
        <w:pStyle w:val="BodyText"/>
      </w:pPr>
      <w:r>
        <w:t xml:space="preserve">If any required severe-hazard field is missing, the right receives</w:t>
      </w:r>
      <w:r>
        <w:t xml:space="preserve"> </w:t>
      </w:r>
      <w:r>
        <w:rPr>
          <w:rStyle w:val="VerbatimChar"/>
        </w:rPr>
        <w:t xml:space="preserve">NCRC_UNKNOWN</w:t>
      </w:r>
      <w:r>
        <w:t xml:space="preserve">; missing data MUST NOT be converted to zero.</w:t>
      </w:r>
    </w:p>
    <w:p>
      <w:pPr>
        <w:pStyle w:val="BodyText"/>
      </w:pPr>
      <w:r>
        <w:rPr>
          <w:rStyle w:val="VerbatimChar"/>
        </w:rPr>
        <w:t xml:space="preserve">NCRC(a) = TRUE</w:t>
      </w:r>
      <w:r>
        <w:t xml:space="preserve"> </w:t>
      </w:r>
      <w:r>
        <w:t xml:space="preserve">if and only if, for every protected right</w:t>
      </w:r>
      <w:r>
        <w:t xml:space="preserve"> </w:t>
      </w:r>
      <w:r>
        <w:rPr>
          <w:rStyle w:val="VerbatimChar"/>
        </w:rPr>
        <w:t xml:space="preserve">r</w:t>
      </w:r>
      <w:r>
        <w:t xml:space="preserve">,</w:t>
      </w:r>
      <w:r>
        <w:t xml:space="preserve"> </w:t>
      </w:r>
      <w:r>
        <w:rPr>
          <w:rStyle w:val="VerbatimChar"/>
        </w:rPr>
        <w:t xml:space="preserve">v_r^floor(a)=0</w:t>
      </w:r>
      <w:r>
        <w:t xml:space="preserve">,</w:t>
      </w:r>
      <w:r>
        <w:t xml:space="preserve"> </w:t>
      </w:r>
      <w:r>
        <w:rPr>
          <w:rStyle w:val="VerbatimChar"/>
        </w:rPr>
        <w:t xml:space="preserve">v_r^cat(a)=0</w:t>
      </w:r>
      <w:r>
        <w:t xml:space="preserve">,</w:t>
      </w:r>
      <w:r>
        <w:t xml:space="preserve"> </w:t>
      </w:r>
      <w:r>
        <w:rPr>
          <w:rStyle w:val="VerbatimChar"/>
        </w:rPr>
        <w:t xml:space="preserve">v_r^risk(a)=0</w:t>
      </w:r>
      <w:r>
        <w:t xml:space="preserve">, and no material rights field is unresolved.</w:t>
      </w:r>
    </w:p>
    <w:p>
      <w:pPr>
        <w:pStyle w:val="BodyText"/>
      </w:pPr>
      <w:r>
        <w:t xml:space="preserve">For Emergency Mode comparison, use the ordered compound tuple</w:t>
      </w:r>
      <w:r>
        <w:t xml:space="preserve"> </w:t>
      </w:r>
      <w:r>
        <w:rPr>
          <w:rStyle w:val="VerbatimChar"/>
        </w:rPr>
        <w:t xml:space="preserve">q_r(a) = (v_r^cat(a), v_r^risk(a), v_r^floor(a))</w:t>
      </w:r>
      <w:r>
        <w:t xml:space="preserve"> </w:t>
      </w:r>
      <w:r>
        <w:t xml:space="preserve">within the canonical right-priority order. A lower welfare score or shorter duration cannot rescue a non-zero categorical, severe-risk, or floor component.</w:t>
      </w:r>
    </w:p>
    <w:bookmarkEnd w:id="355"/>
    <w:bookmarkStart w:id="356" w:name="Xa9a05d7990ff8c80a836afc298f5b710e5d9f34"/>
    <w:p>
      <w:pPr>
        <w:pStyle w:val="Heading2"/>
      </w:pPr>
      <w:r>
        <w:rPr>
          <w:bCs/>
          <w:b/>
        </w:rPr>
        <w:t xml:space="preserve">B.10 TRC Loss (Tier 1-3 Bounded-Impact Mode)</w:t>
      </w:r>
    </w:p>
    <w:p>
      <w:pPr>
        <w:pStyle w:val="FirstParagraph"/>
      </w:pPr>
      <w:r>
        <w:t xml:space="preserve">Let C_cat be catastrophe cells and ω catastrophe weights.</w:t>
      </w:r>
    </w:p>
    <w:p>
      <w:pPr>
        <w:pStyle w:val="BodyText"/>
      </w:pPr>
      <w:r>
        <w:t xml:space="preserve">Normative stream binding (Design A): TRC MUST be computed from the Base stream (I_prop_base). TRC MUST NOT use Welfare-stream (sentience-weighted) impacts.</w:t>
      </w:r>
    </w:p>
    <w:p>
      <w:pPr>
        <w:pStyle w:val="BodyText"/>
      </w:pPr>
      <w:r>
        <w:t xml:space="preserve">For scenario s:</w:t>
      </w:r>
    </w:p>
    <w:p>
      <w:pPr>
        <w:pStyle w:val="BodyText"/>
      </w:pPr>
      <w:r>
        <w:t xml:space="preserve">L(a,s) = Σ_{c ∈ C_cat} ω_c × (−I_prop_base,c(a|s))⁺</w:t>
      </w:r>
    </w:p>
    <w:p>
      <w:pPr>
        <w:pStyle w:val="BodyText"/>
      </w:pPr>
      <w:r>
        <w:t xml:space="preserve">TRC uses CVaR (Appendix D for discrete computation) and corridor threshold τ_TRC:</w:t>
      </w:r>
    </w:p>
    <w:p>
      <w:pPr>
        <w:pStyle w:val="BodyText"/>
      </w:pPr>
      <w:r>
        <w:t xml:space="preserve">TRC(a) = TRUE if and only if CVaR_α[L(a)] ≤ τ_TRC, every active class-specific cap or tolerance under Section 8.4A is satisfied, no unresolved material C3 or C4 field remains, and all mandatory scenario-family requirements are satisfied or governed exceptions are recorded.</w:t>
      </w:r>
    </w:p>
    <w:bookmarkEnd w:id="356"/>
    <w:bookmarkStart w:id="357" w:name="b11-containment-mode-a-binding"/>
    <w:p>
      <w:pPr>
        <w:pStyle w:val="Heading2"/>
      </w:pPr>
      <w:r>
        <w:rPr>
          <w:bCs/>
          <w:b/>
        </w:rPr>
        <w:t xml:space="preserve">B.11 Containment Mode A (Binding)</w:t>
      </w:r>
    </w:p>
    <w:p>
      <w:pPr>
        <w:pStyle w:val="FirstParagraph"/>
      </w:pPr>
      <w:r>
        <w:t xml:space="preserve">Containment Mode A is one required structural subtest inside the broader CSV resolver; it is not the whole CSV Gate.</w:t>
      </w:r>
    </w:p>
    <w:p>
      <w:pPr>
        <w:pStyle w:val="BodyText"/>
      </w:pPr>
      <w:r>
        <w:t xml:space="preserve">Define positively moving union scopes:</w:t>
      </w:r>
    </w:p>
    <w:p>
      <w:pPr>
        <w:pStyle w:val="BodyText"/>
      </w:pPr>
      <w:r>
        <w:rPr>
          <w:rStyle w:val="VerbatimChar"/>
        </w:rPr>
        <w:t xml:space="preserve">S_u(a) = sum_d v_d^cont * I_prop_base(u,d,a)</w:t>
      </w:r>
    </w:p>
    <w:p>
      <w:pPr>
        <w:pStyle w:val="BodyText"/>
      </w:pPr>
      <w:r>
        <w:t xml:space="preserve">Containment trigger weights use the containment-specific vector</w:t>
      </w:r>
      <w:r>
        <w:t xml:space="preserve"> </w:t>
      </w:r>
      <w:r>
        <w:rPr>
          <w:rStyle w:val="VerbatimChar"/>
        </w:rPr>
        <w:t xml:space="preserve">v_d^cont</w:t>
      </w:r>
      <w:r>
        <w:t xml:space="preserve"> </w:t>
      </w:r>
      <w:r>
        <w:t xml:space="preserve">(default uniform</w:t>
      </w:r>
      <w:r>
        <w:t xml:space="preserve"> </w:t>
      </w:r>
      <w:r>
        <w:rPr>
          <w:rStyle w:val="VerbatimChar"/>
        </w:rPr>
        <w:t xml:space="preserve">1/7</w:t>
      </w:r>
      <w:r>
        <w:t xml:space="preserve">). HDW welfare weights MUST NOT be used for containment trigger detection.</w:t>
      </w:r>
    </w:p>
    <w:p>
      <w:pPr>
        <w:pStyle w:val="BodyText"/>
      </w:pPr>
      <w:r>
        <w:rPr>
          <w:rStyle w:val="VerbatimChar"/>
        </w:rPr>
        <w:t xml:space="preserve">U_pos(a) = {u : S_u(a) &gt;= theta_pos}</w:t>
      </w:r>
    </w:p>
    <w:p>
      <w:pPr>
        <w:pStyle w:val="BodyText"/>
      </w:pPr>
      <w:r>
        <w:t xml:space="preserve">Let</w:t>
      </w:r>
      <w:r>
        <w:t xml:space="preserve"> </w:t>
      </w:r>
      <w:r>
        <w:rPr>
          <w:rStyle w:val="VerbatimChar"/>
        </w:rPr>
        <w:t xml:space="preserve">G_c</w:t>
      </w:r>
      <w:r>
        <w:t xml:space="preserve"> </w:t>
      </w:r>
      <w:r>
        <w:t xml:space="preserve">be the decision-specific directed containment/dependency graph. Increasing union-scope order is not sufficient evidence of containment. For each</w:t>
      </w:r>
      <w:r>
        <w:t xml:space="preserve"> </w:t>
      </w:r>
      <w:r>
        <w:rPr>
          <w:rStyle w:val="VerbatimChar"/>
        </w:rPr>
        <w:t xml:space="preserve">u in U_pos(a)</w:t>
      </w:r>
      <w:r>
        <w:t xml:space="preserve">, let</w:t>
      </w:r>
      <w:r>
        <w:t xml:space="preserve"> </w:t>
      </w:r>
      <w:r>
        <w:rPr>
          <w:rStyle w:val="VerbatimChar"/>
        </w:rPr>
        <w:t xml:space="preserve">Contain(u,G_c)</w:t>
      </w:r>
      <w:r>
        <w:t xml:space="preserve"> </w:t>
      </w:r>
      <w:r>
        <w:t xml:space="preserve">be the set of declared scopes or systems whose integrity materially contains, sustains, governs, or enables the benefit. Where UCI is an applicable instrument:</w:t>
      </w:r>
    </w:p>
    <w:p>
      <w:pPr>
        <w:pStyle w:val="BodyText"/>
      </w:pPr>
      <w:r>
        <w:rPr>
          <w:rStyle w:val="VerbatimChar"/>
        </w:rPr>
        <w:t xml:space="preserve">M_u(a) = min_{u' in Contain(u,G_c)} DeltaUCI_{u'}(a)</w:t>
      </w:r>
    </w:p>
    <w:p>
      <w:pPr>
        <w:pStyle w:val="BodyText"/>
      </w:pPr>
      <w:r>
        <w:t>If Contain(u,G_c) is empty for a triggered scope, the containing-system map is incomplete. The run MUST record CONTAINMENT_MAP_INCOMPLETE and escalate or leave the CSV subcondition unresolved; the minimum over an empty set MUST NOT pass vacuously.</w:t>
      </w:r>
    </w:p>
    <w:p>
      <w:pPr>
        <w:pStyle w:val="BodyText"/>
      </w:pPr>
      <w:r>
        <w:t xml:space="preserve">and the UCI subpredicate passes only when</w:t>
      </w:r>
      <w:r>
        <w:t xml:space="preserve"> </w:t>
      </w:r>
      <w:r>
        <w:rPr>
          <w:rStyle w:val="VerbatimChar"/>
        </w:rPr>
        <w:t xml:space="preserve">M_u(a) &gt;= tau_c</w:t>
      </w:r>
      <w:r>
        <w:t xml:space="preserve"> </w:t>
      </w:r>
      <w:r>
        <w:t xml:space="preserve">for every triggered scope.</w:t>
      </w:r>
    </w:p>
    <w:p>
      <w:pPr>
        <w:pStyle w:val="BodyText"/>
      </w:pPr>
      <w:r>
        <w:t xml:space="preserve">The complete CSV status is resolved from all material subconditions:</w:t>
      </w:r>
    </w:p>
    <w:p>
      <w:pPr>
        <w:pStyle w:val="BodyText"/>
      </w:pPr>
      <w:r>
        <w:rPr>
          <w:rStyle w:val="VerbatimChar"/>
        </w:rPr>
        <w:t xml:space="preserve">CSV_status(a) = Resolve(containment_integrity, structural_viability, source_coupling, physical_causal_admissibility, dependency_and_lock_in, reversibility, monitoring, controls, authority_and_legitimacy, evidence_sufficiency)</w:t>
      </w:r>
    </w:p>
    <w:p>
      <w:pPr>
        <w:pStyle w:val="BodyText"/>
      </w:pPr>
      <w:r>
        <w:rPr>
          <w:rStyle w:val="VerbatimChar"/>
        </w:rPr>
        <w:t xml:space="preserve">CSV_PASS</w:t>
      </w:r>
      <w:r>
        <w:t xml:space="preserve"> </w:t>
      </w:r>
      <w:r>
        <w:t xml:space="preserve">or</w:t>
      </w:r>
      <w:r>
        <w:t xml:space="preserve"> </w:t>
      </w:r>
      <w:r>
        <w:rPr>
          <w:rStyle w:val="VerbatimChar"/>
        </w:rPr>
        <w:t xml:space="preserve">CSV_PASS_WITH_CONTROLS</w:t>
      </w:r>
      <w:r>
        <w:t xml:space="preserve"> </w:t>
      </w:r>
      <w:r>
        <w:t xml:space="preserve">requires every material subcondition to be</w:t>
      </w:r>
      <w:r>
        <w:t xml:space="preserve"> </w:t>
      </w:r>
      <w:r>
        <w:rPr>
          <w:rStyle w:val="VerbatimChar"/>
        </w:rPr>
        <w:t xml:space="preserve">PASS</w:t>
      </w:r>
      <w:r>
        <w:t xml:space="preserve">,</w:t>
      </w:r>
      <w:r>
        <w:t xml:space="preserve"> </w:t>
      </w:r>
      <w:r>
        <w:rPr>
          <w:rStyle w:val="VerbatimChar"/>
        </w:rPr>
        <w:t xml:space="preserve">PASS_WITH_CONTROLS</w:t>
      </w:r>
      <w:r>
        <w:t xml:space="preserve">, or a documented</w:t>
      </w:r>
      <w:r>
        <w:t xml:space="preserve"> </w:t>
      </w:r>
      <w:r>
        <w:rPr>
          <w:rStyle w:val="VerbatimChar"/>
        </w:rPr>
        <w:t xml:space="preserve">NOT_MATERIAL</w:t>
      </w:r>
      <w:r>
        <w:t xml:space="preserve"> </w:t>
      </w:r>
      <w:r>
        <w:t xml:space="preserve">disposition. Any material</w:t>
      </w:r>
      <w:r>
        <w:t xml:space="preserve"> </w:t>
      </w:r>
      <w:r>
        <w:rPr>
          <w:rStyle w:val="VerbatimChar"/>
        </w:rPr>
        <w:t xml:space="preserve">FAIL</w:t>
      </w:r>
      <w:r>
        <w:t xml:space="preserve">, unresolved gate-critical</w:t>
      </w:r>
      <w:r>
        <w:t xml:space="preserve"> </w:t>
      </w:r>
      <w:r>
        <w:rPr>
          <w:rStyle w:val="VerbatimChar"/>
        </w:rPr>
        <w:t xml:space="preserve">UNKNOWN</w:t>
      </w:r>
      <w:r>
        <w:t xml:space="preserve">, missing required profile, or structurally non-viable condition prevents ordinary selectability.</w:t>
      </w:r>
    </w:p>
    <w:p>
      <w:pPr>
        <w:pStyle w:val="BodyText"/>
      </w:pPr>
      <w:r>
        <w:rPr>
          <w:rStyle w:val="VerbatimChar"/>
        </w:rPr>
        <w:t xml:space="preserve">CSV_NOT_MATERIAL</w:t>
      </w:r>
      <w:r>
        <w:t xml:space="preserve"> </w:t>
      </w:r>
      <w:r>
        <w:t xml:space="preserve">remains a documented pass-equivalent disposition only when the PCC demonstrates that no CSV subcondition is material to the declared claim boundary. UCI is therefore one possible required subpredicate, not an if-and-only-if definition of CSV.</w:t>
      </w:r>
    </w:p>
    <w:bookmarkEnd w:id="357"/>
    <w:bookmarkStart w:id="358" w:name="b12-ripplelogic-score-rls"/>
    <w:p>
      <w:pPr>
        <w:pStyle w:val="Heading2"/>
      </w:pPr>
      <w:r>
        <w:rPr>
          <w:bCs/>
          <w:b/>
        </w:rPr>
        <w:t xml:space="preserve">B.12 RippleLogic Score (RLS)</w:t>
      </w:r>
    </w:p>
    <w:p>
      <w:pPr>
        <w:pStyle w:val="FirstParagraph"/>
      </w:pPr>
      <w:r>
        <w:t xml:space="preserve">q(u,d) = w_u × v_d × m(u,d) × κ(u,d)</w:t>
      </w:r>
    </w:p>
    <w:p>
      <w:pPr>
        <w:pStyle w:val="BodyText"/>
      </w:pPr>
      <w:r>
        <w:t xml:space="preserve">Q = Σ_u Σ_d q(u,d)</w:t>
      </w:r>
    </w:p>
    <w:p>
      <w:pPr>
        <w:pStyle w:val="BodyText"/>
      </w:pPr>
      <w:r>
        <w:t xml:space="preserve">RLS(a) = [Σ_u Σ_d q(u,d) × I_prop_welfare(u,d,a)] / Q, for Q &gt; 0</w:t>
      </w:r>
    </w:p>
    <w:p>
      <w:pPr>
        <w:pStyle w:val="BodyText"/>
      </w:pPr>
      <w:r>
        <w:t>If Q = 0, RLS is undefined. Return RLS_NO_ACTIVE_MASS, repair the mask/weight declaration, narrow the claim, or refuse deterministic ranking; zero MUST NOT be imputed.</w:t>
      </w:r>
    </w:p>
    <w:p>
      <w:pPr>
        <w:pStyle w:val="BodyText"/>
      </w:pPr>
      <w:r>
        <w:t xml:space="preserve">Default: κ(u,d) = 1, m(u,d) = 1 unless masked.</w:t>
      </w:r>
    </w:p>
    <w:bookmarkEnd w:id="358"/>
    <w:bookmarkStart w:id="359" w:name="X85be978349fd35f3eeca31e0ba79dc44f18d91f"/>
    <w:p>
      <w:pPr>
        <w:pStyle w:val="Heading2"/>
      </w:pPr>
      <w:r>
        <w:rPr>
          <w:bCs/>
          <w:b/>
        </w:rPr>
        <w:t xml:space="preserve">B.12A κ governance note (Normative). Non-default κ(u,d) values are allowed only within the bounded governance interval declared in Section 10.1 and MUST preserve sign, rights-floor protection, catastrophe visibility, and replayability. Validator checks SHALL reject any κ(u,d) that acts as a hidden mask, hidden union-floor rewrite, or undisclosed prominence override.</w:t>
      </w:r>
    </w:p>
    <w:bookmarkEnd w:id="359"/>
    <w:bookmarkStart w:id="360" w:name="Xf4d59c7679d73fa38ece0ed31a673b58aca9d32"/>
    <w:p>
      <w:pPr>
        <w:pStyle w:val="Heading2"/>
      </w:pPr>
      <w:r>
        <w:rPr>
          <w:bCs/>
          <w:b/>
        </w:rPr>
        <w:t xml:space="preserve">B.13 RLS Uncertainty (Optional; Tier 3 Required)</w:t>
      </w:r>
    </w:p>
    <w:p>
      <w:pPr>
        <w:pStyle w:val="FirstParagraph"/>
      </w:pPr>
      <w:r>
        <w:t xml:space="preserve">Definition of σ(u,d,a) (normative minimum): PCC MUST declare one of the following cell-level uncertainty proxies and apply it consistently across options:</w:t>
      </w:r>
    </w:p>
    <w:p>
      <w:pPr>
        <w:pStyle w:val="BodyText"/>
      </w:pPr>
      <w:r>
        <w:t xml:space="preserve">Method A (interval half-width): If the PCC records a confidence interval [L,U] for the cell impact I(u,d,a), set σ(u,d,a) = (U − L)/2.</w:t>
      </w:r>
    </w:p>
    <w:p>
      <w:pPr>
        <w:pStyle w:val="BodyText"/>
      </w:pPr>
      <w:r>
        <w:t xml:space="preserve">Method B (confidence-derived contribution-mass rule): If the PCC records impact instances with confidences c_k ∈[0.1,1] and selects Method B, derive c(u,d,a) using Section 10.3.2. Let A_cell(u,d,a) = min(1, Σ_k |x_k|), where x_k is the pre-confidence contribution after reach, temporal, likelihood, adjustment, and permitted sentience terms and before saturation. Then: σ(u,d,a) = (1 − c(u,d,a)) · A_cell(u,d,a)</w:t>
      </w:r>
    </w:p>
    <w:p>
      <w:pPr>
        <w:pStyle w:val="BodyText"/>
      </w:pPr>
      <w:r>
        <w:t xml:space="preserve">Method C (calibrated table): Use a pre-registered mapping from qualitative uncertainty labels (for example, LOW/MED/HIGH) to σ values, stored in the ProofPack or PCC appendix.</w:t>
      </w:r>
    </w:p>
    <w:p>
      <w:pPr>
        <w:pStyle w:val="BodyText"/>
      </w:pPr>
      <w:r>
        <w:t xml:space="preserve">σ values MUST be clipped to [0,1]. Unless a stricter governed method is declared, σ(u,d,a) is interpreted as the pre-κ cell-level uncertainty input and SHALL be aggregated into σ_RLS using the same w_u, v_d, m(u,d), and κ(u,d) posture used for RLS.</w:t>
      </w:r>
    </w:p>
    <w:p>
      <w:pPr>
        <w:pStyle w:val="BodyText"/>
      </w:pPr>
      <w:r>
        <w:t xml:space="preserve">σ_RLS(a) = √[Σ_u Σ_d (q(u,d) × σ(u,d,a))²] / Q, for Q &gt; 0</w:t>
      </w:r>
    </w:p>
    <w:p>
      <w:pPr>
        <w:pStyle w:val="BodyText"/>
      </w:pPr>
      <w:r>
        <w:t>This is the independent-cell approximation. Tier 3 and decision-material Tier 2 runs MUST declare dependence clusters and compute the Section 10.3.2 perfect-correlation or covariance-aware stress. If ranking or decisiveness changes, set RLS_DEPENDENCE_SENSITIVE and treat the result as non-decisive until governed resolution. The declared cell uncertainty MUST also include material measurement or elicitation resolution; exact zero is allowed only for exact deterministic inputs.</w:t>
      </w:r>
    </w:p>
    <w:p>
      <w:pPr>
        <w:pStyle w:val="BodyText"/>
      </w:pPr>
      <w:r>
        <w:t xml:space="preserve">Risk-adjusted score (optional):</w:t>
      </w:r>
    </w:p>
    <w:p>
      <w:pPr>
        <w:pStyle w:val="BodyText"/>
      </w:pPr>
      <w:r>
        <w:t xml:space="preserve">RLS_adj(a) = RLS(a) − λ × σ_RLS(a)</w:t>
      </w:r>
    </w:p>
    <w:p>
      <w:pPr>
        <w:pStyle w:val="BodyText"/>
      </w:pPr>
      <w:r>
        <w:t xml:space="preserve">By default, RLS_adj is diagnostic only and MUST NOT replace RLS for ranking or decisiveness unless the run declares ex ante that risk-adjusted ranking is the governing ranking basis. If such a declaration is made, the same declared basis MUST be used consistently for ranking, Gap, and decisiveness across all compared options in the run.</w:t>
      </w:r>
    </w:p>
    <w:bookmarkEnd w:id="360"/>
    <w:bookmarkStart w:id="361" w:name="X068ae5ce65407b36abb2eec163889a13c2916e9"/>
    <w:p>
      <w:pPr>
        <w:pStyle w:val="Heading2"/>
      </w:pPr>
      <w:r>
        <w:rPr>
          <w:bCs/>
          <w:b/>
        </w:rPr>
        <w:t xml:space="preserve">B.14 Discrimination Gap (Decisive vs Non-Decisive)</w:t>
      </w:r>
    </w:p>
    <w:p>
      <w:pPr>
        <w:pStyle w:val="FirstParagraph"/>
      </w:pPr>
      <w:r>
        <w:t xml:space="preserve">Gap(a,b) = abs(RLS(a) - RLS(b)) / sqrt(sigma_RLS(a)^2 + sigma_RLS(b)^2 + epsilon)</w:t>
      </w:r>
    </w:p>
    <w:p>
      <w:pPr>
        <w:pStyle w:val="BodyText"/>
      </w:pPr>
      <w:r>
        <w:t xml:space="preserve">Default: delta = 2, epsilon = 1e-6.</w:t>
      </w:r>
    </w:p>
    <w:p>
      <w:pPr>
        <w:pStyle w:val="BodyText"/>
      </w:pPr>
      <w:r>
        <w:t>A lead is decisive only if Gap(a*,a2) &gt; delta and no actually computed governed sensitivity changes the decisive/non-decisive classification. A demonstration-only or unvalidated uncertainty basis that flips under a computed stress cannot support ALLOW_FRAMEWORK_SELECTION or SELECTED_DECISIVE. Otherwise apply the tie-break chain, return REFUSE_DETERMINISTIC_SELECTION, or record a separate AuthoritySelectionRecord.</w:t>
      </w:r>
    </w:p>
    <w:bookmarkEnd w:id="361"/>
    <w:bookmarkStart w:id="362" w:name="b15-uci-computation"/>
    <w:p>
      <w:pPr>
        <w:pStyle w:val="Heading2"/>
      </w:pPr>
      <w:r>
        <w:rPr>
          <w:bCs/>
          <w:b/>
        </w:rPr>
        <w:t xml:space="preserve">B.15 UCI Computation</w:t>
      </w:r>
    </w:p>
    <w:p>
      <w:pPr>
        <w:pStyle w:val="FirstParagraph"/>
      </w:pPr>
      <w:r>
        <w:t xml:space="preserve">Let A_u be the set of UCI components applicable to Union Scope u. Then:</w:t>
      </w:r>
    </w:p>
    <w:p>
      <w:pPr>
        <w:pStyle w:val="BodyText"/>
      </w:pPr>
      <w:r>
        <w:t xml:space="preserve">UCI_u = [Σ_{j ∈ A_u} α_j X_{u,j}] / [Σ_{j ∈ A_u} α_j]</w:t>
      </w:r>
    </w:p>
    <w:p>
      <w:pPr>
        <w:pStyle w:val="BodyText"/>
      </w:pPr>
      <w:r>
        <w:t>Default: α_H = α_F = α_R = α_E = 0.25 before applicable-component renormalization. NA components are excluded from A_u; UNKNOWN components are not scored and make UCI unavailable for the affected claim. For Self (U1), Equity is ordinarily NA unless a governed within-self equity instrument is material. For Biosphere (U7), Equity is ordinarily NA unless a governed ecological-distribution or ecological-justice instrument exists. No neutral or perfect value may be inserted for NA or UNKNOWN. If A_u is empty, UCI_u is UNAVAILABLE; the denominator is not evaluated and no value may be imputed.</w:t>
      </w:r>
    </w:p>
    <w:bookmarkEnd w:id="362"/>
    <w:bookmarkStart w:id="363" w:name="b16-δuci-computation"/>
    <w:p>
      <w:pPr>
        <w:pStyle w:val="Heading2"/>
      </w:pPr>
      <w:r>
        <w:rPr>
          <w:bCs/>
          <w:b/>
        </w:rPr>
        <w:t xml:space="preserve">B.16 ΔUCI Computation</w:t>
      </w:r>
    </w:p>
    <w:p>
      <w:pPr>
        <w:pStyle w:val="FirstParagraph"/>
      </w:pPr>
      <w:r>
        <w:t xml:space="preserve">ΔUCI_u(a) = UCI_u(a) − UCI_u(baseline)</w:t>
      </w:r>
    </w:p>
    <w:bookmarkEnd w:id="363"/>
    <w:bookmarkStart w:id="364" w:name="b17-hoi-computation"/>
    <w:p>
      <w:pPr>
        <w:pStyle w:val="Heading2"/>
      </w:pPr>
      <w:r>
        <w:rPr>
          <w:bCs/>
          <w:b/>
        </w:rPr>
        <w:t xml:space="preserve">B.17 HOI Computation</w:t>
      </w:r>
    </w:p>
    <w:p>
      <w:pPr>
        <w:pStyle w:val="FirstParagraph"/>
      </w:pPr>
      <w:r>
        <w:t xml:space="preserve">HOI_t = EMA_λ(ΔRLS_t / s_RLS)_t − EMA_λ(ΔUCI_t / s_UCI)_t</w:t>
      </w:r>
    </w:p>
    <w:p>
      <w:pPr>
        <w:pStyle w:val="BodyText"/>
      </w:pPr>
      <w:r>
        <w:t xml:space="preserve">Scale rule (Normative). s_RLS and s_UCI MUST be positive, preregistered reference scales derived from a declared reference range or robust dispersion estimate and held fixed for the review window. If either scale is unavailable or unstable, HOI is UNAVAILABLE; raw unstandardized changes MUST NOT be subtracted.</w:t>
      </w:r>
    </w:p>
    <w:p>
      <w:pPr>
        <w:pStyle w:val="BodyText"/>
      </w:pPr>
      <w:r>
        <w:t xml:space="preserve">Default half-life: 3 periods.</w:t>
      </w:r>
    </w:p>
    <w:p>
      <w:pPr>
        <w:pStyle w:val="BodyText"/>
      </w:pPr>
      <w:r>
        <w:t xml:space="preserve">End Appendix B.</w:t>
      </w:r>
    </w:p>
    <w:bookmarkEnd w:id="364"/>
    <w:bookmarkEnd w:id="365"/>
    <w:bookmarkStart w:id="373" w:name="X5c5d99d90b15721ef6c35a58c6226add5c29a57"/>
    <w:p>
      <w:pPr>
        <w:pStyle w:val="Heading1"/>
      </w:pPr>
      <w:bookmarkStart w:id="788" w:name="mg_toc_024"/>
      <w:r>
        <w:rPr>
          <w:bCs/>
          <w:b/>
        </w:rPr>
        <w:t xml:space="preserve">APPENDIX C: RIGHTS / NCRC CANON PACK (TIER 1-3)</w:t>
      </w:r>
      <w:bookmarkEnd w:id="788"/>
    </w:p>
    <w:p>
      <w:pPr>
        <w:pStyle w:val="FirstParagraph"/>
      </w:pPr>
      <w:r>
        <w:t xml:space="preserve">Appendix C is normative.</w:t>
      </w:r>
    </w:p>
    <w:bookmarkStart w:id="366" w:name="c1-rights-thresholds-canonical"/>
    <w:p>
      <w:pPr>
        <w:pStyle w:val="Heading2"/>
      </w:pPr>
      <w:r>
        <w:rPr>
          <w:bCs/>
          <w:b/>
        </w:rPr>
        <w:t xml:space="preserve">C.1 Rights Thresholds (Canonical)</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Right</w:t>
            </w:r>
          </w:p>
        </w:tc>
        <w:tc>
          <w:tcPr>
            <w:shd w:val="clear" w:color="auto" w:fill="D9EAF7"/>
            <w:vAlign w:val="center"/>
          </w:tcPr>
          <w:p>
            <w:pPr>
              <w:pStyle w:val="Compact"/>
              <w:jc w:val="left"/>
            </w:pPr>
            <w:r>
              <w:rPr>
                <w:bCs/>
                <w:b/>
                <w:color w:val="17365D"/>
              </w:rPr>
              <w:t xml:space="preserve">Code</w:t>
            </w:r>
          </w:p>
        </w:tc>
        <w:tc>
          <w:tcPr>
            <w:shd w:val="clear" w:color="auto" w:fill="D9EAF7"/>
            <w:vAlign w:val="center"/>
          </w:tcPr>
          <w:p>
            <w:pPr>
              <w:pStyle w:val="Compact"/>
              <w:jc w:val="left"/>
            </w:pPr>
            <w:r>
              <w:rPr>
                <w:bCs/>
                <w:b/>
                <w:color w:val="17365D"/>
              </w:rPr>
              <w:t xml:space="preserve">Threshold θ_r</w:t>
            </w:r>
          </w:p>
        </w:tc>
      </w:tr>
      <w:tr>
        <w:tc>
          <w:tcPr>
            <w:vAlign w:val="top"/>
          </w:tcPr>
          <w:p>
            <w:pPr>
              <w:pStyle w:val="Compact"/>
              <w:jc w:val="left"/>
            </w:pPr>
            <w:r>
              <w:t xml:space="preserve">Life</w:t>
            </w:r>
          </w:p>
        </w:tc>
        <w:tc>
          <w:tcPr>
            <w:vAlign w:val="top"/>
          </w:tcPr>
          <w:p>
            <w:pPr>
              <w:pStyle w:val="Compact"/>
              <w:jc w:val="left"/>
            </w:pPr>
            <w:r>
              <w:t xml:space="preserve">LIFE</w:t>
            </w:r>
          </w:p>
        </w:tc>
        <w:tc>
          <w:tcPr>
            <w:vAlign w:val="top"/>
          </w:tcPr>
          <w:p>
            <w:pPr>
              <w:pStyle w:val="Compact"/>
              <w:jc w:val="left"/>
            </w:pPr>
            <w:r>
              <w:t xml:space="preserve">-0.90</w:t>
            </w:r>
          </w:p>
        </w:tc>
      </w:tr>
      <w:tr>
        <w:tc>
          <w:tcPr>
            <w:shd w:val="clear" w:color="auto" w:fill="F7FBFE"/>
            <w:vAlign w:val="top"/>
          </w:tcPr>
          <w:p>
            <w:pPr>
              <w:pStyle w:val="Compact"/>
              <w:jc w:val="left"/>
            </w:pPr>
            <w:r>
              <w:t xml:space="preserve">Bodily Integrity</w:t>
            </w:r>
          </w:p>
        </w:tc>
        <w:tc>
          <w:tcPr>
            <w:shd w:val="clear" w:color="auto" w:fill="F7FBFE"/>
            <w:vAlign w:val="top"/>
          </w:tcPr>
          <w:p>
            <w:pPr>
              <w:pStyle w:val="Compact"/>
              <w:jc w:val="left"/>
            </w:pPr>
            <w:r>
              <w:t xml:space="preserve">BODY</w:t>
            </w:r>
          </w:p>
        </w:tc>
        <w:tc>
          <w:tcPr>
            <w:shd w:val="clear" w:color="auto" w:fill="F7FBFE"/>
            <w:vAlign w:val="top"/>
          </w:tcPr>
          <w:p>
            <w:pPr>
              <w:pStyle w:val="Compact"/>
              <w:jc w:val="left"/>
            </w:pPr>
            <w:r>
              <w:t xml:space="preserve">-0.70</w:t>
            </w:r>
          </w:p>
        </w:tc>
      </w:tr>
      <w:tr>
        <w:tc>
          <w:tcPr>
            <w:vAlign w:val="top"/>
          </w:tcPr>
          <w:p>
            <w:pPr>
              <w:pStyle w:val="Compact"/>
              <w:jc w:val="left"/>
            </w:pPr>
            <w:r>
              <w:t xml:space="preserve">Liberty</w:t>
            </w:r>
          </w:p>
        </w:tc>
        <w:tc>
          <w:tcPr>
            <w:vAlign w:val="top"/>
          </w:tcPr>
          <w:p>
            <w:pPr>
              <w:pStyle w:val="Compact"/>
              <w:jc w:val="left"/>
            </w:pPr>
            <w:r>
              <w:t xml:space="preserve">LBTY</w:t>
            </w:r>
          </w:p>
        </w:tc>
        <w:tc>
          <w:tcPr>
            <w:vAlign w:val="top"/>
          </w:tcPr>
          <w:p>
            <w:pPr>
              <w:pStyle w:val="Compact"/>
              <w:jc w:val="left"/>
            </w:pPr>
            <w:r>
              <w:t xml:space="preserve">-0.65</w:t>
            </w:r>
          </w:p>
        </w:tc>
      </w:tr>
      <w:tr>
        <w:tc>
          <w:tcPr>
            <w:shd w:val="clear" w:color="auto" w:fill="F7FBFE"/>
            <w:vAlign w:val="top"/>
          </w:tcPr>
          <w:p>
            <w:pPr>
              <w:pStyle w:val="Compact"/>
              <w:jc w:val="left"/>
            </w:pPr>
            <w:r>
              <w:t xml:space="preserve">Basic Needs</w:t>
            </w:r>
          </w:p>
        </w:tc>
        <w:tc>
          <w:tcPr>
            <w:shd w:val="clear" w:color="auto" w:fill="F7FBFE"/>
            <w:vAlign w:val="top"/>
          </w:tcPr>
          <w:p>
            <w:pPr>
              <w:pStyle w:val="Compact"/>
              <w:jc w:val="left"/>
            </w:pPr>
            <w:r>
              <w:t xml:space="preserve">NEED</w:t>
            </w:r>
          </w:p>
        </w:tc>
        <w:tc>
          <w:tcPr>
            <w:shd w:val="clear" w:color="auto" w:fill="F7FBFE"/>
            <w:vAlign w:val="top"/>
          </w:tcPr>
          <w:p>
            <w:pPr>
              <w:pStyle w:val="Compact"/>
              <w:jc w:val="left"/>
            </w:pPr>
            <w:r>
              <w:t xml:space="preserve">-0.50</w:t>
            </w:r>
          </w:p>
        </w:tc>
      </w:tr>
      <w:tr>
        <w:tc>
          <w:tcPr>
            <w:vAlign w:val="top"/>
          </w:tcPr>
          <w:p>
            <w:pPr>
              <w:pStyle w:val="Compact"/>
              <w:jc w:val="left"/>
            </w:pPr>
            <w:r>
              <w:t xml:space="preserve">Dignity</w:t>
            </w:r>
          </w:p>
        </w:tc>
        <w:tc>
          <w:tcPr>
            <w:vAlign w:val="top"/>
          </w:tcPr>
          <w:p>
            <w:pPr>
              <w:pStyle w:val="Compact"/>
              <w:jc w:val="left"/>
            </w:pPr>
            <w:r>
              <w:t xml:space="preserve">DIGN</w:t>
            </w:r>
          </w:p>
        </w:tc>
        <w:tc>
          <w:tcPr>
            <w:vAlign w:val="top"/>
          </w:tcPr>
          <w:p>
            <w:pPr>
              <w:pStyle w:val="Compact"/>
              <w:jc w:val="left"/>
            </w:pPr>
            <w:r>
              <w:t xml:space="preserve">-0.55</w:t>
            </w:r>
          </w:p>
        </w:tc>
      </w:tr>
      <w:tr>
        <w:tc>
          <w:tcPr>
            <w:shd w:val="clear" w:color="auto" w:fill="F7FBFE"/>
            <w:vAlign w:val="top"/>
          </w:tcPr>
          <w:p>
            <w:pPr>
              <w:pStyle w:val="Compact"/>
              <w:jc w:val="left"/>
            </w:pPr>
            <w:r>
              <w:t xml:space="preserve">Due Process</w:t>
            </w:r>
          </w:p>
        </w:tc>
        <w:tc>
          <w:tcPr>
            <w:shd w:val="clear" w:color="auto" w:fill="F7FBFE"/>
            <w:vAlign w:val="top"/>
          </w:tcPr>
          <w:p>
            <w:pPr>
              <w:pStyle w:val="Compact"/>
              <w:jc w:val="left"/>
            </w:pPr>
            <w:r>
              <w:t xml:space="preserve">PROC</w:t>
            </w:r>
          </w:p>
        </w:tc>
        <w:tc>
          <w:tcPr>
            <w:shd w:val="clear" w:color="auto" w:fill="F7FBFE"/>
            <w:vAlign w:val="top"/>
          </w:tcPr>
          <w:p>
            <w:pPr>
              <w:pStyle w:val="Compact"/>
              <w:jc w:val="left"/>
            </w:pPr>
            <w:r>
              <w:t xml:space="preserve">-0.45</w:t>
            </w:r>
          </w:p>
        </w:tc>
      </w:tr>
      <w:tr>
        <w:tc>
          <w:tcPr>
            <w:vAlign w:val="top"/>
          </w:tcPr>
          <w:p>
            <w:pPr>
              <w:pStyle w:val="Compact"/>
              <w:jc w:val="left"/>
            </w:pPr>
            <w:r>
              <w:t xml:space="preserve">Information</w:t>
            </w:r>
          </w:p>
        </w:tc>
        <w:tc>
          <w:tcPr>
            <w:vAlign w:val="top"/>
          </w:tcPr>
          <w:p>
            <w:pPr>
              <w:pStyle w:val="Compact"/>
              <w:jc w:val="left"/>
            </w:pPr>
            <w:r>
              <w:t xml:space="preserve">INFO</w:t>
            </w:r>
          </w:p>
        </w:tc>
        <w:tc>
          <w:tcPr>
            <w:vAlign w:val="top"/>
          </w:tcPr>
          <w:p>
            <w:pPr>
              <w:pStyle w:val="Compact"/>
              <w:jc w:val="left"/>
            </w:pPr>
            <w:r>
              <w:t xml:space="preserve">-0.40</w:t>
            </w:r>
          </w:p>
        </w:tc>
      </w:tr>
      <w:tr>
        <w:tc>
          <w:tcPr>
            <w:shd w:val="clear" w:color="auto" w:fill="F7FBFE"/>
            <w:vAlign w:val="top"/>
          </w:tcPr>
          <w:p>
            <w:pPr>
              <w:pStyle w:val="Compact"/>
              <w:jc w:val="left"/>
            </w:pPr>
            <w:r>
              <w:t xml:space="preserve">Ecological Integrity</w:t>
            </w:r>
          </w:p>
        </w:tc>
        <w:tc>
          <w:tcPr>
            <w:shd w:val="clear" w:color="auto" w:fill="F7FBFE"/>
            <w:vAlign w:val="top"/>
          </w:tcPr>
          <w:p>
            <w:pPr>
              <w:pStyle w:val="Compact"/>
              <w:jc w:val="left"/>
            </w:pPr>
            <w:r>
              <w:t xml:space="preserve">ECOL</w:t>
            </w:r>
          </w:p>
        </w:tc>
        <w:tc>
          <w:tcPr>
            <w:shd w:val="clear" w:color="auto" w:fill="F7FBFE"/>
            <w:vAlign w:val="top"/>
          </w:tcPr>
          <w:p>
            <w:pPr>
              <w:pStyle w:val="Compact"/>
              <w:jc w:val="left"/>
            </w:pPr>
            <w:r>
              <w:t xml:space="preserve">-0.65</w:t>
            </w:r>
          </w:p>
        </w:tc>
      </w:tr>
    </w:tbl>
    <w:p>
      <w:pPr>
        <w:pStyle w:val="BodyText"/>
      </w:pPr>
      <w:r>
        <w:t xml:space="preserve">Normative interpretation rule: Thresholds θ_r are admissibility floors, not weights. They do not represent “how important” a right is; they represent the minimum allowable protection level.</w:t>
      </w:r>
    </w:p>
    <w:bookmarkEnd w:id="366"/>
    <w:bookmarkStart w:id="367" w:name="X7d1f979cdda521f6022a14dc0ad6f5bdc127426"/>
    <w:p>
      <w:pPr>
        <w:pStyle w:val="BodyText"/>
      </w:pPr>
      <w:r>
        <w:t>Threshold-scale clarification (Normative). θ_r is defined on the post-saturation rights-impact scale I_rights. For an unsaturated single-stream comparison, the corresponding pre-saturation aggregate is atanh(θ_r) / β_RF. With the canonical β_RF = 2, tanh(β_RF x) bounds values to (−1,+1) but is expansive in magnitude near zero and compressive only near the bounds; it is not a small-signal attenuator. Threshold calibration and sensitivity review MUST state the scale used.</w:t>
      </w:r>
    </w:p>
    <w:p>
      <w:pPr>
        <w:pStyle w:val="Heading2"/>
      </w:pPr>
      <w:r>
        <w:rPr>
          <w:bCs/>
          <w:b/>
        </w:rPr>
        <w:t xml:space="preserve">C.2 Rights Coverage Sets C_r (Authoritative)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Right</w:t>
            </w:r>
          </w:p>
        </w:tc>
        <w:tc>
          <w:tcPr>
            <w:shd w:val="clear" w:color="auto" w:fill="D9EAF7"/>
            <w:vAlign w:val="center"/>
          </w:tcPr>
          <w:p>
            <w:pPr>
              <w:pStyle w:val="Compact"/>
              <w:jc w:val="left"/>
            </w:pPr>
            <w:r>
              <w:rPr>
                <w:bCs/>
                <w:b/>
                <w:color w:val="17365D"/>
              </w:rPr>
              <w:t xml:space="preserve">Coverage Set C_r</w:t>
            </w:r>
          </w:p>
        </w:tc>
      </w:tr>
      <w:tr>
        <w:tc>
          <w:tcPr>
            <w:vAlign w:val="top"/>
          </w:tcPr>
          <w:p>
            <w:pPr>
              <w:pStyle w:val="Compact"/>
              <w:jc w:val="left"/>
            </w:pPr>
            <w:r>
              <w:t xml:space="preserve">LIFE</w:t>
            </w:r>
          </w:p>
        </w:tc>
        <w:tc>
          <w:tcPr>
            <w:vAlign w:val="top"/>
          </w:tcPr>
          <w:p>
            <w:pPr>
              <w:pStyle w:val="Compact"/>
              <w:jc w:val="left"/>
            </w:pPr>
            <w:r>
              <w:t xml:space="preserve">{(u, Health): u ∈ {1,2,3,4,5,6}} ∪ {(6, Environment)}</w:t>
            </w:r>
          </w:p>
        </w:tc>
      </w:tr>
      <w:tr>
        <w:tc>
          <w:tcPr>
            <w:shd w:val="clear" w:color="auto" w:fill="F7FBFE"/>
            <w:vAlign w:val="top"/>
          </w:tcPr>
          <w:p>
            <w:pPr>
              <w:pStyle w:val="Compact"/>
              <w:jc w:val="left"/>
            </w:pPr>
            <w:r>
              <w:t xml:space="preserve">BODY</w:t>
            </w:r>
          </w:p>
        </w:tc>
        <w:tc>
          <w:tcPr>
            <w:shd w:val="clear" w:color="auto" w:fill="F7FBFE"/>
            <w:vAlign w:val="top"/>
          </w:tcPr>
          <w:p>
            <w:pPr>
              <w:pStyle w:val="Compact"/>
              <w:jc w:val="left"/>
            </w:pPr>
            <w:r>
              <w:t xml:space="preserve">{(u, Health): u ∈ {1,2,3,4,5,6}}</w:t>
            </w:r>
          </w:p>
        </w:tc>
      </w:tr>
      <w:tr>
        <w:tc>
          <w:tcPr>
            <w:vAlign w:val="top"/>
          </w:tcPr>
          <w:p>
            <w:pPr>
              <w:pStyle w:val="Compact"/>
              <w:jc w:val="left"/>
            </w:pPr>
            <w:r>
              <w:t xml:space="preserve">LBTY</w:t>
            </w:r>
          </w:p>
        </w:tc>
        <w:tc>
          <w:tcPr>
            <w:vAlign w:val="top"/>
          </w:tcPr>
          <w:p>
            <w:pPr>
              <w:pStyle w:val="Compact"/>
              <w:jc w:val="left"/>
            </w:pPr>
            <w:r>
              <w:t xml:space="preserve">{(u, Agency): u ∈ {1,2,3,4,5,6}} ∪ {(u, Social): u ∈ {3,4,5,6}}</w:t>
            </w:r>
          </w:p>
        </w:tc>
      </w:tr>
      <w:tr>
        <w:tc>
          <w:tcPr>
            <w:shd w:val="clear" w:color="auto" w:fill="F7FBFE"/>
            <w:vAlign w:val="top"/>
          </w:tcPr>
          <w:p>
            <w:pPr>
              <w:pStyle w:val="Compact"/>
              <w:jc w:val="left"/>
            </w:pPr>
            <w:r>
              <w:t xml:space="preserve">NEED</w:t>
            </w:r>
          </w:p>
        </w:tc>
        <w:tc>
          <w:tcPr>
            <w:shd w:val="clear" w:color="auto" w:fill="F7FBFE"/>
            <w:vAlign w:val="top"/>
          </w:tcPr>
          <w:p>
            <w:pPr>
              <w:pStyle w:val="Compact"/>
              <w:jc w:val="left"/>
            </w:pPr>
            <w:r>
              <w:t xml:space="preserve">{(u, Material): u ∈ {1,2,3,4,5,6}} ∪ {(u, Health): u ∈ {1,2,3,4,5,6}}</w:t>
            </w:r>
          </w:p>
        </w:tc>
      </w:tr>
      <w:tr>
        <w:tc>
          <w:tcPr>
            <w:vAlign w:val="top"/>
          </w:tcPr>
          <w:p>
            <w:pPr>
              <w:pStyle w:val="Compact"/>
              <w:jc w:val="left"/>
            </w:pPr>
            <w:r>
              <w:t xml:space="preserve">DIGN</w:t>
            </w:r>
          </w:p>
        </w:tc>
        <w:tc>
          <w:tcPr>
            <w:vAlign w:val="top"/>
          </w:tcPr>
          <w:p>
            <w:pPr>
              <w:pStyle w:val="Compact"/>
              <w:jc w:val="left"/>
            </w:pPr>
            <w:r>
              <w:t xml:space="preserve">{(u, Social): u ∈ {1,2,3,4,5,6}} ∪ {(u, Agency): u ∈ {1,2,3,4,5,6}}</w:t>
            </w:r>
          </w:p>
        </w:tc>
      </w:tr>
      <w:tr>
        <w:tc>
          <w:tcPr>
            <w:shd w:val="clear" w:color="auto" w:fill="F7FBFE"/>
            <w:vAlign w:val="top"/>
          </w:tcPr>
          <w:p>
            <w:pPr>
              <w:pStyle w:val="Compact"/>
              <w:jc w:val="left"/>
            </w:pPr>
            <w:r>
              <w:t xml:space="preserve">PROC</w:t>
            </w:r>
          </w:p>
        </w:tc>
        <w:tc>
          <w:tcPr>
            <w:shd w:val="clear" w:color="auto" w:fill="F7FBFE"/>
            <w:vAlign w:val="top"/>
          </w:tcPr>
          <w:p>
            <w:pPr>
              <w:pStyle w:val="Compact"/>
              <w:jc w:val="left"/>
            </w:pPr>
            <w:r>
              <w:t xml:space="preserve">{(u, Agency): u ∈ {4,5,6}} ∪ {(u, Knowledge): u ∈ {4,5,6}} ∪ {(u, Social): u ∈ {4,5,6}}</w:t>
            </w:r>
          </w:p>
        </w:tc>
      </w:tr>
      <w:tr>
        <w:tc>
          <w:tcPr>
            <w:vAlign w:val="top"/>
          </w:tcPr>
          <w:p>
            <w:pPr>
              <w:pStyle w:val="Compact"/>
              <w:jc w:val="left"/>
            </w:pPr>
            <w:r>
              <w:t xml:space="preserve">INFO</w:t>
            </w:r>
          </w:p>
        </w:tc>
        <w:tc>
          <w:tcPr>
            <w:vAlign w:val="top"/>
          </w:tcPr>
          <w:p>
            <w:pPr>
              <w:pStyle w:val="Compact"/>
              <w:jc w:val="left"/>
            </w:pPr>
            <w:r>
              <w:t xml:space="preserve">{(u, Knowledge): u ∈ {1,2,3,4,5,6}} ∪ {(u, Agency): u ∈ {1,2,3,4,5,6}}</w:t>
            </w:r>
          </w:p>
        </w:tc>
      </w:tr>
      <w:tr>
        <w:tc>
          <w:tcPr>
            <w:shd w:val="clear" w:color="auto" w:fill="F7FBFE"/>
            <w:vAlign w:val="top"/>
          </w:tcPr>
          <w:p>
            <w:pPr>
              <w:pStyle w:val="Compact"/>
              <w:jc w:val="left"/>
            </w:pPr>
            <w:r>
              <w:t xml:space="preserve">ECOL</w:t>
            </w:r>
          </w:p>
        </w:tc>
        <w:tc>
          <w:tcPr>
            <w:shd w:val="clear" w:color="auto" w:fill="F7FBFE"/>
            <w:vAlign w:val="top"/>
          </w:tcPr>
          <w:p>
            <w:pPr>
              <w:pStyle w:val="Compact"/>
              <w:jc w:val="left"/>
            </w:pPr>
            <w:r>
              <w:t xml:space="preserve">{(6, Environment), (7, Environment)}</w:t>
            </w:r>
          </w:p>
        </w:tc>
      </w:tr>
    </w:tbl>
    <w:bookmarkEnd w:id="367"/>
    <w:bookmarkStart w:id="368" w:name="X0e75838f8c3ac55c90fde5dc3f7bccacb1203ac"/>
    <w:p>
      <w:pPr>
        <w:pStyle w:val="BodyText"/>
      </w:pPr>
      <w:r>
        <w:t>Rights-routing clarification for D6 and D7 (Normative). Appendix C.2 defines the cells directly covered by each canonical right. A D6 Meaning or D7 Environment entry does not acquire rights-floor status merely because it is rights-relevant. When the underlying effect instantiates a protected interest — for example freedom of thought, conscience, religion, or nonbelief; coercion or discrimination; dignity; information access; health; basic needs or habitability; due process; or protected life-support conditions — the run MUST construct and evidence the corresponding rights-floor instance in the applicable canonical covered dimension(s), or declare a governed rights-coverage extension under Section 12.8. It MUST NOT leave a materially protected effect only as compensable D6/D7 welfare. Ordinary purpose, identity, place attachment, environmental amenity, or ecological condition is not automatically a rights violation.</w:t>
      </w:r>
    </w:p>
    <w:p>
      <w:pPr>
        <w:pStyle w:val="Heading2"/>
      </w:pPr>
      <w:r>
        <w:rPr>
          <w:bCs/>
          <w:b/>
        </w:rPr>
        <w:t xml:space="preserve">C.3 Emergency Mode Rights Priority (Canonical)</w:t>
      </w:r>
    </w:p>
    <w:p>
      <w:pPr>
        <w:pStyle w:val="FirstParagraph"/>
      </w:pPr>
      <w:r>
        <w:t xml:space="preserve">When Emergency Mode is invoked (A_NCRC = ∅), rights are ordered lexicographically:</w:t>
      </w:r>
    </w:p>
    <w:p>
      <w:pPr>
        <w:pStyle w:val="BodyText"/>
      </w:pPr>
      <w:r>
        <w:t xml:space="preserve">[LIFE, BODY, ECOL, LBTY, NEED, DIGN, PROC, INFO]</w:t>
      </w:r>
    </w:p>
    <w:p>
      <w:pPr>
        <w:pStyle w:val="BodyText"/>
      </w:pPr>
      <w:r>
        <w:t xml:space="preserve">This ordering MUST be used exactly for lexicographic minimization of the violation depth vector.</w:t>
      </w:r>
    </w:p>
    <w:bookmarkEnd w:id="368"/>
    <w:bookmarkStart w:id="369" w:name="X2baab3e24ce6661ca640cac550717214ba5a5ee"/>
    <w:p>
      <w:pPr>
        <w:pStyle w:val="Heading2"/>
      </w:pPr>
      <w:r>
        <w:rPr>
          <w:bCs/>
          <w:b/>
        </w:rPr>
        <w:t xml:space="preserve">C.4 NCRC Violation Depth Definition (Canonical)</w:t>
      </w:r>
    </w:p>
    <w:p>
      <w:pPr>
        <w:pStyle w:val="FirstParagraph"/>
      </w:pPr>
      <w:r>
        <w:t xml:space="preserve">For every right</w:t>
      </w:r>
      <w:r>
        <w:t xml:space="preserve"> </w:t>
      </w:r>
      <w:r>
        <w:rPr>
          <w:rStyle w:val="VerbatimChar"/>
        </w:rPr>
        <w:t xml:space="preserve">r</w:t>
      </w:r>
      <w:r>
        <w:t xml:space="preserve">, record the compound violation tuple:</w:t>
      </w:r>
    </w:p>
    <w:p>
      <w:pPr>
        <w:pStyle w:val="BodyText"/>
      </w:pPr>
      <w:r>
        <w:rPr>
          <w:rStyle w:val="VerbatimChar"/>
        </w:rPr>
        <w:t xml:space="preserve">q_r(a) = (v_r^cat(a), v_r^risk(a), v_r^floor(a))</w:t>
      </w:r>
    </w:p>
    <w:p>
      <w:pPr>
        <w:pStyle w:val="BodyText"/>
      </w:pPr>
      <w:r>
        <w:t xml:space="preserve">with:</w:t>
      </w:r>
    </w:p>
    <w:p>
      <w:pPr>
        <w:numPr>
          <w:ilvl w:val="0"/>
          <w:numId w:val="1246"/>
        </w:numPr>
        <w:pStyle w:val="Compact"/>
      </w:pPr>
      <w:r>
        <w:rPr>
          <w:rStyle w:val="VerbatimChar"/>
        </w:rPr>
        <w:t xml:space="preserve">v_r^floor(a) = max_{(u,d) in C_r} (theta_r - I_rights(u,d,a))^+</w:t>
      </w:r>
      <w:r>
        <w:t xml:space="preserve">;</w:t>
      </w:r>
    </w:p>
    <w:p>
      <w:pPr>
        <w:numPr>
          <w:ilvl w:val="0"/>
          <w:numId w:val="1246"/>
        </w:numPr>
        <w:pStyle w:val="Compact"/>
      </w:pPr>
      <w:r>
        <w:rPr>
          <w:rStyle w:val="VerbatimChar"/>
        </w:rPr>
        <w:t xml:space="preserve">v_r^cat(a) = max_{k in K_r(a)} z_{k,r}</w:t>
      </w:r>
      <w:r>
        <w:t xml:space="preserve">;</w:t>
      </w:r>
    </w:p>
    <w:p>
      <w:pPr>
        <w:numPr>
          <w:ilvl w:val="0"/>
          <w:numId w:val="1246"/>
        </w:numPr>
        <w:pStyle w:val="Compact"/>
      </w:pPr>
      <w:r>
        <w:rPr>
          <w:rStyle w:val="VerbatimChar"/>
        </w:rPr>
        <w:t xml:space="preserve">v_r^risk(a) = max_{k in K_r(a): SevereRightsHazardActive(k,r)} (p_{k,r}^U - rho_r)^+</w:t>
      </w:r>
      <w:r>
        <w:t xml:space="preserve">.</w:t>
      </w:r>
    </w:p>
    <w:p>
      <w:pPr>
        <w:pStyle w:val="FirstParagraph"/>
      </w:pPr>
      <w:r>
        <w:t xml:space="preserve">A missing required severe-hazard probability, tolerance, categorical-status field, or gate-critical evidence disposition produces</w:t>
      </w:r>
      <w:r>
        <w:t xml:space="preserve"> </w:t>
      </w:r>
      <w:r>
        <w:rPr>
          <w:rStyle w:val="VerbatimChar"/>
        </w:rPr>
        <w:t xml:space="preserve">NCRC_UNKNOWN</w:t>
      </w:r>
      <w:r>
        <w:t xml:space="preserve">, not zero.</w:t>
      </w:r>
    </w:p>
    <w:bookmarkEnd w:id="369"/>
    <w:bookmarkStart w:id="370" w:name="c5-ncrc-predicate-canonical"/>
    <w:p>
      <w:pPr>
        <w:pStyle w:val="Heading2"/>
      </w:pPr>
      <w:r>
        <w:rPr>
          <w:bCs/>
          <w:b/>
        </w:rPr>
        <w:t xml:space="preserve">C.5 NCRC Predicate (Canonical)</w:t>
      </w:r>
    </w:p>
    <w:p>
      <w:pPr>
        <w:pStyle w:val="FirstParagraph"/>
      </w:pPr>
      <w:r>
        <w:rPr>
          <w:rStyle w:val="VerbatimChar"/>
        </w:rPr>
        <w:t xml:space="preserve">NCRC(a) = TRUE</w:t>
      </w:r>
      <w:r>
        <w:t xml:space="preserve"> </w:t>
      </w:r>
      <w:r>
        <w:t xml:space="preserve">if and only if, for every right</w:t>
      </w:r>
      <w:r>
        <w:t xml:space="preserve"> </w:t>
      </w:r>
      <w:r>
        <w:rPr>
          <w:rStyle w:val="VerbatimChar"/>
        </w:rPr>
        <w:t xml:space="preserve">r</w:t>
      </w:r>
      <w:r>
        <w:t xml:space="preserve">, all three components of</w:t>
      </w:r>
      <w:r>
        <w:t xml:space="preserve"> </w:t>
      </w:r>
      <w:r>
        <w:rPr>
          <w:rStyle w:val="VerbatimChar"/>
        </w:rPr>
        <w:t xml:space="preserve">q_r(a)</w:t>
      </w:r>
      <w:r>
        <w:t xml:space="preserve"> </w:t>
      </w:r>
      <w:r>
        <w:t xml:space="preserve">equal zero and no material rights evidence field is unresolved.</w:t>
      </w:r>
    </w:p>
    <w:p>
      <w:pPr>
        <w:pStyle w:val="BodyText"/>
      </w:pPr>
      <w:r>
        <w:t xml:space="preserve">The NCRC passing set is</w:t>
      </w:r>
      <w:r>
        <w:t xml:space="preserve"> </w:t>
      </w:r>
      <w:r>
        <w:rPr>
          <w:rStyle w:val="VerbatimChar"/>
        </w:rPr>
        <w:t xml:space="preserve">A_NCRC = {a in O : NCRC(a)=TRUE}</w:t>
      </w:r>
      <w:r>
        <w:t xml:space="preserve">. Any categorical prohibition, severe-hazard exceedance, floor violation, or required unresolved field blocks an ordinary NCRC pass.</w:t>
      </w:r>
    </w:p>
    <w:bookmarkEnd w:id="370"/>
    <w:bookmarkStart w:id="371" w:name="c6-subgroup-conservative-bound-canonical"/>
    <w:p>
      <w:pPr>
        <w:pStyle w:val="Heading2"/>
      </w:pPr>
      <w:r>
        <w:rPr>
          <w:bCs/>
          <w:b/>
        </w:rPr>
        <w:t xml:space="preserve">C.6 Subgroup Conservative Bound (Canonical)</w:t>
      </w:r>
    </w:p>
    <w:p>
      <w:pPr>
        <w:pStyle w:val="FirstParagraph"/>
      </w:pPr>
      <w:r>
        <w:t xml:space="preserve">When subgroup disaggregation is infeasible for a rights-covered cell:</w:t>
      </w:r>
    </w:p>
    <w:p>
      <w:pPr>
        <w:pStyle w:val="BodyText"/>
      </w:pPr>
      <w:r>
        <w:t xml:space="preserve">Let γ_subgroup = 1.5 (default conservatism factor).</w:t>
      </w:r>
    </w:p>
    <w:p>
      <w:pPr>
        <w:numPr>
          <w:ilvl w:val="0"/>
          <w:numId w:val="1247"/>
        </w:numPr>
        <w:pStyle w:val="Compact"/>
      </w:pPr>
      <w:r>
        <w:t xml:space="preserve">If I_RF_base(u,d,a,r) &lt; 0: set I_rights(u,d,a,r) = max(-1, γ_subgroup × I_RF_base(u,d,a,r))</w:t>
      </w:r>
    </w:p>
    <w:p>
      <w:pPr>
        <w:numPr>
          <w:ilvl w:val="0"/>
          <w:numId w:val="1248"/>
        </w:numPr>
        <w:pStyle w:val="Compact"/>
      </w:pPr>
      <w:r>
        <w:t xml:space="preserve">Else: set I_rights(u,d,a,r) = I_RF_base(u,d,a,r)</w:t>
      </w:r>
    </w:p>
    <w:p>
      <w:pPr>
        <w:pStyle w:val="FirstParagraph"/>
      </w:pPr>
      <w:r>
        <w:t xml:space="preserve">This bound applies only for NCRC checking, not for RLS scoring.</w:t>
      </w:r>
    </w:p>
    <w:p>
      <w:pPr>
        <w:pStyle w:val="BodyText"/>
      </w:pPr>
      <w:r>
        <w:t>Emergency comparison tie rule (Normative). The saturated I_rights value remains controlling for ordinary admissibility. If two or more Emergency Mode options tie on v_r^floor because the conservative clamp maps them to −1, the run MUST use the unclamped conservative value γ_subgroup × I_RF_base as a secondary ordering key for that right, with more negative values treated as worse and the trace recorded in the PCC. This secondary key does not convert any failing option into an ordinary NCRC pass.</w:t>
      </w:r>
    </w:p>
    <w:p>
      <w:pPr>
        <w:pStyle w:val="BodyText"/>
      </w:pPr>
      <w:r>
        <w:t xml:space="preserve">If I_RF_base cannot be constructed from reviewed rights-floor instances, the cell is NCRC_UNKNOWN; the run MUST collect evidence, narrow, escalate, or refuse rather than reuse a temporally or confidence-attenuated welfare value as a rights pass.</w:t>
      </w:r>
    </w:p>
    <w:bookmarkEnd w:id="371"/>
    <w:bookmarkStart w:id="372" w:name="X1856982d84f378a09eae032285184b922a7a529"/>
    <w:p>
      <w:pPr>
        <w:pStyle w:val="Heading2"/>
      </w:pPr>
      <w:r>
        <w:rPr>
          <w:bCs/>
          <w:b/>
        </w:rPr>
        <w:t xml:space="preserve">C.7 Emergency Mode Documentation Requirements (Canonical)</w:t>
      </w:r>
    </w:p>
    <w:p>
      <w:pPr>
        <w:pStyle w:val="FirstParagraph"/>
      </w:pPr>
      <w:r>
        <w:t xml:space="preserve">When Emergency Mode is invoked, the PCC MUST include:</w:t>
      </w:r>
    </w:p>
    <w:p>
      <w:pPr>
        <w:numPr>
          <w:ilvl w:val="0"/>
          <w:numId w:val="1249"/>
        </w:numPr>
        <w:pStyle w:val="Compact"/>
      </w:pPr>
      <w:r>
        <w:t xml:space="preserve">Emergency declaration and trigger conditions;</w:t>
      </w:r>
    </w:p>
    <w:p>
      <w:pPr>
        <w:numPr>
          <w:ilvl w:val="0"/>
          <w:numId w:val="1249"/>
        </w:numPr>
        <w:pStyle w:val="Compact"/>
      </w:pPr>
      <w:r>
        <w:t xml:space="preserve">the complete</w:t>
      </w:r>
      <w:r>
        <w:t xml:space="preserve"> </w:t>
      </w:r>
      <w:r>
        <w:rPr>
          <w:rStyle w:val="VerbatimChar"/>
        </w:rPr>
        <w:t xml:space="preserve">q_r(a) = (v_r^cat, v_r^risk, v_r^floor)</w:t>
      </w:r>
      <w:r>
        <w:t xml:space="preserve"> </w:t>
      </w:r>
      <w:r>
        <w:t xml:space="preserve">tuple for each option and each right;</w:t>
      </w:r>
    </w:p>
    <w:p>
      <w:pPr>
        <w:numPr>
          <w:ilvl w:val="0"/>
          <w:numId w:val="1249"/>
        </w:numPr>
        <w:pStyle w:val="Compact"/>
      </w:pPr>
      <w:r>
        <w:t xml:space="preserve">the lexicographic comparison trace using the Section C.3 right-priority order and component order</w:t>
      </w:r>
      <w:r>
        <w:t xml:space="preserve"> </w:t>
      </w:r>
      <w:r>
        <w:rPr>
          <w:rStyle w:val="VerbatimChar"/>
        </w:rPr>
        <w:t xml:space="preserve">categorical -&gt; severe risk -&gt; floor depth</w:t>
      </w:r>
      <w:r>
        <w:t xml:space="preserve">;</w:t>
      </w:r>
    </w:p>
    <w:p>
      <w:pPr>
        <w:numPr>
          <w:ilvl w:val="0"/>
          <w:numId w:val="1249"/>
        </w:numPr>
        <w:pStyle w:val="Compact"/>
      </w:pPr>
      <w:r>
        <w:t xml:space="preserve">all</w:t>
      </w:r>
      <w:r>
        <w:t xml:space="preserve"> </w:t>
      </w:r>
      <w:r>
        <w:rPr>
          <w:rStyle w:val="VerbatimChar"/>
        </w:rPr>
        <w:t xml:space="preserve">NCRC_UNKNOWN</w:t>
      </w:r>
      <w:r>
        <w:t xml:space="preserve"> </w:t>
      </w:r>
      <w:r>
        <w:t xml:space="preserve">fields and the conservative disposition used;</w:t>
      </w:r>
    </w:p>
    <w:p>
      <w:pPr>
        <w:numPr>
          <w:ilvl w:val="0"/>
          <w:numId w:val="1249"/>
        </w:numPr>
        <w:pStyle w:val="Compact"/>
      </w:pPr>
      <w:r>
        <w:t xml:space="preserve">independent challenger attestation, or</w:t>
      </w:r>
      <w:r>
        <w:t xml:space="preserve"> </w:t>
      </w:r>
      <w:r>
        <w:rPr>
          <w:rStyle w:val="VerbatimChar"/>
        </w:rPr>
        <w:t xml:space="preserve">CHALLENGE_DEFERRED_EMERGENCY</w:t>
      </w:r>
      <w:r>
        <w:t xml:space="preserve">;</w:t>
      </w:r>
    </w:p>
    <w:p>
      <w:pPr>
        <w:numPr>
          <w:ilvl w:val="0"/>
          <w:numId w:val="1249"/>
        </w:numPr>
        <w:pStyle w:val="Compact"/>
      </w:pPr>
      <w:r>
        <w:t xml:space="preserve">mitigation/remediation plan with timeline;</w:t>
      </w:r>
    </w:p>
    <w:p>
      <w:pPr>
        <w:numPr>
          <w:ilvl w:val="0"/>
          <w:numId w:val="1249"/>
        </w:numPr>
        <w:pStyle w:val="Compact"/>
      </w:pPr>
      <w:r>
        <w:t xml:space="preserve">monitoring, appeal, remedy, exit, review cadence, and return-to-normal triggers.</w:t>
      </w:r>
    </w:p>
    <w:p>
      <w:pPr>
        <w:pStyle w:val="FirstParagraph"/>
      </w:pPr>
      <w:r>
        <w:t xml:space="preserve">Emergency Mode does not convert a rights-violating option into an ordinary NCRC pass. It documents a governed provisional response under necessity.</w:t>
      </w:r>
    </w:p>
    <w:p>
      <w:pPr>
        <w:pStyle w:val="BodyText"/>
      </w:pPr>
      <w:r>
        <w:t xml:space="preserve">End Appendix C.</w:t>
      </w:r>
    </w:p>
    <w:bookmarkEnd w:id="372"/>
    <w:bookmarkEnd w:id="373"/>
    <w:bookmarkStart w:id="386" w:name="Xa198e527a77677a44409084493f58e004476c4f"/>
    <w:p>
      <w:pPr>
        <w:pStyle w:val="Heading1"/>
      </w:pPr>
      <w:bookmarkStart w:id="789" w:name="mg_toc_025"/>
      <w:r>
        <w:rPr>
          <w:bCs/>
          <w:b/>
        </w:rPr>
        <w:t xml:space="preserve">APPENDIX D: TRC AND SCENARIO GOVERNANCE CANON PACK (TIER 1-3)</w:t>
      </w:r>
      <w:bookmarkEnd w:id="789"/>
    </w:p>
    <w:p>
      <w:pPr>
        <w:pStyle w:val="FirstParagraph"/>
      </w:pPr>
      <w:r>
        <w:t xml:space="preserve">Appendix D is normative.</w:t>
      </w:r>
    </w:p>
    <w:bookmarkStart w:id="374" w:name="d1-base-catastrophe-cell-set"/>
    <w:p>
      <w:pPr>
        <w:pStyle w:val="Heading2"/>
      </w:pPr>
      <w:r>
        <w:rPr>
          <w:bCs/>
          <w:b/>
        </w:rPr>
        <w:t xml:space="preserve">D.1 Base Catastrophe Cell Set</w:t>
      </w:r>
    </w:p>
    <w:p>
      <w:pPr>
        <w:pStyle w:val="FirstParagraph"/>
      </w:pPr>
      <w:r>
        <w:t xml:space="preserve">C_cat_base = {(6, Health), (6, Environment), (7, Environment)}</w:t>
      </w:r>
    </w:p>
    <w:p>
      <w:pPr>
        <w:pStyle w:val="BodyText"/>
      </w:pPr>
      <w:r>
        <w:t xml:space="preserve">These correspond to:</w:t>
      </w:r>
    </w:p>
    <w:p>
      <w:pPr>
        <w:numPr>
          <w:ilvl w:val="0"/>
          <w:numId w:val="1250"/>
        </w:numPr>
        <w:pStyle w:val="Compact"/>
      </w:pPr>
      <w:r>
        <w:t xml:space="preserve">(6, Health): Humanity / Global Coordination-Health, representing global-scale health viability</w:t>
      </w:r>
    </w:p>
    <w:p>
      <w:pPr>
        <w:numPr>
          <w:ilvl w:val="0"/>
          <w:numId w:val="1251"/>
        </w:numPr>
        <w:pStyle w:val="Compact"/>
      </w:pPr>
      <w:r>
        <w:t xml:space="preserve">(6, Environment): Humanity / Global Coordination-Environment, representing civilization-scale habitability conditions</w:t>
      </w:r>
    </w:p>
    <w:p>
      <w:pPr>
        <w:numPr>
          <w:ilvl w:val="0"/>
          <w:numId w:val="1252"/>
        </w:numPr>
        <w:pStyle w:val="Compact"/>
      </w:pPr>
      <w:r>
        <w:t xml:space="preserve">(7, Environment): Biosphere-Environment, representing Earth-system integrity</w:t>
      </w:r>
    </w:p>
    <w:bookmarkEnd w:id="374"/>
    <w:bookmarkStart w:id="375" w:name="X4866e4bf97316e53ff40a42a475914c774534b0"/>
    <w:p>
      <w:pPr>
        <w:pStyle w:val="Heading2"/>
      </w:pPr>
      <w:r>
        <w:rPr>
          <w:bCs/>
          <w:b/>
        </w:rPr>
        <w:t xml:space="preserve">D.1A Default Governance-Lock-In Extension Profile (Normative)</w:t>
      </w:r>
    </w:p>
    <w:p>
      <w:pPr>
        <w:pStyle w:val="FirstParagraph"/>
      </w:pPr>
      <w:r>
        <w:t xml:space="preserve">Trigger condition: This profile MUST be activated when any of the following is plausibly in scope for the decision: surveillance normalization; emergency-power persistence beyond justified sunset; due-process suspension or durable recourse collapse; information-ecosystem capture; irreversible dependency lock-in on critical infrastructure or governance functions; or concentrated arbitrary control without meaningful exit, review, or contestability.</w:t>
      </w:r>
    </w:p>
    <w:p>
      <w:pPr>
        <w:pStyle w:val="BodyText"/>
      </w:pPr>
      <w:r>
        <w:t xml:space="preserve">Default governance-lock catastrophe cell set:</w:t>
      </w:r>
    </w:p>
    <w:p>
      <w:pPr>
        <w:pStyle w:val="BodyText"/>
      </w:pPr>
      <w:r>
        <w:t xml:space="preserve">C_cat_lock_default = {(5, Agency), (5, Knowledge), (6, Agency), (6, Knowledge)}</w:t>
      </w:r>
    </w:p>
    <w:p>
      <w:pPr>
        <w:pStyle w:val="BodyText"/>
      </w:pPr>
      <w:r>
        <w:t xml:space="preserve">Default weighting rule when active:</w:t>
      </w:r>
    </w:p>
    <w:p>
      <w:pPr>
        <w:pStyle w:val="BodyText"/>
      </w:pPr>
      <w:r>
        <w:t xml:space="preserve">If no stricter governed profile is declared:</w:t>
      </w:r>
    </w:p>
    <w:p>
      <w:pPr>
        <w:pStyle w:val="BodyText"/>
      </w:pPr>
      <w:r>
        <w:t xml:space="preserve">Evaluate</w:t>
      </w:r>
      <w:r>
        <w:t xml:space="preserve"> </w:t>
      </w:r>
      <w:r>
        <w:rPr>
          <w:rStyle w:val="VerbatimChar"/>
        </w:rPr>
        <w:t xml:space="preserve">C_cat_base</w:t>
      </w:r>
      <w:r>
        <w:t xml:space="preserve"> </w:t>
      </w:r>
      <w:r>
        <w:t xml:space="preserve">and</w:t>
      </w:r>
      <w:r>
        <w:t xml:space="preserve"> </w:t>
      </w:r>
      <w:r>
        <w:rPr>
          <w:rStyle w:val="VerbatimChar"/>
        </w:rPr>
        <w:t xml:space="preserve">C_cat_lock_default</w:t>
      </w:r>
      <w:r>
        <w:t xml:space="preserve"> </w:t>
      </w:r>
      <w:r>
        <w:t xml:space="preserve">as separate active catastrophe profiles. Normalize weights within each profile, compute profile-specific loss and CVaR, and require every active profile to satisfy its governed corridor. A combined union summary may be reported only as non-controlling information and cannot rescue a failed profile.</w:t>
      </w:r>
    </w:p>
    <w:p>
      <w:pPr>
        <w:pStyle w:val="BodyText"/>
      </w:pPr>
      <w:r>
        <w:t xml:space="preserve">Interpretation:</w:t>
      </w:r>
    </w:p>
    <w:p>
      <w:pPr>
        <w:pStyle w:val="BodyText"/>
      </w:pPr>
      <w:r>
        <w:t xml:space="preserve">(5, Agency): polity-scale loss of contestability, due process, or civic agency</w:t>
      </w:r>
    </w:p>
    <w:p>
      <w:pPr>
        <w:pStyle w:val="BodyText"/>
      </w:pPr>
      <w:r>
        <w:t xml:space="preserve">(5, Knowledge): polity-scale degradation of information integrity and epistemic access</w:t>
      </w:r>
    </w:p>
    <w:p>
      <w:pPr>
        <w:pStyle w:val="BodyText"/>
      </w:pPr>
      <w:r>
        <w:t xml:space="preserve">(6, Agency): civilization-scale agency loss, lock-in, or durable corrigibility collapse</w:t>
      </w:r>
    </w:p>
    <w:p>
      <w:pPr>
        <w:pStyle w:val="BodyText"/>
      </w:pPr>
      <w:r>
        <w:t xml:space="preserve">(6, Knowledge): civilization-scale information capture, knowledge bottlenecking, or durable epistemic enclosure</w:t>
      </w:r>
    </w:p>
    <w:p>
      <w:pPr>
        <w:pStyle w:val="BodyText"/>
      </w:pPr>
      <w:r>
        <w:t xml:space="preserve">Symmetry rule: The same active catastrophe set and weights MUST be applied across all compared options in the run.</w:t>
      </w:r>
    </w:p>
    <w:p>
      <w:pPr>
        <w:pStyle w:val="BodyText"/>
      </w:pPr>
      <w:r>
        <w:t xml:space="preserve">PCC rule: The PCC MUST record whether the governance-lock profile was inactive, active by default trigger, or replaced by a stricter governed profile.</w:t>
      </w:r>
    </w:p>
    <w:bookmarkEnd w:id="375"/>
    <w:bookmarkStart w:id="376" w:name="X2a6e1b13d4cd2ee01741ed5dab81ba64b2e2508"/>
    <w:p>
      <w:pPr>
        <w:pStyle w:val="Heading2"/>
      </w:pPr>
      <w:r>
        <w:rPr>
          <w:bCs/>
          <w:b/>
        </w:rPr>
        <w:t xml:space="preserve">D.2 Mandatory Tail Scenario Categories (Canonical)</w:t>
      </w:r>
    </w:p>
    <w:p>
      <w:pPr>
        <w:pStyle w:val="FirstParagraph"/>
      </w:pPr>
      <w:r>
        <w:t xml:space="preserve">The scenario set MUST include the following tail categories unless explicitly justified as not plausible. Governance / lock-in catastrophe is a mandatory tail category if and only if the governance-lock-in extension profile in D.1A is active; otherwise it is recommended but not mandatory. When that profile is active, the scenario set MUST include at least one governance-lock-in tail category with category probability floor p_floor ≥ 0.02.</w:t>
      </w:r>
    </w:p>
    <w:p>
      <w:pPr>
        <w:numPr>
          <w:ilvl w:val="0"/>
          <w:numId w:val="1253"/>
        </w:numPr>
        <w:pStyle w:val="Compact"/>
      </w:pPr>
      <w:r>
        <w:t xml:space="preserve">Pandemic/biological disruption: Disease outbreak with significant mortality/morbidity</w:t>
      </w:r>
    </w:p>
    <w:p>
      <w:pPr>
        <w:numPr>
          <w:ilvl w:val="0"/>
          <w:numId w:val="1254"/>
        </w:numPr>
        <w:pStyle w:val="Compact"/>
      </w:pPr>
      <w:r>
        <w:t xml:space="preserve">Climate tipping cascade: Triggering of climate tipping points with cascading effects</w:t>
      </w:r>
    </w:p>
    <w:p>
      <w:pPr>
        <w:numPr>
          <w:ilvl w:val="0"/>
          <w:numId w:val="1255"/>
        </w:numPr>
        <w:pStyle w:val="Compact"/>
      </w:pPr>
      <w:r>
        <w:t xml:space="preserve">Financial system collapse: Systemic failure of financial infrastructure</w:t>
      </w:r>
    </w:p>
    <w:p>
      <w:pPr>
        <w:numPr>
          <w:ilvl w:val="0"/>
          <w:numId w:val="1256"/>
        </w:numPr>
        <w:pStyle w:val="Compact"/>
      </w:pPr>
      <w:r>
        <w:t xml:space="preserve">Major conflict escalation: Armed conflict with regional or global implications</w:t>
      </w:r>
    </w:p>
    <w:p>
      <w:pPr>
        <w:numPr>
          <w:ilvl w:val="0"/>
          <w:numId w:val="1257"/>
        </w:numPr>
        <w:pStyle w:val="Compact"/>
      </w:pPr>
      <w:r>
        <w:t xml:space="preserve">Critical infrastructure failure: Failure of essential services (power, water, communications)</w:t>
      </w:r>
    </w:p>
    <w:p>
      <w:pPr>
        <w:pStyle w:val="FirstParagraph"/>
      </w:pPr>
      <w:r>
        <w:t xml:space="preserve">Governance / lock-in catastrophe: Surveillance normalization, durable recourse collapse, information-ecosystem capture, irreversible dependency lock-in, or concentrated arbitrary control over critical governance or infrastructure functions</w:t>
      </w:r>
    </w:p>
    <w:bookmarkEnd w:id="376"/>
    <w:bookmarkStart w:id="377" w:name="d3-probability-floor-canonical"/>
    <w:p>
      <w:pPr>
        <w:pStyle w:val="Heading2"/>
      </w:pPr>
      <w:r>
        <w:rPr>
          <w:bCs/>
          <w:b/>
        </w:rPr>
        <w:t xml:space="preserve">D.3 Probability Floor (Canonical)</w:t>
      </w:r>
    </w:p>
    <w:p>
      <w:pPr>
        <w:pStyle w:val="FirstParagraph"/>
      </w:pPr>
      <w:r>
        <w:t xml:space="preserve">Minimum category probability floor: p_floor ≥ 0.02</w:t>
      </w:r>
    </w:p>
    <w:p>
      <w:pPr>
        <w:pStyle w:val="BodyText"/>
      </w:pPr>
      <w:r>
        <w:t xml:space="preserve">Meaning: The sum of probabilities of scenarios in each mandatory category must be ≥ 0.02 unless explicitly justified as implausible for the specific decision context per Section 8.3.2.</w:t>
      </w:r>
    </w:p>
    <w:bookmarkEnd w:id="377"/>
    <w:bookmarkStart w:id="378" w:name="X29a96cf9e7c0fac9419db326faa23594419901a"/>
    <w:p>
      <w:pPr>
        <w:pStyle w:val="Heading2"/>
      </w:pPr>
      <w:r>
        <w:rPr>
          <w:bCs/>
          <w:b/>
        </w:rPr>
        <w:t xml:space="preserve">D.4 Scenario Set Size Requirements (Canonical)</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Tier</w:t>
            </w:r>
          </w:p>
        </w:tc>
        <w:tc>
          <w:tcPr>
            <w:shd w:val="clear" w:color="auto" w:fill="D9EAF7"/>
            <w:vAlign w:val="center"/>
          </w:tcPr>
          <w:p>
            <w:pPr>
              <w:pStyle w:val="Compact"/>
              <w:jc w:val="left"/>
            </w:pPr>
            <w:r>
              <w:rPr>
                <w:bCs/>
                <w:b/>
                <w:color w:val="17365D"/>
              </w:rPr>
              <w:t xml:space="preserve">TRC Required?</w:t>
            </w:r>
          </w:p>
        </w:tc>
        <w:tc>
          <w:tcPr>
            <w:shd w:val="clear" w:color="auto" w:fill="D9EAF7"/>
            <w:vAlign w:val="center"/>
          </w:tcPr>
          <w:p>
            <w:pPr>
              <w:pStyle w:val="Compact"/>
              <w:jc w:val="left"/>
            </w:pPr>
            <w:r>
              <w:rPr>
                <w:bCs/>
                <w:b/>
                <w:color w:val="17365D"/>
              </w:rPr>
              <w:t xml:space="preserve">Minimum</w:t>
            </w:r>
          </w:p>
        </w:tc>
      </w:tr>
      <w:tr>
        <w:tc>
          <w:tcPr>
            <w:vAlign w:val="top"/>
          </w:tcPr>
          <w:p>
            <w:pPr>
              <w:pStyle w:val="Compact"/>
              <w:jc w:val="left"/>
            </w:pPr>
            <w:r>
              <w:t xml:space="preserve">Tier 1</w:t>
            </w:r>
          </w:p>
        </w:tc>
        <w:tc>
          <w:tcPr>
            <w:vAlign w:val="top"/>
          </w:tcPr>
          <w:p>
            <w:pPr>
              <w:pStyle w:val="Compact"/>
              <w:jc w:val="left"/>
            </w:pPr>
            <w:r>
              <w:t xml:space="preserve">Optional (qualitative screen)</w:t>
            </w:r>
          </w:p>
        </w:tc>
        <w:tc>
          <w:tcPr>
            <w:vAlign w:val="top"/>
          </w:tcPr>
          <w:p>
            <w:pPr>
              <w:pStyle w:val="Compact"/>
              <w:jc w:val="left"/>
            </w:pPr>
            <w:r>
              <w:t xml:space="preserve">N/A</w:t>
            </w:r>
          </w:p>
        </w:tc>
      </w:tr>
      <w:tr>
        <w:tc>
          <w:tcPr>
            <w:shd w:val="clear" w:color="auto" w:fill="F7FBFE"/>
            <w:vAlign w:val="top"/>
          </w:tcPr>
          <w:p>
            <w:pPr>
              <w:pStyle w:val="Compact"/>
              <w:jc w:val="left"/>
            </w:pPr>
            <w:r>
              <w:t xml:space="preserve">Tier 2</w:t>
            </w:r>
          </w:p>
        </w:tc>
        <w:tc>
          <w:tcPr>
            <w:shd w:val="clear" w:color="auto" w:fill="F7FBFE"/>
            <w:vAlign w:val="top"/>
          </w:tcPr>
          <w:p>
            <w:pPr>
              <w:pStyle w:val="Compact"/>
              <w:jc w:val="left"/>
            </w:pPr>
            <w:r>
              <w:t xml:space="preserve">Required when catastrophe relevance plausible</w:t>
            </w:r>
          </w:p>
        </w:tc>
        <w:tc>
          <w:tcPr>
            <w:shd w:val="clear" w:color="auto" w:fill="F7FBFE"/>
            <w:vAlign w:val="top"/>
          </w:tcPr>
          <w:p>
            <w:pPr>
              <w:pStyle w:val="Compact"/>
              <w:jc w:val="left"/>
            </w:pPr>
            <w:r>
              <w:t xml:space="preserve">≥5 minimum</w:t>
            </w:r>
          </w:p>
        </w:tc>
      </w:tr>
      <w:tr>
        <w:tc>
          <w:tcPr>
            <w:vAlign w:val="top"/>
          </w:tcPr>
          <w:p>
            <w:pPr>
              <w:pStyle w:val="Compact"/>
              <w:jc w:val="left"/>
            </w:pPr>
            <w:r>
              <w:t xml:space="preserve">Tier 3</w:t>
            </w:r>
          </w:p>
        </w:tc>
        <w:tc>
          <w:tcPr>
            <w:vAlign w:val="top"/>
          </w:tcPr>
          <w:p>
            <w:pPr>
              <w:pStyle w:val="Compact"/>
              <w:jc w:val="left"/>
            </w:pPr>
            <w:r>
              <w:t xml:space="preserve">Required</w:t>
            </w:r>
          </w:p>
        </w:tc>
        <w:tc>
          <w:tcPr>
            <w:vAlign w:val="top"/>
          </w:tcPr>
          <w:p>
            <w:pPr>
              <w:pStyle w:val="Compact"/>
              <w:jc w:val="left"/>
            </w:pPr>
            <w:r>
              <w:t xml:space="preserve">≥20 minimum</w:t>
            </w:r>
          </w:p>
        </w:tc>
      </w:tr>
      <w:tr>
        <w:tc>
          <w:tcPr>
            <w:shd w:val="clear" w:color="auto" w:fill="F7FBFE"/>
            <w:vAlign w:val="top"/>
          </w:tcPr>
          <w:p>
            <w:pPr>
              <w:pStyle w:val="Compact"/>
              <w:jc w:val="left"/>
            </w:pPr>
            <w:r>
              <w:t xml:space="preserve">Tier 4</w:t>
            </w:r>
          </w:p>
        </w:tc>
        <w:tc>
          <w:tcPr>
            <w:shd w:val="clear" w:color="auto" w:fill="F7FBFE"/>
            <w:vAlign w:val="top"/>
          </w:tcPr>
          <w:p>
            <w:pPr>
              <w:pStyle w:val="Compact"/>
              <w:jc w:val="left"/>
            </w:pPr>
            <w:r>
              <w:t xml:space="preserve">Design target only</w:t>
            </w:r>
          </w:p>
        </w:tc>
        <w:tc>
          <w:tcPr>
            <w:shd w:val="clear" w:color="auto" w:fill="F7FBFE"/>
            <w:vAlign w:val="top"/>
          </w:tcPr>
          <w:p>
            <w:pPr>
              <w:pStyle w:val="Compact"/>
              <w:jc w:val="left"/>
            </w:pPr>
            <w:r>
              <w:t xml:space="preserve">N/A</w:t>
            </w:r>
          </w:p>
        </w:tc>
      </w:tr>
    </w:tbl>
    <w:bookmarkEnd w:id="378"/>
    <w:bookmarkStart w:id="379" w:name="X955489bf14f6a44135d627ef43ed25fecf493f3"/>
    <w:p>
      <w:pPr>
        <w:pStyle w:val="Heading2"/>
      </w:pPr>
      <w:r>
        <w:rPr>
          <w:bCs/>
          <w:b/>
        </w:rPr>
        <w:t xml:space="preserve">D.5 Scenario Definition Template (Normative Minimum Fields)</w:t>
      </w:r>
    </w:p>
    <w:p>
      <w:pPr>
        <w:pStyle w:val="FirstParagraph"/>
      </w:pPr>
      <w:r>
        <w:t xml:space="preserve">Each scenario record in PCC MUST include: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Field</w:t>
            </w:r>
          </w:p>
        </w:tc>
        <w:tc>
          <w:tcPr>
            <w:shd w:val="clear" w:color="auto" w:fill="D9EAF7"/>
            <w:vAlign w:val="center"/>
          </w:tcPr>
          <w:p>
            <w:pPr>
              <w:pStyle w:val="Compact"/>
              <w:jc w:val="left"/>
            </w:pPr>
            <w:r>
              <w:rPr>
                <w:bCs/>
                <w:b/>
                <w:color w:val="17365D"/>
              </w:rPr>
              <w:t xml:space="preserve">Description</w:t>
            </w:r>
          </w:p>
        </w:tc>
      </w:tr>
      <w:tr>
        <w:tc>
          <w:tcPr>
            <w:vAlign w:val="top"/>
          </w:tcPr>
          <w:p>
            <w:pPr>
              <w:pStyle w:val="Compact"/>
              <w:jc w:val="left"/>
            </w:pPr>
            <w:r>
              <w:t xml:space="preserve">Scenario ID</w:t>
            </w:r>
          </w:p>
        </w:tc>
        <w:tc>
          <w:tcPr>
            <w:vAlign w:val="top"/>
          </w:tcPr>
          <w:p>
            <w:pPr>
              <w:pStyle w:val="Compact"/>
              <w:jc w:val="left"/>
            </w:pPr>
            <w:r>
              <w:t xml:space="preserve">Unique identifier within the run</w:t>
            </w:r>
          </w:p>
        </w:tc>
      </w:tr>
      <w:tr>
        <w:tc>
          <w:tcPr>
            <w:shd w:val="clear" w:color="auto" w:fill="F7FBFE"/>
            <w:vAlign w:val="top"/>
          </w:tcPr>
          <w:p>
            <w:pPr>
              <w:pStyle w:val="Compact"/>
              <w:jc w:val="left"/>
            </w:pPr>
            <w:r>
              <w:t xml:space="preserve">Name</w:t>
            </w:r>
          </w:p>
        </w:tc>
        <w:tc>
          <w:tcPr>
            <w:shd w:val="clear" w:color="auto" w:fill="F7FBFE"/>
            <w:vAlign w:val="top"/>
          </w:tcPr>
          <w:p>
            <w:pPr>
              <w:pStyle w:val="Compact"/>
              <w:jc w:val="left"/>
            </w:pPr>
            <w:r>
              <w:t xml:space="preserve">Descriptive name</w:t>
            </w:r>
          </w:p>
        </w:tc>
      </w:tr>
      <w:tr>
        <w:tc>
          <w:tcPr>
            <w:vAlign w:val="top"/>
          </w:tcPr>
          <w:p>
            <w:pPr>
              <w:pStyle w:val="Compact"/>
              <w:jc w:val="left"/>
            </w:pPr>
            <w:r>
              <w:t xml:space="preserve">Category</w:t>
            </w:r>
          </w:p>
        </w:tc>
        <w:tc>
          <w:tcPr>
            <w:vAlign w:val="top"/>
          </w:tcPr>
          <w:p>
            <w:pPr>
              <w:pStyle w:val="Compact"/>
              <w:jc w:val="left"/>
            </w:pPr>
            <w:r>
              <w:t xml:space="preserve">One of the mandatory categories or “baseline/other”</w:t>
            </w:r>
          </w:p>
        </w:tc>
      </w:tr>
      <w:tr>
        <w:tc>
          <w:tcPr>
            <w:shd w:val="clear" w:color="auto" w:fill="F7FBFE"/>
            <w:vAlign w:val="top"/>
          </w:tcPr>
          <w:p>
            <w:pPr>
              <w:pStyle w:val="Compact"/>
              <w:jc w:val="left"/>
            </w:pPr>
            <w:r>
              <w:t xml:space="preserve">Narrative</w:t>
            </w:r>
          </w:p>
        </w:tc>
        <w:tc>
          <w:tcPr>
            <w:shd w:val="clear" w:color="auto" w:fill="F7FBFE"/>
            <w:vAlign w:val="top"/>
          </w:tcPr>
          <w:p>
            <w:pPr>
              <w:pStyle w:val="Compact"/>
              <w:jc w:val="left"/>
            </w:pPr>
            <w:r>
              <w:t xml:space="preserve">2-5 sentences describing the scenario</w:t>
            </w:r>
          </w:p>
        </w:tc>
      </w:tr>
      <w:tr>
        <w:tc>
          <w:tcPr>
            <w:vAlign w:val="top"/>
          </w:tcPr>
          <w:p>
            <w:pPr>
              <w:pStyle w:val="Compact"/>
              <w:jc w:val="left"/>
            </w:pPr>
            <w:r>
              <w:t xml:space="preserve">Time horizon</w:t>
            </w:r>
          </w:p>
        </w:tc>
        <w:tc>
          <w:tcPr>
            <w:vAlign w:val="top"/>
          </w:tcPr>
          <w:p>
            <w:pPr>
              <w:pStyle w:val="Compact"/>
              <w:jc w:val="left"/>
            </w:pPr>
            <w:r>
              <w:t xml:space="preserve">Timing assumptions</w:t>
            </w:r>
          </w:p>
        </w:tc>
      </w:tr>
      <w:tr>
        <w:tc>
          <w:tcPr>
            <w:shd w:val="clear" w:color="auto" w:fill="F7FBFE"/>
            <w:vAlign w:val="top"/>
          </w:tcPr>
          <w:p>
            <w:pPr>
              <w:pStyle w:val="Compact"/>
              <w:jc w:val="left"/>
            </w:pPr>
            <w:r>
              <w:t xml:space="preserve">Key stressors</w:t>
            </w:r>
          </w:p>
        </w:tc>
        <w:tc>
          <w:tcPr>
            <w:shd w:val="clear" w:color="auto" w:fill="F7FBFE"/>
            <w:vAlign w:val="top"/>
          </w:tcPr>
          <w:p>
            <w:pPr>
              <w:pStyle w:val="Compact"/>
              <w:jc w:val="left"/>
            </w:pPr>
            <w:r>
              <w:t xml:space="preserve">What breaks, how, and cascading effects</w:t>
            </w:r>
          </w:p>
        </w:tc>
      </w:tr>
      <w:tr>
        <w:tc>
          <w:tcPr>
            <w:vAlign w:val="top"/>
          </w:tcPr>
          <w:p>
            <w:pPr>
              <w:pStyle w:val="Compact"/>
              <w:jc w:val="left"/>
            </w:pPr>
            <w:r>
              <w:t xml:space="preserve">Parameterization</w:t>
            </w:r>
          </w:p>
        </w:tc>
        <w:tc>
          <w:tcPr>
            <w:vAlign w:val="top"/>
          </w:tcPr>
          <w:p>
            <w:pPr>
              <w:pStyle w:val="Compact"/>
              <w:jc w:val="left"/>
            </w:pPr>
            <w:r>
              <w:t xml:space="preserve">What changes in impacts/likelihoods under this scenario</w:t>
            </w:r>
          </w:p>
        </w:tc>
      </w:tr>
      <w:tr>
        <w:tc>
          <w:tcPr>
            <w:shd w:val="clear" w:color="auto" w:fill="F7FBFE"/>
            <w:vAlign w:val="top"/>
          </w:tcPr>
          <w:p>
            <w:pPr>
              <w:pStyle w:val="Compact"/>
              <w:jc w:val="left"/>
            </w:pPr>
            <w:r>
              <w:t xml:space="preserve">Probability p_s</w:t>
            </w:r>
          </w:p>
        </w:tc>
        <w:tc>
          <w:tcPr>
            <w:shd w:val="clear" w:color="auto" w:fill="F7FBFE"/>
            <w:vAlign w:val="top"/>
          </w:tcPr>
          <w:p>
            <w:pPr>
              <w:pStyle w:val="Compact"/>
              <w:jc w:val="left"/>
            </w:pPr>
            <w:r>
              <w:t xml:space="preserve">Assigned probability with provenance</w:t>
            </w:r>
          </w:p>
        </w:tc>
      </w:tr>
      <w:tr>
        <w:tc>
          <w:tcPr>
            <w:vAlign w:val="top"/>
          </w:tcPr>
          <w:p>
            <w:pPr>
              <w:pStyle w:val="Compact"/>
              <w:jc w:val="left"/>
            </w:pPr>
            <w:r>
              <w:t xml:space="preserve">Provenance</w:t>
            </w:r>
          </w:p>
        </w:tc>
        <w:tc>
          <w:tcPr>
            <w:vAlign w:val="top"/>
          </w:tcPr>
          <w:p>
            <w:pPr>
              <w:pStyle w:val="Compact"/>
              <w:jc w:val="left"/>
            </w:pPr>
            <w:r>
              <w:t xml:space="preserve">Data source, model, expert elicitation, or governance prior</w:t>
            </w:r>
          </w:p>
        </w:tc>
      </w:tr>
      <w:tr>
        <w:tc>
          <w:tcPr>
            <w:shd w:val="clear" w:color="auto" w:fill="F7FBFE"/>
            <w:vAlign w:val="top"/>
          </w:tcPr>
          <w:p>
            <w:pPr>
              <w:pStyle w:val="Compact"/>
              <w:jc w:val="left"/>
            </w:pPr>
            <w:r>
              <w:t xml:space="preserve">Severity class</w:t>
            </w:r>
          </w:p>
        </w:tc>
        <w:tc>
          <w:tcPr>
            <w:shd w:val="clear" w:color="auto" w:fill="F7FBFE"/>
            <w:vAlign w:val="top"/>
          </w:tcPr>
          <w:p>
            <w:pPr>
              <w:pStyle w:val="Compact"/>
              <w:jc w:val="left"/>
            </w:pPr>
            <w:r>
              <w:t xml:space="preserve">C1_SEVERE / C2_SYSTEMIC / C3_CIVILIZATIONAL / C4_EXISTENTIAL</w:t>
            </w:r>
          </w:p>
        </w:tc>
      </w:tr>
      <w:tr>
        <w:tc>
          <w:tcPr>
            <w:vAlign w:val="top"/>
          </w:tcPr>
          <w:p>
            <w:pPr>
              <w:pStyle w:val="Compact"/>
              <w:jc w:val="left"/>
            </w:pPr>
            <w:r>
              <w:t xml:space="preserve">Dependence cluster</w:t>
            </w:r>
          </w:p>
        </w:tc>
        <w:tc>
          <w:tcPr>
            <w:vAlign w:val="top"/>
          </w:tcPr>
          <w:p>
            <w:pPr>
              <w:pStyle w:val="Compact"/>
              <w:jc w:val="left"/>
            </w:pPr>
            <w:r>
              <w:t xml:space="preserve">Declared common-cause or dependence-cluster identifier; NONE only with justification.</w:t>
            </w:r>
          </w:p>
        </w:tc>
      </w:tr>
    </w:tbl>
    <w:bookmarkEnd w:id="379"/>
    <w:bookmarkStart w:id="380" w:name="Xcc5fa6430b48fc085b8b971219c712e713d3d5a"/>
    <w:p>
      <w:pPr>
        <w:pStyle w:val="Heading2"/>
      </w:pPr>
      <w:r>
        <w:rPr>
          <w:bCs/>
          <w:b/>
        </w:rPr>
        <w:t xml:space="preserve">D.6 Loss Construction (Bounded-Impact Mode, Tier 1-3 Canon)</w:t>
      </w:r>
    </w:p>
    <w:p>
      <w:pPr>
        <w:pStyle w:val="FirstParagraph"/>
      </w:pPr>
      <w:r>
        <w:t xml:space="preserve">Normative stream binding (Design A): TRC MUST be computed from the Base stream (I_prop_base). TRC MUST NOT use Welfare-stream (sentience-weighted) impacts.</w:t>
      </w:r>
    </w:p>
    <w:p>
      <w:pPr>
        <w:pStyle w:val="BodyText"/>
      </w:pPr>
      <w:r>
        <w:t xml:space="preserve">For each scenario s:</w:t>
      </w:r>
    </w:p>
    <w:p>
      <w:pPr>
        <w:pStyle w:val="BodyText"/>
      </w:pPr>
      <w:r>
        <w:t xml:space="preserve">L(a,s) = Σ_{c ∈ C_cat} ω_c × (−I_prop_base,c(a|s))⁺</w:t>
      </w:r>
    </w:p>
    <w:p>
      <w:pPr>
        <w:pStyle w:val="BodyText"/>
      </w:pPr>
      <w:r>
        <w:t xml:space="preserve">with Σ_{c ∈ C_cat} ω_c = 1.</w:t>
      </w:r>
    </w:p>
    <w:p>
      <w:pPr>
        <w:pStyle w:val="BodyText"/>
      </w:pPr>
      <w:r>
        <w:t xml:space="preserve">Default catastrophe weights: Uniform over C_cat unless otherwise governed.</w:t>
      </w:r>
    </w:p>
    <w:p>
      <w:pPr>
        <w:pStyle w:val="BodyText"/>
      </w:pPr>
      <w:r>
        <w:t>Any non-default ω_c vector MUST be declared ex ante, normalized within the active profile, justified, applied symmetrically, and accompanied by the uniform-weight counterfactual when the run is Tier 3 or decision-material/high-stakes Tier 2. Non-default weighting MUST NOT weaken the base-profile non-dilution rule or hide a material catastrophe cell.</w:t>
      </w:r>
    </w:p>
    <w:bookmarkEnd w:id="380"/>
    <w:bookmarkStart w:id="381" w:name="X88b26a6f3ba392acf9280941c28aeebac600f58"/>
    <w:p>
      <w:pPr>
        <w:pStyle w:val="Heading2"/>
      </w:pPr>
      <w:r>
        <w:rPr>
          <w:bCs/>
          <w:b/>
        </w:rPr>
        <w:t xml:space="preserve">D.7 Discrete CVaR Algorithm (Canonical; Tier 1-3)</w:t>
      </w:r>
    </w:p>
    <w:p>
      <w:pPr>
        <w:pStyle w:val="FirstParagraph"/>
      </w:pPr>
      <w:r>
        <w:t xml:space="preserve">Inputs: losses L(a, s1), …, L(a, sn); probabilities p1, …, pn; tail level α.</w:t>
      </w:r>
    </w:p>
    <w:p>
      <w:pPr>
        <w:pStyle w:val="BodyText"/>
      </w:pPr>
      <w:r>
        <w:t xml:space="preserve">1. Let β := 1 − α.</w:t>
      </w:r>
    </w:p>
    <w:p>
      <w:pPr>
        <w:pStyle w:val="BodyText"/>
      </w:pPr>
      <w:r>
        <w:t xml:space="preserve">2. Sort scenarios by loss descending: L_(1) ≥ L_(2) ≥ ⋯ ≥ L_(n), carrying the aligned probabilities p_(i).</w:t>
      </w:r>
    </w:p>
    <w:p>
      <w:pPr>
        <w:pStyle w:val="BodyText"/>
      </w:pPr>
      <w:r>
        <w:t xml:space="preserve">3. Let k* be the smallest index such that Σ_{i=1}^{k*} p_(i) ≥ β.</w:t>
      </w:r>
    </w:p>
    <w:p>
      <w:pPr>
        <w:pStyle w:val="BodyText"/>
      </w:pPr>
      <w:r>
        <w:t xml:space="preserve">4. Define P_{k*−1} := Σ_{i=1}^{k*−1} p_(i) (and P_0 := 0).</w:t>
      </w:r>
    </w:p>
    <w:p>
      <w:pPr>
        <w:pStyle w:val="BodyText"/>
      </w:pPr>
      <w:r>
        <w:t xml:space="preserve">5. Define δ := β − P_{k*−1}.</w:t>
      </w:r>
    </w:p>
    <w:p>
      <w:pPr>
        <w:pStyle w:val="BodyText"/>
      </w:pPr>
      <w:r>
        <w:t xml:space="preserve">6. Compute:</w:t>
      </w:r>
    </w:p>
    <w:p>
      <w:pPr>
        <w:pStyle w:val="BodyText"/>
      </w:pPr>
      <w:r>
        <w:t xml:space="preserve">CVaR_α[L(a)] = (1/β) · ( Σ_{i=1}^{k*−1} p_(i) L_(i) + δ · L_(k*) ).</w:t>
      </w:r>
    </w:p>
    <w:p>
      <w:pPr>
        <w:pStyle w:val="BodyText"/>
      </w:pPr>
      <w:r>
        <w:t xml:space="preserve">Audit: PCC includes the sorted table, k*, P_{k*−1}, δ, and CVaR_α.</w:t>
      </w:r>
    </w:p>
    <w:p>
      <w:pPr>
        <w:pStyle w:val="BodyText"/>
      </w:pPr>
      <w:r>
        <w:t xml:space="preserve">(Here L_(i) is shorthand for L(a, s_(i)).)</w:t>
      </w:r>
    </w:p>
    <w:bookmarkEnd w:id="381"/>
    <w:bookmarkStart w:id="382" w:name="d8-trc-corridor-check-canonical"/>
    <w:p>
      <w:pPr>
        <w:pStyle w:val="Heading2"/>
      </w:pPr>
      <w:r>
        <w:rPr>
          <w:bCs/>
          <w:b/>
        </w:rPr>
        <w:t xml:space="preserve">D.8 TRC Corridor Check (Canonical)</w:t>
      </w:r>
    </w:p>
    <w:p>
      <w:pPr>
        <w:pStyle w:val="FirstParagraph"/>
      </w:pPr>
      <w:r>
        <w:t xml:space="preserve">TRC(a) = TRUE if and only if CVaR_α[L(a)] ≤ τ_TRC, every active class-specific cap or tolerance under Section 8.4A is satisfied, no unresolved material C3 or C4 field remains, and all mandatory scenario-family requirements are satisfied or governed exceptions are recorded.</w:t>
      </w:r>
    </w:p>
    <w:bookmarkEnd w:id="382"/>
    <w:bookmarkStart w:id="383" w:name="X93b49daed9ccfb1eb124c8b71fd8d22493cda1d"/>
    <w:p>
      <w:pPr>
        <w:pStyle w:val="Heading2"/>
      </w:pPr>
      <w:r>
        <w:rPr>
          <w:bCs/>
          <w:b/>
        </w:rPr>
        <w:t xml:space="preserve">D.9 Default TRC Parameters by Context (Canonical Defaults)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Context</w:t>
            </w:r>
          </w:p>
        </w:tc>
        <w:tc>
          <w:tcPr>
            <w:shd w:val="clear" w:color="auto" w:fill="D9EAF7"/>
            <w:vAlign w:val="center"/>
          </w:tcPr>
          <w:p>
            <w:pPr>
              <w:pStyle w:val="Compact"/>
              <w:jc w:val="left"/>
            </w:pPr>
            <w:r>
              <w:rPr>
                <w:bCs/>
                <w:b/>
                <w:color w:val="17365D"/>
              </w:rPr>
              <w:t xml:space="preserve">α (tail level)</w:t>
            </w:r>
          </w:p>
        </w:tc>
        <w:tc>
          <w:tcPr>
            <w:shd w:val="clear" w:color="auto" w:fill="D9EAF7"/>
            <w:vAlign w:val="center"/>
          </w:tcPr>
          <w:p>
            <w:pPr>
              <w:pStyle w:val="Compact"/>
              <w:jc w:val="left"/>
            </w:pPr>
            <w:r>
              <w:rPr>
                <w:bCs/>
                <w:b/>
                <w:color w:val="17365D"/>
              </w:rPr>
              <w:t xml:space="preserve">τ_TRC (threshold)</w:t>
            </w:r>
          </w:p>
        </w:tc>
      </w:tr>
      <w:tr>
        <w:tc>
          <w:tcPr>
            <w:vAlign w:val="top"/>
          </w:tcPr>
          <w:p>
            <w:pPr>
              <w:pStyle w:val="Compact"/>
              <w:jc w:val="left"/>
            </w:pPr>
            <w:r>
              <w:t xml:space="preserve">Personal</w:t>
            </w:r>
          </w:p>
        </w:tc>
        <w:tc>
          <w:tcPr>
            <w:vAlign w:val="top"/>
          </w:tcPr>
          <w:p>
            <w:pPr>
              <w:pStyle w:val="Compact"/>
              <w:jc w:val="left"/>
            </w:pPr>
            <w:r>
              <w:t xml:space="preserve">0.90</w:t>
            </w:r>
          </w:p>
        </w:tc>
        <w:tc>
          <w:tcPr>
            <w:vAlign w:val="top"/>
          </w:tcPr>
          <w:p>
            <w:pPr>
              <w:pStyle w:val="Compact"/>
              <w:jc w:val="left"/>
            </w:pPr>
            <w:r>
              <w:t xml:space="preserve">0.30</w:t>
            </w:r>
          </w:p>
        </w:tc>
      </w:tr>
      <w:tr>
        <w:tc>
          <w:tcPr>
            <w:shd w:val="clear" w:color="auto" w:fill="F7FBFE"/>
            <w:vAlign w:val="top"/>
          </w:tcPr>
          <w:p>
            <w:pPr>
              <w:pStyle w:val="Compact"/>
              <w:jc w:val="left"/>
            </w:pPr>
            <w:r>
              <w:t xml:space="preserve">Organizational</w:t>
            </w:r>
          </w:p>
        </w:tc>
        <w:tc>
          <w:tcPr>
            <w:shd w:val="clear" w:color="auto" w:fill="F7FBFE"/>
            <w:vAlign w:val="top"/>
          </w:tcPr>
          <w:p>
            <w:pPr>
              <w:pStyle w:val="Compact"/>
              <w:jc w:val="left"/>
            </w:pPr>
            <w:r>
              <w:t xml:space="preserve">0.95</w:t>
            </w:r>
          </w:p>
        </w:tc>
        <w:tc>
          <w:tcPr>
            <w:shd w:val="clear" w:color="auto" w:fill="F7FBFE"/>
            <w:vAlign w:val="top"/>
          </w:tcPr>
          <w:p>
            <w:pPr>
              <w:pStyle w:val="Compact"/>
              <w:jc w:val="left"/>
            </w:pPr>
            <w:r>
              <w:t xml:space="preserve">0.20</w:t>
            </w:r>
          </w:p>
        </w:tc>
      </w:tr>
      <w:tr>
        <w:tc>
          <w:tcPr>
            <w:vAlign w:val="top"/>
          </w:tcPr>
          <w:p>
            <w:pPr>
              <w:pStyle w:val="Compact"/>
              <w:jc w:val="left"/>
            </w:pPr>
            <w:r>
              <w:t xml:space="preserve">Reversible policy</w:t>
            </w:r>
          </w:p>
        </w:tc>
        <w:tc>
          <w:tcPr>
            <w:vAlign w:val="top"/>
          </w:tcPr>
          <w:p>
            <w:pPr>
              <w:pStyle w:val="Compact"/>
              <w:jc w:val="left"/>
            </w:pPr>
            <w:r>
              <w:t xml:space="preserve">0.95</w:t>
            </w:r>
          </w:p>
        </w:tc>
        <w:tc>
          <w:tcPr>
            <w:vAlign w:val="top"/>
          </w:tcPr>
          <w:p>
            <w:pPr>
              <w:pStyle w:val="Compact"/>
              <w:jc w:val="left"/>
            </w:pPr>
            <w:r>
              <w:t xml:space="preserve">0.15</w:t>
            </w:r>
          </w:p>
        </w:tc>
      </w:tr>
      <w:tr>
        <w:tc>
          <w:tcPr>
            <w:shd w:val="clear" w:color="auto" w:fill="F7FBFE"/>
            <w:vAlign w:val="top"/>
          </w:tcPr>
          <w:p>
            <w:pPr>
              <w:pStyle w:val="Compact"/>
              <w:jc w:val="left"/>
            </w:pPr>
            <w:r>
              <w:t xml:space="preserve">Irreversible policy</w:t>
            </w:r>
          </w:p>
        </w:tc>
        <w:tc>
          <w:tcPr>
            <w:shd w:val="clear" w:color="auto" w:fill="F7FBFE"/>
            <w:vAlign w:val="top"/>
          </w:tcPr>
          <w:p>
            <w:pPr>
              <w:pStyle w:val="Compact"/>
              <w:jc w:val="left"/>
            </w:pPr>
            <w:r>
              <w:t xml:space="preserve">0.99</w:t>
            </w:r>
          </w:p>
        </w:tc>
        <w:tc>
          <w:tcPr>
            <w:shd w:val="clear" w:color="auto" w:fill="F7FBFE"/>
            <w:vAlign w:val="top"/>
          </w:tcPr>
          <w:p>
            <w:pPr>
              <w:pStyle w:val="Compact"/>
              <w:jc w:val="left"/>
            </w:pPr>
            <w:r>
              <w:t xml:space="preserve">0.10</w:t>
            </w:r>
          </w:p>
        </w:tc>
      </w:tr>
      <w:tr>
        <w:tc>
          <w:tcPr>
            <w:vAlign w:val="top"/>
          </w:tcPr>
          <w:p>
            <w:pPr>
              <w:pStyle w:val="Compact"/>
              <w:jc w:val="left"/>
            </w:pPr>
            <w:r>
              <w:t xml:space="preserve">Existential risk</w:t>
            </w:r>
          </w:p>
        </w:tc>
        <w:tc>
          <w:tcPr>
            <w:vAlign w:val="top"/>
          </w:tcPr>
          <w:p>
            <w:pPr>
              <w:pStyle w:val="Compact"/>
              <w:jc w:val="left"/>
            </w:pPr>
            <w:r>
              <w:t xml:space="preserve">0.999</w:t>
            </w:r>
          </w:p>
        </w:tc>
        <w:tc>
          <w:tcPr>
            <w:vAlign w:val="top"/>
          </w:tcPr>
          <w:p>
            <w:pPr>
              <w:pStyle w:val="Compact"/>
              <w:jc w:val="left"/>
            </w:pPr>
            <w:r>
              <w:t xml:space="preserve">0.05</w:t>
            </w:r>
          </w:p>
        </w:tc>
      </w:tr>
    </w:tbl>
    <w:bookmarkEnd w:id="383"/>
    <w:bookmarkStart w:id="384" w:name="d10-tier-2-strict-trc-rule-canonical"/>
    <w:p>
      <w:pPr>
        <w:pStyle w:val="Heading2"/>
      </w:pPr>
      <w:r>
        <w:rPr>
          <w:bCs/>
          <w:b/>
        </w:rPr>
        <w:t xml:space="preserve">D.10 Tier 2 Strict TRC Rule (Canonical)</w:t>
      </w:r>
    </w:p>
    <w:p>
      <w:pPr>
        <w:pStyle w:val="FirstParagraph"/>
      </w:pPr>
      <w:r>
        <w:t xml:space="preserve">If catastrophe relevance is plausible (per Section 8.1.1), Tier 2 MUST:</w:t>
      </w:r>
    </w:p>
    <w:p>
      <w:pPr>
        <w:numPr>
          <w:ilvl w:val="0"/>
          <w:numId w:val="1258"/>
        </w:numPr>
        <w:pStyle w:val="Compact"/>
      </w:pPr>
      <w:r>
        <w:t xml:space="preserve">Compute TRC using this appendix</w:t>
      </w:r>
    </w:p>
    <w:p>
      <w:pPr>
        <w:numPr>
          <w:ilvl w:val="0"/>
          <w:numId w:val="1259"/>
        </w:numPr>
        <w:pStyle w:val="Compact"/>
      </w:pPr>
      <w:r>
        <w:t xml:space="preserve">Use ≥5 scenarios minimum</w:t>
      </w:r>
    </w:p>
    <w:p>
      <w:pPr>
        <w:numPr>
          <w:ilvl w:val="0"/>
          <w:numId w:val="1260"/>
        </w:numPr>
        <w:pStyle w:val="Compact"/>
      </w:pPr>
      <w:r>
        <w:t xml:space="preserve">Include mandatory tail categories with p_floor ≥ 0.02 per category unless explicitly implausible with documented justification per Section 8.3.2</w:t>
      </w:r>
    </w:p>
    <w:p>
      <w:pPr>
        <w:numPr>
          <w:ilvl w:val="0"/>
          <w:numId w:val="1261"/>
        </w:numPr>
        <w:pStyle w:val="Compact"/>
      </w:pPr>
      <w:r>
        <w:t xml:space="preserve">Record the full scenario table and CVaR computation in PCC</w:t>
      </w:r>
    </w:p>
    <w:bookmarkEnd w:id="384"/>
    <w:bookmarkStart w:id="385" w:name="Xad846040566d2c8eccc96b0bdc95fc5b78af550"/>
    <w:p>
      <w:pPr>
        <w:pStyle w:val="Heading2"/>
      </w:pPr>
      <w:r>
        <w:rPr>
          <w:bCs/>
          <w:b/>
        </w:rPr>
        <w:t xml:space="preserve">D.11 Tail Emergency Mode Reference Procedure (Canonical)</w:t>
      </w:r>
    </w:p>
    <w:p>
      <w:pPr>
        <w:pStyle w:val="FirstParagraph"/>
      </w:pPr>
      <w:r>
        <w:t xml:space="preserve">If A_NCRC is non-empty but no option passes TRC, the ordinary admissible/selectable set is empty. Implementations MUST NOT rank the failed options through ordinary RLS and MUST NOT automatically select the least-CVaR option.</w:t>
      </w:r>
    </w:p>
    <w:p>
      <w:pPr>
        <w:pStyle w:val="BodyText"/>
      </w:pPr>
      <w:r>
        <w:t xml:space="preserve">Default disposition:</w:t>
      </w:r>
      <w:r>
        <w:t xml:space="preserve"> </w:t>
      </w:r>
      <w:r>
        <w:rPr>
          <w:rStyle w:val="VerbatimChar"/>
        </w:rPr>
        <w:t xml:space="preserve">TRC_ALL_FAIL</w:t>
      </w:r>
      <w:r>
        <w:t xml:space="preserve"> </w:t>
      </w:r>
      <w:r>
        <w:t xml:space="preserve">-&gt; redesign, delay, no-action comparison, escalation, or refusal.</w:t>
      </w:r>
    </w:p>
    <w:p>
      <w:pPr>
        <w:pStyle w:val="BodyText"/>
      </w:pPr>
      <w:r>
        <w:t xml:space="preserve">A provisional action may be considered only through the Tail Emergency Mode requirements in Section 8.8. The PCC MUST demonstrate necessity, failed or unavailable safer alternatives, explicit no-action/delay comparison, independent challenge, an absolute maximum exposure bound, minimized scope and duration, monitoring and shutoff, mitigation, remedy/redress, higher approval, expiry, and return-to-normal criteria.</w:t>
      </w:r>
    </w:p>
    <w:p>
      <w:pPr>
        <w:pStyle w:val="BodyText"/>
      </w:pPr>
      <w:r>
        <w:t xml:space="preserve">Only candidates satisfying every Section 8.8 prerequisite may enter the emergency candidate set. Within that set, minimum CVaR may identify the least-tail-risk provisional action. Record</w:t>
      </w:r>
      <w:r>
        <w:t xml:space="preserve"> </w:t>
      </w:r>
      <w:r>
        <w:rPr>
          <w:rStyle w:val="VerbatimChar"/>
        </w:rPr>
        <w:t xml:space="preserve">TAIL_EMERGENCY_MODE_INVOKED</w:t>
      </w:r>
      <w:r>
        <w:t xml:space="preserve"> </w:t>
      </w:r>
      <w:r>
        <w:t xml:space="preserve">and return</w:t>
      </w:r>
      <w:r>
        <w:t xml:space="preserve"> </w:t>
      </w:r>
      <w:r>
        <w:rPr>
          <w:rStyle w:val="VerbatimChar"/>
        </w:rPr>
        <w:t xml:space="preserve">TAIL_EMERGENCY_PROVISIONAL_ACTION</w:t>
      </w:r>
      <w:r>
        <w:t xml:space="preserve">.</w:t>
      </w:r>
    </w:p>
    <w:p>
      <w:pPr>
        <w:pStyle w:val="BodyText"/>
      </w:pPr>
      <w:r>
        <w:t xml:space="preserve">This state is not</w:t>
      </w:r>
      <w:r>
        <w:t xml:space="preserve"> </w:t>
      </w:r>
      <w:r>
        <w:rPr>
          <w:rStyle w:val="VerbatimChar"/>
        </w:rPr>
        <w:t xml:space="preserve">TRC_PASS</w:t>
      </w:r>
      <w:r>
        <w:t xml:space="preserve">, ordinary admissibility, ordinary selectability, alignment, or proof of safety. Ordinary RLS is prohibited. If no candidate satisfies the absolute exposure boundary or the governance prerequisites, the result is</w:t>
      </w:r>
      <w:r>
        <w:t xml:space="preserve"> </w:t>
      </w:r>
      <w:r>
        <w:rPr>
          <w:rStyle w:val="VerbatimChar"/>
        </w:rPr>
        <w:t xml:space="preserve">TAIL_EMERGENCY_REFUSED</w:t>
      </w:r>
      <w:r>
        <w:t xml:space="preserve"> </w:t>
      </w:r>
      <w:r>
        <w:t xml:space="preserve">or escalation under the governing charter or public-law emergency authority.</w:t>
      </w:r>
    </w:p>
    <w:p>
      <w:pPr>
        <w:pStyle w:val="BodyText"/>
      </w:pPr>
      <w:r>
        <w:t xml:space="preserve">End Appendix D.</w:t>
      </w:r>
    </w:p>
    <w:bookmarkEnd w:id="385"/>
    <w:bookmarkEnd w:id="386"/>
    <w:bookmarkStart w:id="399" w:name="X6e2477238dde02298886e8f51317bfc50383c2a"/>
    <w:p>
      <w:pPr>
        <w:pStyle w:val="Heading1"/>
      </w:pPr>
      <w:bookmarkStart w:id="790" w:name="mg_toc_026"/>
      <w:r>
        <w:rPr>
          <w:bCs/>
          <w:b/>
        </w:rPr>
        <w:t xml:space="preserve">APPENDIX E: UCI OPERATIONALIZATION PACK (TIER 1-3)</w:t>
      </w:r>
      <w:bookmarkEnd w:id="790"/>
    </w:p>
    <w:p>
      <w:pPr>
        <w:pStyle w:val="FirstParagraph"/>
      </w:pPr>
      <w:r>
        <w:t xml:space="preserve">Appendix E is normative for the UCI interface and Tier 3 constraints; indicator families are canonical guidance unless a deployment supplies validated instruments.</w:t>
      </w:r>
    </w:p>
    <w:p>
      <w:pPr>
        <w:pStyle w:val="BodyText"/>
      </w:pPr>
      <w:r>
        <w:t xml:space="preserve">Operational maturity note (Normative clarification). Tier-3 conformance requires declared structural indicator families and structural independence; it does not imply universal calibration. Deployments SHOULD publish a provisional indicator companion pack when using local instruments, including sources, normalization rule, and basic reliability notes.</w:t>
      </w:r>
    </w:p>
    <w:bookmarkStart w:id="387" w:name="e1-uci-component-definitions-canonical"/>
    <w:p>
      <w:pPr>
        <w:pStyle w:val="Heading2"/>
      </w:pPr>
      <w:r>
        <w:rPr>
          <w:bCs/>
          <w:b/>
        </w:rPr>
        <w:t xml:space="preserve">E.1 UCI Component Definitions (Canonical)</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Component</w:t>
            </w:r>
          </w:p>
        </w:tc>
        <w:tc>
          <w:tcPr>
            <w:shd w:val="clear" w:color="auto" w:fill="D9EAF7"/>
            <w:vAlign w:val="center"/>
          </w:tcPr>
          <w:p>
            <w:pPr>
              <w:pStyle w:val="Compact"/>
              <w:jc w:val="left"/>
            </w:pPr>
            <w:r>
              <w:rPr>
                <w:bCs/>
                <w:b/>
                <w:color w:val="17365D"/>
              </w:rPr>
              <w:t xml:space="preserve">Symbol</w:t>
            </w:r>
          </w:p>
        </w:tc>
        <w:tc>
          <w:tcPr>
            <w:shd w:val="clear" w:color="auto" w:fill="D9EAF7"/>
            <w:vAlign w:val="center"/>
          </w:tcPr>
          <w:p>
            <w:pPr>
              <w:pStyle w:val="Compact"/>
              <w:jc w:val="left"/>
            </w:pPr>
            <w:r>
              <w:rPr>
                <w:bCs/>
                <w:b/>
                <w:color w:val="17365D"/>
              </w:rPr>
              <w:t xml:space="preserve">Description</w:t>
            </w:r>
          </w:p>
        </w:tc>
      </w:tr>
      <w:tr>
        <w:tc>
          <w:tcPr>
            <w:vAlign w:val="top"/>
          </w:tcPr>
          <w:p>
            <w:pPr>
              <w:pStyle w:val="Compact"/>
              <w:jc w:val="left"/>
            </w:pPr>
            <w:r>
              <w:t xml:space="preserve">Cohesion</w:t>
            </w:r>
          </w:p>
        </w:tc>
        <w:tc>
          <w:tcPr>
            <w:vAlign w:val="top"/>
          </w:tcPr>
          <w:p>
            <w:pPr>
              <w:pStyle w:val="Compact"/>
              <w:jc w:val="left"/>
            </w:pPr>
            <w:r>
              <w:t xml:space="preserve">H_u</w:t>
            </w:r>
          </w:p>
        </w:tc>
        <w:tc>
          <w:tcPr>
            <w:vAlign w:val="top"/>
          </w:tcPr>
          <w:p>
            <w:pPr>
              <w:pStyle w:val="Compact"/>
              <w:jc w:val="left"/>
            </w:pPr>
            <w:r>
              <w:t xml:space="preserve">Internal connectivity, trust, shared identity, conflict resolution capacity</w:t>
            </w:r>
          </w:p>
        </w:tc>
      </w:tr>
      <w:tr>
        <w:tc>
          <w:tcPr>
            <w:shd w:val="clear" w:color="auto" w:fill="F7FBFE"/>
            <w:vAlign w:val="top"/>
          </w:tcPr>
          <w:p>
            <w:pPr>
              <w:pStyle w:val="Compact"/>
              <w:jc w:val="left"/>
            </w:pPr>
            <w:r>
              <w:t xml:space="preserve">Flow</w:t>
            </w:r>
          </w:p>
        </w:tc>
        <w:tc>
          <w:tcPr>
            <w:shd w:val="clear" w:color="auto" w:fill="F7FBFE"/>
            <w:vAlign w:val="top"/>
          </w:tcPr>
          <w:p>
            <w:pPr>
              <w:pStyle w:val="Compact"/>
              <w:jc w:val="left"/>
            </w:pPr>
            <w:r>
              <w:t xml:space="preserve">F_u</w:t>
            </w:r>
          </w:p>
        </w:tc>
        <w:tc>
          <w:tcPr>
            <w:shd w:val="clear" w:color="auto" w:fill="F7FBFE"/>
            <w:vAlign w:val="top"/>
          </w:tcPr>
          <w:p>
            <w:pPr>
              <w:pStyle w:val="Compact"/>
              <w:jc w:val="left"/>
            </w:pPr>
            <w:r>
              <w:t xml:space="preserve">Coordination throughput, information fidelity, resource allocation efficiency</w:t>
            </w:r>
          </w:p>
        </w:tc>
      </w:tr>
      <w:tr>
        <w:tc>
          <w:tcPr>
            <w:vAlign w:val="top"/>
          </w:tcPr>
          <w:p>
            <w:pPr>
              <w:pStyle w:val="Compact"/>
              <w:jc w:val="left"/>
            </w:pPr>
            <w:r>
              <w:t xml:space="preserve">Resilience</w:t>
            </w:r>
          </w:p>
        </w:tc>
        <w:tc>
          <w:tcPr>
            <w:vAlign w:val="top"/>
          </w:tcPr>
          <w:p>
            <w:pPr>
              <w:pStyle w:val="Compact"/>
              <w:jc w:val="left"/>
            </w:pPr>
            <w:r>
              <w:t xml:space="preserve">R_u</w:t>
            </w:r>
          </w:p>
        </w:tc>
        <w:tc>
          <w:tcPr>
            <w:vAlign w:val="top"/>
          </w:tcPr>
          <w:p>
            <w:pPr>
              <w:pStyle w:val="Compact"/>
              <w:jc w:val="left"/>
            </w:pPr>
            <w:r>
              <w:t xml:space="preserve">Redundancy, robustness, recovery speed, adaptive capacity</w:t>
            </w:r>
          </w:p>
        </w:tc>
      </w:tr>
      <w:tr>
        <w:tc>
          <w:tcPr>
            <w:shd w:val="clear" w:color="auto" w:fill="F7FBFE"/>
            <w:vAlign w:val="top"/>
          </w:tcPr>
          <w:p>
            <w:pPr>
              <w:pStyle w:val="Compact"/>
              <w:jc w:val="left"/>
            </w:pPr>
            <w:r>
              <w:t xml:space="preserve">Equity</w:t>
            </w:r>
          </w:p>
        </w:tc>
        <w:tc>
          <w:tcPr>
            <w:shd w:val="clear" w:color="auto" w:fill="F7FBFE"/>
            <w:vAlign w:val="top"/>
          </w:tcPr>
          <w:p>
            <w:pPr>
              <w:pStyle w:val="Compact"/>
              <w:jc w:val="left"/>
            </w:pPr>
            <w:r>
              <w:t xml:space="preserve">E_u</w:t>
            </w:r>
          </w:p>
        </w:tc>
        <w:tc>
          <w:tcPr>
            <w:shd w:val="clear" w:color="auto" w:fill="F7FBFE"/>
            <w:vAlign w:val="top"/>
          </w:tcPr>
          <w:p>
            <w:pPr>
              <w:pStyle w:val="Compact"/>
              <w:jc w:val="left"/>
            </w:pPr>
            <w:r>
              <w:t xml:space="preserve">Fair distribution of burdens/benefits, voice representation, inclusion</w:t>
            </w:r>
          </w:p>
        </w:tc>
      </w:tr>
    </w:tbl>
    <w:bookmarkEnd w:id="387"/>
    <w:bookmarkStart w:id="388" w:name="e2-uci-formula-canonical"/>
    <w:p>
      <w:pPr>
        <w:pStyle w:val="Heading2"/>
      </w:pPr>
      <w:r>
        <w:rPr>
          <w:bCs/>
          <w:b/>
        </w:rPr>
        <w:t xml:space="preserve">E.2 UCI Formula (Canonical)</w:t>
      </w:r>
    </w:p>
    <w:p>
      <w:pPr>
        <w:pStyle w:val="FirstParagraph"/>
      </w:pPr>
      <w:r>
        <w:t xml:space="preserve">Let A_u be the set of applicable UCI components for Union Scope u. The canonical formula is:</w:t>
      </w:r>
    </w:p>
    <w:p>
      <w:pPr>
        <w:pStyle w:val="BodyText"/>
      </w:pPr>
      <w:r>
        <w:t xml:space="preserve">UCI_u = [Σ_{j ∈ A_u} α_j X_{u,j}] / [Σ_{j ∈ A_u} α_j]</w:t>
      </w:r>
    </w:p>
    <w:p>
      <w:pPr>
        <w:pStyle w:val="BodyText"/>
      </w:pPr>
      <w:r>
        <w:t xml:space="preserve">Default: α_H = α_F = α_R = α_E = 0.25 before applicable-component renormalization.</w:t>
      </w:r>
      <w:r>
        <w:t xml:space="preserve"> </w:t>
      </w:r>
      <w:r>
        <w:rPr>
          <w:rStyle w:val="VerbatimChar"/>
        </w:rPr>
        <w:t xml:space="preserve">NA</w:t>
      </w:r>
      <w:r>
        <w:t xml:space="preserve"> </w:t>
      </w:r>
      <w:r>
        <w:t xml:space="preserve">components are excluded;</w:t>
      </w:r>
      <w:r>
        <w:t xml:space="preserve"> </w:t>
      </w:r>
      <w:r>
        <w:rPr>
          <w:rStyle w:val="VerbatimChar"/>
        </w:rPr>
        <w:t xml:space="preserve">UNKNOWN</w:t>
      </w:r>
      <w:r>
        <w:t xml:space="preserve"> </w:t>
      </w:r>
      <w:r>
        <w:t xml:space="preserve">components are not scored and make UCI unavailable for the affected claim. For Self (U1), Equity is ordinarily</w:t>
      </w:r>
      <w:r>
        <w:t xml:space="preserve"> </w:t>
      </w:r>
      <w:r>
        <w:rPr>
          <w:rStyle w:val="VerbatimChar"/>
        </w:rPr>
        <w:t xml:space="preserve">NA</w:t>
      </w:r>
      <w:r>
        <w:t xml:space="preserve"> </w:t>
      </w:r>
      <w:r>
        <w:t xml:space="preserve">unless a governed within-self equity instrument is declared. For Biosphere (U7), Equity is ordinarily</w:t>
      </w:r>
      <w:r>
        <w:t xml:space="preserve"> </w:t>
      </w:r>
      <w:r>
        <w:rPr>
          <w:rStyle w:val="VerbatimChar"/>
        </w:rPr>
        <w:t xml:space="preserve">NA</w:t>
      </w:r>
      <w:r>
        <w:t xml:space="preserve"> </w:t>
      </w:r>
      <w:r>
        <w:t xml:space="preserve">unless a governed ecological-distribution or ecological-justice instrument exists. No perfect, neutral, or identity value is inserted.</w:t>
      </w:r>
    </w:p>
    <w:bookmarkEnd w:id="388"/>
    <w:bookmarkStart w:id="389" w:name="Xd74c0e60f8b7e74f8abe64235f7d8fec4f94915"/>
    <w:p>
      <w:pPr>
        <w:pStyle w:val="Heading2"/>
      </w:pPr>
      <w:r>
        <w:rPr>
          <w:bCs/>
          <w:b/>
        </w:rPr>
        <w:t xml:space="preserve">E.3 Structural Independence Rule (Tier 3 Binding)</w:t>
      </w:r>
    </w:p>
    <w:p>
      <w:pPr>
        <w:pStyle w:val="FirstParagraph"/>
      </w:pPr>
      <w:r>
        <w:t xml:space="preserve">UCI MUST be computed from structural/process indicators distinct from welfare indicators used for RLS.</w:t>
      </w:r>
    </w:p>
    <w:p>
      <w:pPr>
        <w:pStyle w:val="BodyText"/>
      </w:pPr>
      <w:r>
        <w:t xml:space="preserve">At Tier 3:</w:t>
      </w:r>
    </w:p>
    <w:p>
      <w:pPr>
        <w:numPr>
          <w:ilvl w:val="0"/>
          <w:numId w:val="1262"/>
        </w:numPr>
        <w:pStyle w:val="Compact"/>
      </w:pPr>
      <w:r>
        <w:t xml:space="preserve">Deriving UCI from welfare-cell impacts is PROHIBITED</w:t>
      </w:r>
    </w:p>
    <w:p>
      <w:pPr>
        <w:numPr>
          <w:ilvl w:val="0"/>
          <w:numId w:val="1263"/>
        </w:numPr>
        <w:pStyle w:val="Compact"/>
      </w:pPr>
      <w:r>
        <w:t xml:space="preserve">If structural indicators are unavailable, UCI is treated as unavailable (see E.7)</w:t>
      </w:r>
    </w:p>
    <w:bookmarkEnd w:id="389"/>
    <w:bookmarkStart w:id="390" w:name="X9cb5f91eeed824c998e503c02ca99d3a04d9552"/>
    <w:p>
      <w:pPr>
        <w:pStyle w:val="Heading2"/>
      </w:pPr>
      <w:r>
        <w:rPr>
          <w:bCs/>
          <w:b/>
        </w:rPr>
        <w:t xml:space="preserve">E.4 Indicator Families by Union (Canonical Guidance)</w:t>
      </w:r>
    </w:p>
    <w:p>
      <w:pPr>
        <w:pStyle w:val="FirstParagraph"/>
      </w:pPr>
      <w:r>
        <w:t xml:space="preserve">U₁ Self:</w:t>
      </w:r>
    </w:p>
    <w:p>
      <w:pPr>
        <w:numPr>
          <w:ilvl w:val="0"/>
          <w:numId w:val="1264"/>
        </w:numPr>
        <w:pStyle w:val="Compact"/>
      </w:pPr>
      <w:r>
        <w:t xml:space="preserve">Cohesion: Psychological integration, goal coherence, self-trust, internal conflict resolution</w:t>
      </w:r>
    </w:p>
    <w:p>
      <w:pPr>
        <w:numPr>
          <w:ilvl w:val="0"/>
          <w:numId w:val="1265"/>
        </w:numPr>
        <w:pStyle w:val="Compact"/>
      </w:pPr>
      <w:r>
        <w:t xml:space="preserve">Flow: Task execution reliability, attention stability, cognitive throughput proxies</w:t>
      </w:r>
    </w:p>
    <w:p>
      <w:pPr>
        <w:numPr>
          <w:ilvl w:val="0"/>
          <w:numId w:val="1266"/>
        </w:numPr>
        <w:pStyle w:val="Compact"/>
      </w:pPr>
      <w:r>
        <w:t xml:space="preserve">Resilience: Stress recovery, adaptive coping, flexibility under change</w:t>
      </w:r>
    </w:p>
    <w:p>
      <w:pPr>
        <w:numPr>
          <w:ilvl w:val="0"/>
          <w:numId w:val="1267"/>
        </w:numPr>
        <w:pStyle w:val="Compact"/>
      </w:pPr>
      <w:r>
        <w:t xml:space="preserve">Equity: ordinarily NA unless a governed within-self equity instrument is declared; if applicable but unmeasured, UNKNOWN</w:t>
      </w:r>
    </w:p>
    <w:p>
      <w:pPr>
        <w:pStyle w:val="FirstParagraph"/>
      </w:pPr>
      <w:r>
        <w:t xml:space="preserve">U₂ Household:</w:t>
      </w:r>
    </w:p>
    <w:p>
      <w:pPr>
        <w:numPr>
          <w:ilvl w:val="0"/>
          <w:numId w:val="1268"/>
        </w:numPr>
        <w:pStyle w:val="Compact"/>
      </w:pPr>
      <w:r>
        <w:t xml:space="preserve">Cohesion: Relationship quality, conflict resolution, trust among members</w:t>
      </w:r>
    </w:p>
    <w:p>
      <w:pPr>
        <w:numPr>
          <w:ilvl w:val="0"/>
          <w:numId w:val="1269"/>
        </w:numPr>
        <w:pStyle w:val="Compact"/>
      </w:pPr>
      <w:r>
        <w:t xml:space="preserve">Flow: Resource pooling efficiency, coordination routines, decision-making speed</w:t>
      </w:r>
    </w:p>
    <w:p>
      <w:pPr>
        <w:numPr>
          <w:ilvl w:val="0"/>
          <w:numId w:val="1270"/>
        </w:numPr>
        <w:pStyle w:val="Compact"/>
      </w:pPr>
      <w:r>
        <w:t xml:space="preserve">Resilience: Emergency preparedness, support redundancy, recovery from shocks</w:t>
      </w:r>
    </w:p>
    <w:p>
      <w:pPr>
        <w:numPr>
          <w:ilvl w:val="0"/>
          <w:numId w:val="1271"/>
        </w:numPr>
        <w:pStyle w:val="Compact"/>
      </w:pPr>
      <w:r>
        <w:t xml:space="preserve">Equity: Fair burden-sharing, voice parity, caregiving distribution fairness</w:t>
      </w:r>
    </w:p>
    <w:p>
      <w:pPr>
        <w:pStyle w:val="FirstParagraph"/>
      </w:pPr>
      <w:r>
        <w:t xml:space="preserve">U₃ Community:</w:t>
      </w:r>
    </w:p>
    <w:p>
      <w:pPr>
        <w:numPr>
          <w:ilvl w:val="0"/>
          <w:numId w:val="1272"/>
        </w:numPr>
        <w:pStyle w:val="Compact"/>
      </w:pPr>
      <w:r>
        <w:t xml:space="preserve">Cohesion: Social capital, trust indices, network density, belonging measures</w:t>
      </w:r>
    </w:p>
    <w:p>
      <w:pPr>
        <w:numPr>
          <w:ilvl w:val="0"/>
          <w:numId w:val="1273"/>
        </w:numPr>
        <w:pStyle w:val="Compact"/>
      </w:pPr>
      <w:r>
        <w:t xml:space="preserve">Flow: Collective action capacity, coordination lag, information spread fidelity</w:t>
      </w:r>
    </w:p>
    <w:p>
      <w:pPr>
        <w:numPr>
          <w:ilvl w:val="0"/>
          <w:numId w:val="1274"/>
        </w:numPr>
        <w:pStyle w:val="Compact"/>
      </w:pPr>
      <w:r>
        <w:t xml:space="preserve">Resilience: Mutual aid redundancy, disaster response capacity, recovery history</w:t>
      </w:r>
    </w:p>
    <w:p>
      <w:pPr>
        <w:numPr>
          <w:ilvl w:val="0"/>
          <w:numId w:val="1275"/>
        </w:numPr>
        <w:pStyle w:val="Compact"/>
      </w:pPr>
      <w:r>
        <w:t xml:space="preserve">Equity: Inclusion of marginalized groups, access parity, procedural fairness in local governance</w:t>
      </w:r>
    </w:p>
    <w:p>
      <w:pPr>
        <w:pStyle w:val="FirstParagraph"/>
      </w:pPr>
      <w:r>
        <w:t xml:space="preserve">U₄ Organization:</w:t>
      </w:r>
    </w:p>
    <w:p>
      <w:pPr>
        <w:numPr>
          <w:ilvl w:val="0"/>
          <w:numId w:val="1276"/>
        </w:numPr>
        <w:pStyle w:val="Compact"/>
      </w:pPr>
      <w:r>
        <w:t xml:space="preserve">Cohesion: Culture trust indices, turnover stability, safety culture, shared purpose</w:t>
      </w:r>
    </w:p>
    <w:p>
      <w:pPr>
        <w:numPr>
          <w:ilvl w:val="0"/>
          <w:numId w:val="1277"/>
        </w:numPr>
        <w:pStyle w:val="Compact"/>
      </w:pPr>
      <w:r>
        <w:t xml:space="preserve">Flow: Process throughput, coordination efficiency, error rates, execution reliability</w:t>
      </w:r>
    </w:p>
    <w:p>
      <w:pPr>
        <w:numPr>
          <w:ilvl w:val="0"/>
          <w:numId w:val="1278"/>
        </w:numPr>
        <w:pStyle w:val="Compact"/>
      </w:pPr>
      <w:r>
        <w:t xml:space="preserve">Resilience: Redundancy, continuity planning, incident response maturity</w:t>
      </w:r>
    </w:p>
    <w:p>
      <w:pPr>
        <w:numPr>
          <w:ilvl w:val="0"/>
          <w:numId w:val="1279"/>
        </w:numPr>
        <w:pStyle w:val="Compact"/>
      </w:pPr>
      <w:r>
        <w:t xml:space="preserve">Equity: Pay fairness, promotion parity, grievance procedures, representation</w:t>
      </w:r>
    </w:p>
    <w:p>
      <w:pPr>
        <w:pStyle w:val="FirstParagraph"/>
      </w:pPr>
      <w:r>
        <w:t xml:space="preserve">U₅ Polity:</w:t>
      </w:r>
    </w:p>
    <w:p>
      <w:pPr>
        <w:numPr>
          <w:ilvl w:val="0"/>
          <w:numId w:val="1280"/>
        </w:numPr>
        <w:pStyle w:val="Compact"/>
      </w:pPr>
      <w:r>
        <w:t xml:space="preserve">Cohesion: Institutional trust, social cohesion indices, legitimacy measures</w:t>
      </w:r>
    </w:p>
    <w:p>
      <w:pPr>
        <w:numPr>
          <w:ilvl w:val="0"/>
          <w:numId w:val="1281"/>
        </w:numPr>
        <w:pStyle w:val="Compact"/>
      </w:pPr>
      <w:r>
        <w:t xml:space="preserve">Flow: Governance effectiveness, service delivery reliability, coordination speed</w:t>
      </w:r>
    </w:p>
    <w:p>
      <w:pPr>
        <w:numPr>
          <w:ilvl w:val="0"/>
          <w:numId w:val="1282"/>
        </w:numPr>
        <w:pStyle w:val="Compact"/>
      </w:pPr>
      <w:r>
        <w:t xml:space="preserve">Resilience: Crisis response capacity, redundancy of critical systems</w:t>
      </w:r>
    </w:p>
    <w:p>
      <w:pPr>
        <w:numPr>
          <w:ilvl w:val="0"/>
          <w:numId w:val="1283"/>
        </w:numPr>
        <w:pStyle w:val="Compact"/>
      </w:pPr>
      <w:r>
        <w:t xml:space="preserve">Equity: Rule of law parity, civil rights access parity, representation integrity</w:t>
      </w:r>
    </w:p>
    <w:p>
      <w:pPr>
        <w:pStyle w:val="FirstParagraph"/>
      </w:pPr>
      <w:r>
        <w:t xml:space="preserve">U₆ Humanity / Global Coordination:</w:t>
      </w:r>
    </w:p>
    <w:p>
      <w:pPr>
        <w:numPr>
          <w:ilvl w:val="0"/>
          <w:numId w:val="1284"/>
        </w:numPr>
        <w:pStyle w:val="Compact"/>
      </w:pPr>
      <w:r>
        <w:t xml:space="preserve">Cohesion: Cross-polity cooperation capacity, treaty adherence norms</w:t>
      </w:r>
    </w:p>
    <w:p>
      <w:pPr>
        <w:numPr>
          <w:ilvl w:val="0"/>
          <w:numId w:val="1285"/>
        </w:numPr>
        <w:pStyle w:val="Compact"/>
      </w:pPr>
      <w:r>
        <w:t xml:space="preserve">Flow: Global coordination throughput, information-sharing integrity</w:t>
      </w:r>
    </w:p>
    <w:p>
      <w:pPr>
        <w:numPr>
          <w:ilvl w:val="0"/>
          <w:numId w:val="1286"/>
        </w:numPr>
        <w:pStyle w:val="Compact"/>
      </w:pPr>
      <w:r>
        <w:t xml:space="preserve">Resilience: Global response capacity to pandemics/climate/conflict</w:t>
      </w:r>
    </w:p>
    <w:p>
      <w:pPr>
        <w:numPr>
          <w:ilvl w:val="0"/>
          <w:numId w:val="1287"/>
        </w:numPr>
        <w:pStyle w:val="Compact"/>
      </w:pPr>
      <w:r>
        <w:t xml:space="preserve">Equity: Burden-sharing fairness, inclusion of vulnerable polities/populations</w:t>
      </w:r>
    </w:p>
    <w:p>
      <w:pPr>
        <w:pStyle w:val="FirstParagraph"/>
      </w:pPr>
      <w:r>
        <w:t xml:space="preserve">U₇ Biosphere:</w:t>
      </w:r>
    </w:p>
    <w:p>
      <w:pPr>
        <w:numPr>
          <w:ilvl w:val="0"/>
          <w:numId w:val="1288"/>
        </w:numPr>
        <w:pStyle w:val="Compact"/>
      </w:pPr>
      <w:r>
        <w:t xml:space="preserve">Cohesion: Ecosystem connectivity, biodiversity integrity, trophic network stability</w:t>
      </w:r>
    </w:p>
    <w:p>
      <w:pPr>
        <w:numPr>
          <w:ilvl w:val="0"/>
          <w:numId w:val="1289"/>
        </w:numPr>
        <w:pStyle w:val="Compact"/>
      </w:pPr>
      <w:r>
        <w:t xml:space="preserve">Flow: Nutrient cycling integrity, carbon sequestration capacity, hydrological cycle stability</w:t>
      </w:r>
    </w:p>
    <w:p>
      <w:pPr>
        <w:numPr>
          <w:ilvl w:val="0"/>
          <w:numId w:val="1290"/>
        </w:numPr>
        <w:pStyle w:val="Compact"/>
      </w:pPr>
      <w:r>
        <w:t xml:space="preserve">Resilience: Recovery capacity, redundancy of functional species, anti-fragility markers</w:t>
      </w:r>
    </w:p>
    <w:p>
      <w:pPr>
        <w:numPr>
          <w:ilvl w:val="0"/>
          <w:numId w:val="1291"/>
        </w:numPr>
        <w:pStyle w:val="Compact"/>
      </w:pPr>
      <w:r>
        <w:t xml:space="preserve">Equity: Use distributional ecosystem-integrity or ecological-justice indicators when a governed instrument exists. If U7 Equity is genuinely inapplicable to the declared structural question, record</w:t>
      </w:r>
      <w:r>
        <w:t xml:space="preserve"> </w:t>
      </w:r>
      <w:r>
        <w:rPr>
          <w:rStyle w:val="VerbatimChar"/>
        </w:rPr>
        <w:t xml:space="preserve">E7 = NA</w:t>
      </w:r>
      <w:r>
        <w:t xml:space="preserve">, exclude it from the UCI aggregation, and renormalize the remaining applicable components. If U7 Equity is applicable but not adequately measured, record</w:t>
      </w:r>
      <w:r>
        <w:t xml:space="preserve"> </w:t>
      </w:r>
      <w:r>
        <w:rPr>
          <w:rStyle w:val="VerbatimChar"/>
        </w:rPr>
        <w:t xml:space="preserve">E7 = UNKNOWN</w:t>
      </w:r>
      <w:r>
        <w:t xml:space="preserve">; do not insert 1.0 or another neutral value. Material</w:t>
      </w:r>
      <w:r>
        <w:t xml:space="preserve"> </w:t>
      </w:r>
      <w:r>
        <w:rPr>
          <w:rStyle w:val="VerbatimChar"/>
        </w:rPr>
        <w:t xml:space="preserve">UNKNOWN</w:t>
      </w:r>
      <w:r>
        <w:t xml:space="preserve"> </w:t>
      </w:r>
      <w:r>
        <w:t xml:space="preserve">status makes UCI unavailable for the affected claim and requires evidence collection, claim narrowing, redesign, escalation, or refusal of an unqualified CSV pass.</w:t>
      </w:r>
    </w:p>
    <w:bookmarkEnd w:id="390"/>
    <w:bookmarkStart w:id="391" w:name="e5-δuci-computation-canonical"/>
    <w:p>
      <w:pPr>
        <w:pStyle w:val="Heading2"/>
      </w:pPr>
      <w:r>
        <w:rPr>
          <w:bCs/>
          <w:b/>
        </w:rPr>
        <w:t xml:space="preserve">E.5 ΔUCI Computation (Canonical)</w:t>
      </w:r>
    </w:p>
    <w:p>
      <w:pPr>
        <w:pStyle w:val="FirstParagraph"/>
      </w:pPr>
      <w:r>
        <w:t xml:space="preserve">ΔUCI_u(a) = UCI_u(a) − UCI_u(baseline)</w:t>
      </w:r>
    </w:p>
    <w:bookmarkEnd w:id="391"/>
    <w:bookmarkStart w:id="392" w:name="X500ac0625fddf54ace9be7cd931234721ddde65"/>
    <w:p>
      <w:pPr>
        <w:pStyle w:val="Heading2"/>
      </w:pPr>
      <w:r>
        <w:rPr>
          <w:bCs/>
          <w:b/>
        </w:rPr>
        <w:t xml:space="preserve">E.6 Prospective UCI Estimation (Tier 3) (Normative Constraints)</w:t>
      </w:r>
    </w:p>
    <w:p>
      <w:pPr>
        <w:pStyle w:val="FirstParagraph"/>
      </w:pPr>
      <w:r>
        <w:t xml:space="preserve">Tier 3 requires prospective (ex ante) estimation of UCI changes from structural indicators, not from welfare impacts. The PCC must:</w:t>
      </w:r>
    </w:p>
    <w:p>
      <w:pPr>
        <w:numPr>
          <w:ilvl w:val="0"/>
          <w:numId w:val="1292"/>
        </w:numPr>
        <w:pStyle w:val="Compact"/>
      </w:pPr>
      <w:r>
        <w:t xml:space="preserve">Identify structural indicators used</w:t>
      </w:r>
    </w:p>
    <w:p>
      <w:pPr>
        <w:numPr>
          <w:ilvl w:val="0"/>
          <w:numId w:val="1293"/>
        </w:numPr>
        <w:pStyle w:val="Compact"/>
      </w:pPr>
      <w:r>
        <w:t xml:space="preserve">Specify baseline values</w:t>
      </w:r>
    </w:p>
    <w:p>
      <w:pPr>
        <w:numPr>
          <w:ilvl w:val="0"/>
          <w:numId w:val="1294"/>
        </w:numPr>
        <w:pStyle w:val="Compact"/>
      </w:pPr>
      <w:r>
        <w:t xml:space="preserve">Specify predicted changes under each option</w:t>
      </w:r>
    </w:p>
    <w:p>
      <w:pPr>
        <w:numPr>
          <w:ilvl w:val="0"/>
          <w:numId w:val="1295"/>
        </w:numPr>
        <w:pStyle w:val="Compact"/>
      </w:pPr>
      <w:r>
        <w:t xml:space="preserve">Specify normalization to [0,1] for each component</w:t>
      </w:r>
    </w:p>
    <w:p>
      <w:pPr>
        <w:numPr>
          <w:ilvl w:val="0"/>
          <w:numId w:val="1296"/>
        </w:numPr>
        <w:pStyle w:val="Compact"/>
      </w:pPr>
      <w:r>
        <w:t xml:space="preserve">Compute UCI_u and ΔUCI_u using E.2 and E.5</w:t>
      </w:r>
    </w:p>
    <w:bookmarkEnd w:id="392"/>
    <w:bookmarkStart w:id="393" w:name="X43213e14e8004ad614c02a1eccd4edbfd93cb44"/>
    <w:p>
      <w:pPr>
        <w:pStyle w:val="Heading2"/>
      </w:pPr>
      <w:r>
        <w:rPr>
          <w:bCs/>
          <w:b/>
        </w:rPr>
        <w:t xml:space="preserve">E.7 UCI Unavailability Rule (Tier 3) (Normative)</w:t>
      </w:r>
    </w:p>
    <w:p>
      <w:pPr>
        <w:pStyle w:val="FirstParagraph"/>
      </w:pPr>
      <w:r>
        <w:t xml:space="preserve">If structural indicators are unavailable such that UCI cannot be computed without violating E.3:</w:t>
      </w:r>
    </w:p>
    <w:p>
      <w:pPr>
        <w:numPr>
          <w:ilvl w:val="0"/>
          <w:numId w:val="1297"/>
        </w:numPr>
        <w:pStyle w:val="Compact"/>
      </w:pPr>
      <w:r>
        <w:t xml:space="preserve">UCI MUST be treated as unavailable for tie-break purposes</w:t>
      </w:r>
    </w:p>
    <w:p>
      <w:pPr>
        <w:numPr>
          <w:ilvl w:val="0"/>
          <w:numId w:val="1298"/>
        </w:numPr>
        <w:pStyle w:val="Compact"/>
      </w:pPr>
      <w:r>
        <w:t xml:space="preserve">If RLS lead is non-decisive, decision MUST escalate for more data/higher tier OR record a judgment call with label JUDGMENT_CALL_UCI_UNAVAILABLE and a monitoring plan</w:t>
      </w:r>
    </w:p>
    <w:p>
      <w:pPr>
        <w:numPr>
          <w:ilvl w:val="0"/>
          <w:numId w:val="1299"/>
        </w:numPr>
        <w:pStyle w:val="Compact"/>
      </w:pPr>
      <w:r>
        <w:t xml:space="preserve">Any welfare-derived UCI proxy MUST NOT be used to claim Tier 3 compliance</w:t>
      </w:r>
    </w:p>
    <w:bookmarkEnd w:id="393"/>
    <w:bookmarkStart w:id="394" w:name="X1f34a219915fa9d62cc1fc920aa929766b2b6bc"/>
    <w:p>
      <w:pPr>
        <w:pStyle w:val="Heading2"/>
      </w:pPr>
      <w:r>
        <w:rPr>
          <w:bCs/>
          <w:b/>
        </w:rPr>
        <w:t xml:space="preserve">E.7A UCI/HOI Dual-Use Reporting Interface (Normative for Tier 3)</w:t>
      </w:r>
    </w:p>
    <w:p>
      <w:pPr>
        <w:pStyle w:val="FirstParagraph"/>
      </w:pPr>
      <w:r>
        <w:t xml:space="preserve">Purpose. UCI and HOI may serve as structural evidence in two distinct authority roles. Tier 3 implementations MUST record which role is being used.</w:t>
      </w:r>
    </w:p>
    <w:p>
      <w:pPr>
        <w:pStyle w:val="BodyText"/>
      </w:pPr>
      <w:r>
        <w:t xml:space="preserve">Required fields: structural_indicator_id; indicator_family; containing_scope_affected; evidence_status; measurement_readiness_level; containment_relevance; containment_threshold_declared; containment_disposition; residual_tiebreak_relevance; duplicate_use_note; reviewer_disposition; audit_flag_if_any.</w:t>
      </w:r>
    </w:p>
    <w:p>
      <w:pPr>
        <w:pStyle w:val="BodyText"/>
      </w:pPr>
      <w:r>
        <w:t xml:space="preserve">Rule. If containment_relevance is REQUIRED or THRESHOLD_CROSSED, the indicator SHALL be evaluated inside CSV before RLS. If the same indicator is later cited in residual tie-break, the PCC MUST state that gate-level containment disposition was already resolved and that residual use is limited to non-decisive structural preference, monitoring, or hollowing documentation.</w:t>
      </w:r>
    </w:p>
    <w:p>
      <w:pPr>
        <w:pStyle w:val="BodyText"/>
      </w:pPr>
      <w:r>
        <w:t xml:space="preserve">Prohibited use. An implementation SHALL NOT move a gate-relevant structural indicator to residual tie-break in order to avoid containment failure, evidence unavailability, or escalation.</w:t>
      </w:r>
    </w:p>
    <w:bookmarkEnd w:id="394"/>
    <w:bookmarkStart w:id="395" w:name="X10d313a966203a9f4bfd536f7a5a1a44b67c88c"/>
    <w:p>
      <w:pPr>
        <w:pStyle w:val="Heading2"/>
      </w:pPr>
      <w:r>
        <w:rPr>
          <w:bCs/>
          <w:b/>
        </w:rPr>
        <w:t xml:space="preserve">E.8 Minimal Measurement Protocol (Canonical Guidance)</w:t>
      </w:r>
    </w:p>
    <w:p>
      <w:pPr>
        <w:pStyle w:val="FirstParagraph"/>
      </w:pPr>
      <w:r>
        <w:t xml:space="preserve">For each UCI component, the PCC SHOULD document: indicator(s) used; data source; normalization method; expected directionality; uncertainty or reliability notes; and review cadence.</w:t>
      </w:r>
    </w:p>
    <w:p>
      <w:pPr>
        <w:numPr>
          <w:ilvl w:val="0"/>
          <w:numId w:val="1300"/>
        </w:numPr>
        <w:pStyle w:val="Compact"/>
      </w:pPr>
      <w:r>
        <w:t xml:space="preserve">Indicator(s) used</w:t>
      </w:r>
    </w:p>
    <w:p>
      <w:pPr>
        <w:numPr>
          <w:ilvl w:val="0"/>
          <w:numId w:val="1301"/>
        </w:numPr>
        <w:pStyle w:val="Compact"/>
      </w:pPr>
      <w:r>
        <w:t xml:space="preserve">Data source</w:t>
      </w:r>
    </w:p>
    <w:p>
      <w:pPr>
        <w:numPr>
          <w:ilvl w:val="0"/>
          <w:numId w:val="1302"/>
        </w:numPr>
        <w:pStyle w:val="Compact"/>
      </w:pPr>
      <w:r>
        <w:t xml:space="preserve">Normalization method</w:t>
      </w:r>
    </w:p>
    <w:p>
      <w:pPr>
        <w:numPr>
          <w:ilvl w:val="0"/>
          <w:numId w:val="1303"/>
        </w:numPr>
        <w:pStyle w:val="Compact"/>
      </w:pPr>
      <w:r>
        <w:t xml:space="preserve">Expected directionality</w:t>
      </w:r>
    </w:p>
    <w:p>
      <w:pPr>
        <w:numPr>
          <w:ilvl w:val="0"/>
          <w:numId w:val="1304"/>
        </w:numPr>
        <w:pStyle w:val="Compact"/>
      </w:pPr>
      <w:r>
        <w:t xml:space="preserve">Uncertainty or reliability notes</w:t>
      </w:r>
    </w:p>
    <w:p>
      <w:pPr>
        <w:numPr>
          <w:ilvl w:val="0"/>
          <w:numId w:val="1305"/>
        </w:numPr>
        <w:pStyle w:val="Compact"/>
      </w:pPr>
      <w:r>
        <w:t xml:space="preserve">Review cadence</w:t>
      </w:r>
    </w:p>
    <w:bookmarkEnd w:id="395"/>
    <w:bookmarkStart w:id="396" w:name="Xa23e786e9f271ba098be2f14b634d2039d89ba6"/>
    <w:p>
      <w:pPr>
        <w:pStyle w:val="Heading2"/>
      </w:pPr>
      <w:r>
        <w:rPr>
          <w:bCs/>
          <w:b/>
        </w:rPr>
        <w:t xml:space="preserve">E.8A Provisional UCI Measurement Protocol for Tier 3 pilots (Canonical Guidance)</w:t>
      </w:r>
    </w:p>
    <w:p>
      <w:pPr>
        <w:pStyle w:val="FirstParagraph"/>
      </w:pPr>
      <w:r>
        <w:t xml:space="preserve">When a deployment claims Tier 3 run-level conformance and uses UCI operationally, each UCI component SHOULD be built from one to three structurally independent indicators per relevant scope, normalized to [0,1] under a declared rule, and aggregated by a declared within-component operator (default arithmetic mean unless another operator is justified).</w:t>
      </w:r>
    </w:p>
    <w:p>
      <w:pPr>
        <w:pStyle w:val="BodyText"/>
      </w:pPr>
      <w:r>
        <w:t xml:space="preserve">Staleness and failure handling. If a required structural indicator is stale, contested, or unavailable such that structural independence cannot be preserved, the affected UCI component SHALL be treated as unavailable and the run SHALL follow the unavailability rule in E.7 rather than substituting welfare-derived proxies.</w:t>
      </w:r>
    </w:p>
    <w:p>
      <w:pPr>
        <w:pStyle w:val="BodyText"/>
      </w:pPr>
      <w:r>
        <w:t xml:space="preserve">Status note (Normative clarification). Tier 3 run-level conformance claims are distinct from framework-level empirical operational-readiness claims. The current release line specifies how provisional UCI constructions are to be documented and constrained, but it does not claim that universally validated UCI instruments already exist.</w:t>
      </w:r>
    </w:p>
    <w:bookmarkEnd w:id="396"/>
    <w:bookmarkStart w:id="397" w:name="X3d622399f57c2035a3a59bf078fd38154a4161c"/>
    <w:p>
      <w:pPr>
        <w:pStyle w:val="Heading2"/>
      </w:pPr>
      <w:r>
        <w:rPr>
          <w:bCs/>
          <w:b/>
        </w:rPr>
        <w:t xml:space="preserve">E.8B Tier 3 Starter Indicator Pack (Canonical Guidance)</w:t>
      </w:r>
    </w:p>
    <w:p>
      <w:pPr>
        <w:pStyle w:val="FirstParagraph"/>
      </w:pPr>
      <w:r>
        <w:t xml:space="preserve">The following starter indicators MAY be used as provisional structural indicator families when no validated domain-specific pack exists. They do not constitute final empirical calibration, but they provide a minimum auditable starter surface.</w:t>
      </w:r>
    </w:p>
    <w:p>
      <w:pPr>
        <w:pStyle w:val="BodyText"/>
      </w:pPr>
      <w:r>
        <w:t xml:space="preserve">U3 Community</w:t>
      </w:r>
    </w:p>
    <w:p>
      <w:pPr>
        <w:pStyle w:val="BodyText"/>
      </w:pPr>
      <w:r>
        <w:t xml:space="preserve">Cohesion: local trust survey or equivalent community-trust instrument</w:t>
      </w:r>
    </w:p>
    <w:p>
      <w:pPr>
        <w:pStyle w:val="BodyText"/>
      </w:pPr>
      <w:r>
        <w:t xml:space="preserve">Flow: coordination-response latency or meeting-to-action completion rate</w:t>
      </w:r>
    </w:p>
    <w:p>
      <w:pPr>
        <w:pStyle w:val="BodyText"/>
      </w:pPr>
      <w:r>
        <w:t xml:space="preserve">Resilience: mutual-aid activation readiness or recovery-from-disruption measure</w:t>
      </w:r>
    </w:p>
    <w:p>
      <w:pPr>
        <w:pStyle w:val="BodyText"/>
      </w:pPr>
      <w:r>
        <w:t xml:space="preserve">Equity: access-to-participation parity or grievance-resolution parity</w:t>
      </w:r>
    </w:p>
    <w:p>
      <w:pPr>
        <w:pStyle w:val="BodyText"/>
      </w:pPr>
      <w:r>
        <w:t xml:space="preserve">U4 Organization</w:t>
      </w:r>
    </w:p>
    <w:p>
      <w:pPr>
        <w:pStyle w:val="BodyText"/>
      </w:pPr>
      <w:r>
        <w:t xml:space="preserve">Cohesion: psychological-safety / trust instrument or equivalent (e.g., Edmondson, 1999)</w:t>
      </w:r>
    </w:p>
    <w:p>
      <w:pPr>
        <w:pStyle w:val="BodyText"/>
      </w:pPr>
      <w:r>
        <w:t xml:space="preserve">Flow: process throughput or median handoff completion time</w:t>
      </w:r>
    </w:p>
    <w:p>
      <w:pPr>
        <w:pStyle w:val="BodyText"/>
      </w:pPr>
      <w:r>
        <w:t xml:space="preserve">Resilience: incident recovery time or continuity readiness metric</w:t>
      </w:r>
    </w:p>
    <w:p>
      <w:pPr>
        <w:pStyle w:val="BodyText"/>
      </w:pPr>
      <w:r>
        <w:t xml:space="preserve">Equity: promotion / burden / grievance parity indicator</w:t>
      </w:r>
    </w:p>
    <w:p>
      <w:pPr>
        <w:pStyle w:val="BodyText"/>
      </w:pPr>
      <w:r>
        <w:t xml:space="preserve">U5 Polity</w:t>
      </w:r>
    </w:p>
    <w:p>
      <w:pPr>
        <w:pStyle w:val="BodyText"/>
      </w:pPr>
      <w:r>
        <w:t xml:space="preserve">Cohesion: institutional trust or legitimacy measure</w:t>
      </w:r>
    </w:p>
    <w:p>
      <w:pPr>
        <w:pStyle w:val="BodyText"/>
      </w:pPr>
      <w:r>
        <w:t xml:space="preserve">Flow: service-delivery or review-cycle timeliness measure</w:t>
      </w:r>
    </w:p>
    <w:p>
      <w:pPr>
        <w:pStyle w:val="BodyText"/>
      </w:pPr>
      <w:r>
        <w:t xml:space="preserve">Resilience: emergency response readiness or continuity-of-governance measure</w:t>
      </w:r>
    </w:p>
    <w:p>
      <w:pPr>
        <w:pStyle w:val="BodyText"/>
      </w:pPr>
      <w:r>
        <w:t xml:space="preserve">Equity: appeal access parity or due-process access parity measure</w:t>
      </w:r>
    </w:p>
    <w:p>
      <w:pPr>
        <w:pStyle w:val="BodyText"/>
      </w:pPr>
      <w:r>
        <w:t xml:space="preserve">Minimum handling rules</w:t>
      </w:r>
    </w:p>
    <w:p>
      <w:pPr>
        <w:pStyle w:val="BodyText"/>
      </w:pPr>
      <w:r>
        <w:t xml:space="preserve">Normalization to [0,1] MUST be declared in the PCC.</w:t>
      </w:r>
    </w:p>
    <w:p>
      <w:pPr>
        <w:pStyle w:val="BodyText"/>
      </w:pPr>
      <w:r>
        <w:t xml:space="preserve">Data older than 12 months MUST be marked stale unless a stricter domain rule is declared.</w:t>
      </w:r>
    </w:p>
    <w:p>
      <w:pPr>
        <w:pStyle w:val="BodyText"/>
      </w:pPr>
      <w:r>
        <w:t xml:space="preserve">If more than one required indicator family for a used scope is missing or stale, the affected UCI component SHALL be treated as unavailable.</w:t>
      </w:r>
    </w:p>
    <w:p>
      <w:pPr>
        <w:pStyle w:val="BodyText"/>
      </w:pPr>
      <w:r>
        <w:t xml:space="preserve">A worked example using this starter pack SHOULD be included in any Tier 3 deployment companion pack.</w:t>
      </w:r>
    </w:p>
    <w:bookmarkEnd w:id="397"/>
    <w:bookmarkStart w:id="398" w:name="X41c47957a9d56d9a829d0d4c5ab9032efd01c8a"/>
    <w:p>
      <w:pPr>
        <w:pStyle w:val="Heading2"/>
      </w:pPr>
      <w:r>
        <w:rPr>
          <w:bCs/>
          <w:b/>
        </w:rPr>
        <w:t xml:space="preserve">E.9 Measurement Guidance Expansion (Canonical Guidance)</w:t>
      </w:r>
    </w:p>
    <w:p>
      <w:pPr>
        <w:pStyle w:val="FirstParagraph"/>
      </w:pPr>
      <w:r>
        <w:t xml:space="preserve">For publication and Tier 3 preparation, each deployment SHOULD maintain a short UCI measurement note per component and scope covering: operational definition, indicator family chosen, normalization rule, expected update cadence, minimum acceptable data quality, independence check, and failure handling when indicators are missing or stale. Where validated instruments do not yet exist, the PCC MUST label the construction as provisional and MUST NOT present the resulting UCI value as empirically calibrated. This guidance is intended to standardize measurement practice without pretending that UCI instruments are already universally validated.</w:t>
      </w:r>
    </w:p>
    <w:p>
      <w:pPr>
        <w:pStyle w:val="BodyText"/>
      </w:pPr>
      <w:r>
        <w:t xml:space="preserve">End Appendix E.</w:t>
      </w:r>
    </w:p>
    <w:bookmarkEnd w:id="398"/>
    <w:bookmarkEnd w:id="399"/>
    <w:bookmarkStart w:id="405" w:name="X85ca30ff4d6b1725ba8e528750cbbd2b09e2da8"/>
    <w:p>
      <w:pPr>
        <w:pStyle w:val="Heading1"/>
      </w:pPr>
      <w:bookmarkStart w:id="791" w:name="mg_toc_027"/>
      <w:r>
        <w:rPr>
          <w:bCs/>
          <w:b/>
        </w:rPr>
        <w:t xml:space="preserve">APPENDIX F: FAILURE MODES AND ANTI-GAMING CONTROLS (v12.0)</w:t>
      </w:r>
      <w:bookmarkEnd w:id="791"/>
    </w:p>
    <w:p>
      <w:pPr>
        <w:pStyle w:val="FirstParagraph"/>
      </w:pPr>
      <w:r>
        <w:t xml:space="preserve">Appendix F is normative for identified gaming vectors and required mitigations. Informative note. This appendix is carried forward substantively unchanged from the v9.0 line unless otherwise stated.</w:t>
      </w:r>
    </w:p>
    <w:bookmarkStart w:id="400" w:name="f1-identified-gaming-vectors-canonical"/>
    <w:p>
      <w:pPr>
        <w:pStyle w:val="Heading2"/>
      </w:pPr>
      <w:r>
        <w:rPr>
          <w:bCs/>
          <w:b/>
        </w:rPr>
        <w:t xml:space="preserve">F.1 Identified Gaming Vectors (Canonical)</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Vector</w:t>
            </w:r>
          </w:p>
        </w:tc>
        <w:tc>
          <w:tcPr>
            <w:shd w:val="clear" w:color="auto" w:fill="D9EAF7"/>
            <w:vAlign w:val="center"/>
          </w:tcPr>
          <w:p>
            <w:pPr>
              <w:pStyle w:val="Compact"/>
              <w:jc w:val="left"/>
            </w:pPr>
            <w:r>
              <w:rPr>
                <w:bCs/>
                <w:b/>
                <w:color w:val="17365D"/>
              </w:rPr>
              <w:t xml:space="preserve">Description</w:t>
            </w:r>
          </w:p>
        </w:tc>
        <w:tc>
          <w:tcPr>
            <w:shd w:val="clear" w:color="auto" w:fill="D9EAF7"/>
            <w:vAlign w:val="center"/>
          </w:tcPr>
          <w:p>
            <w:pPr>
              <w:pStyle w:val="Compact"/>
              <w:jc w:val="left"/>
            </w:pPr>
            <w:r>
              <w:rPr>
                <w:bCs/>
                <w:b/>
                <w:color w:val="17365D"/>
              </w:rPr>
              <w:t xml:space="preserve">Structural Mitigation</w:t>
            </w:r>
          </w:p>
        </w:tc>
      </w:tr>
      <w:tr>
        <w:tc>
          <w:tcPr>
            <w:vAlign w:val="top"/>
          </w:tcPr>
          <w:p>
            <w:pPr>
              <w:pStyle w:val="Compact"/>
              <w:jc w:val="left"/>
            </w:pPr>
            <w:r>
              <w:t xml:space="preserve">Option set manipulation</w:t>
            </w:r>
          </w:p>
        </w:tc>
        <w:tc>
          <w:tcPr>
            <w:vAlign w:val="top"/>
          </w:tcPr>
          <w:p>
            <w:pPr>
              <w:pStyle w:val="Compact"/>
              <w:jc w:val="left"/>
            </w:pPr>
            <w:r>
              <w:t xml:space="preserve">Excluding viable alternatives so preferred option “wins”</w:t>
            </w:r>
          </w:p>
        </w:tc>
        <w:tc>
          <w:tcPr>
            <w:vAlign w:val="top"/>
          </w:tcPr>
          <w:p>
            <w:pPr>
              <w:pStyle w:val="Compact"/>
              <w:jc w:val="left"/>
            </w:pPr>
            <w:r>
              <w:t xml:space="preserve">Minimum option requirement (≥2); independent challenger in emergencies; document option generation process</w:t>
            </w:r>
          </w:p>
        </w:tc>
      </w:tr>
      <w:tr>
        <w:tc>
          <w:tcPr>
            <w:shd w:val="clear" w:color="auto" w:fill="F7FBFE"/>
            <w:vAlign w:val="top"/>
          </w:tcPr>
          <w:p>
            <w:pPr>
              <w:pStyle w:val="Compact"/>
              <w:jc w:val="left"/>
            </w:pPr>
            <w:r>
              <w:t xml:space="preserve">Masking abuse</w:t>
            </w:r>
          </w:p>
        </w:tc>
        <w:tc>
          <w:tcPr>
            <w:shd w:val="clear" w:color="auto" w:fill="F7FBFE"/>
            <w:vAlign w:val="top"/>
          </w:tcPr>
          <w:p>
            <w:pPr>
              <w:pStyle w:val="Compact"/>
              <w:jc w:val="left"/>
            </w:pPr>
            <w:r>
              <w:t xml:space="preserve">Masking unfavorable cells to inflate RLS</w:t>
            </w:r>
          </w:p>
        </w:tc>
        <w:tc>
          <w:tcPr>
            <w:shd w:val="clear" w:color="auto" w:fill="F7FBFE"/>
            <w:vAlign w:val="top"/>
          </w:tcPr>
          <w:p>
            <w:pPr>
              <w:pStyle w:val="Compact"/>
              <w:jc w:val="left"/>
            </w:pPr>
            <w:r>
              <w:t xml:space="preserve">Non-maskable cells (rights + catastrophe) must remain unmasked; audit flags invalidate PCC</w:t>
            </w:r>
          </w:p>
        </w:tc>
      </w:tr>
      <w:tr>
        <w:tc>
          <w:tcPr>
            <w:vAlign w:val="top"/>
          </w:tcPr>
          <w:p>
            <w:pPr>
              <w:pStyle w:val="Compact"/>
              <w:jc w:val="left"/>
            </w:pPr>
            <w:r>
              <w:t xml:space="preserve">Subgroup erasure</w:t>
            </w:r>
          </w:p>
        </w:tc>
        <w:tc>
          <w:tcPr>
            <w:vAlign w:val="top"/>
          </w:tcPr>
          <w:p>
            <w:pPr>
              <w:pStyle w:val="Compact"/>
              <w:jc w:val="left"/>
            </w:pPr>
            <w:r>
              <w:t xml:space="preserve">Averaging away harms to vulnerable groups</w:t>
            </w:r>
          </w:p>
        </w:tc>
        <w:tc>
          <w:tcPr>
            <w:vAlign w:val="top"/>
          </w:tcPr>
          <w:p>
            <w:pPr>
              <w:pStyle w:val="Compact"/>
              <w:jc w:val="left"/>
            </w:pPr>
            <w:r>
              <w:t xml:space="preserve">Worst-off subgroup operator for rights; subgroup enumeration; conservative bound when infeasible</w:t>
            </w:r>
          </w:p>
        </w:tc>
      </w:tr>
      <w:tr>
        <w:tc>
          <w:tcPr>
            <w:shd w:val="clear" w:color="auto" w:fill="F7FBFE"/>
            <w:vAlign w:val="top"/>
          </w:tcPr>
          <w:p>
            <w:pPr>
              <w:pStyle w:val="Compact"/>
              <w:jc w:val="left"/>
            </w:pPr>
            <w:r>
              <w:t xml:space="preserve">Scenario omission</w:t>
            </w:r>
          </w:p>
        </w:tc>
        <w:tc>
          <w:tcPr>
            <w:shd w:val="clear" w:color="auto" w:fill="F7FBFE"/>
            <w:vAlign w:val="top"/>
          </w:tcPr>
          <w:p>
            <w:pPr>
              <w:pStyle w:val="Compact"/>
              <w:jc w:val="left"/>
            </w:pPr>
            <w:r>
              <w:t xml:space="preserve">Leaving out unfavorable tail scenarios</w:t>
            </w:r>
          </w:p>
        </w:tc>
        <w:tc>
          <w:tcPr>
            <w:shd w:val="clear" w:color="auto" w:fill="F7FBFE"/>
            <w:vAlign w:val="top"/>
          </w:tcPr>
          <w:p>
            <w:pPr>
              <w:pStyle w:val="Compact"/>
              <w:jc w:val="left"/>
            </w:pPr>
            <w:r>
              <w:t xml:space="preserve">Mandatory tail categories and probability floors; scenario count minima; implausibility test per Section 8.3.2</w:t>
            </w:r>
          </w:p>
        </w:tc>
      </w:tr>
      <w:tr>
        <w:tc>
          <w:tcPr>
            <w:vAlign w:val="top"/>
          </w:tcPr>
          <w:p>
            <w:pPr>
              <w:pStyle w:val="Compact"/>
              <w:jc w:val="left"/>
            </w:pPr>
            <w:r>
              <w:t xml:space="preserve">Probability gaming</w:t>
            </w:r>
          </w:p>
        </w:tc>
        <w:tc>
          <w:tcPr>
            <w:vAlign w:val="top"/>
          </w:tcPr>
          <w:p>
            <w:pPr>
              <w:pStyle w:val="Compact"/>
              <w:jc w:val="left"/>
            </w:pPr>
            <w:r>
              <w:t xml:space="preserve">Assigning implausibly small p_s to tails</w:t>
            </w:r>
          </w:p>
        </w:tc>
        <w:tc>
          <w:tcPr>
            <w:vAlign w:val="top"/>
          </w:tcPr>
          <w:p>
            <w:pPr>
              <w:pStyle w:val="Compact"/>
              <w:jc w:val="left"/>
            </w:pPr>
            <w:r>
              <w:t xml:space="preserve">Probability provenance required; p_floor per category; sensitivity perturbations at Tier 3</w:t>
            </w:r>
          </w:p>
        </w:tc>
      </w:tr>
      <w:tr>
        <w:tc>
          <w:tcPr>
            <w:shd w:val="clear" w:color="auto" w:fill="F7FBFE"/>
            <w:vAlign w:val="top"/>
          </w:tcPr>
          <w:p>
            <w:pPr>
              <w:pStyle w:val="Compact"/>
              <w:jc w:val="left"/>
            </w:pPr>
            <w:r>
              <w:t xml:space="preserve">Kernel capture</w:t>
            </w:r>
          </w:p>
        </w:tc>
        <w:tc>
          <w:tcPr>
            <w:shd w:val="clear" w:color="auto" w:fill="F7FBFE"/>
            <w:vAlign w:val="top"/>
          </w:tcPr>
          <w:p>
            <w:pPr>
              <w:pStyle w:val="Compact"/>
              <w:jc w:val="left"/>
            </w:pPr>
            <w:r>
              <w:t xml:space="preserve">Tweaking kernel edges to favor preferred option</w:t>
            </w:r>
          </w:p>
        </w:tc>
        <w:tc>
          <w:tcPr>
            <w:shd w:val="clear" w:color="auto" w:fill="F7FBFE"/>
            <w:vAlign w:val="top"/>
          </w:tcPr>
          <w:p>
            <w:pPr>
              <w:pStyle w:val="Compact"/>
              <w:jc w:val="left"/>
            </w:pPr>
            <w:r>
              <w:t xml:space="preserve">KQS bands; sensitivity perturbations; evidence classes; humility fallback to NONE</w:t>
            </w:r>
          </w:p>
        </w:tc>
      </w:tr>
      <w:tr>
        <w:tc>
          <w:tcPr>
            <w:vAlign w:val="top"/>
          </w:tcPr>
          <w:p>
            <w:pPr>
              <w:pStyle w:val="Compact"/>
              <w:jc w:val="left"/>
            </w:pPr>
            <w:r>
              <w:t xml:space="preserve">Weight capture</w:t>
            </w:r>
          </w:p>
        </w:tc>
        <w:tc>
          <w:tcPr>
            <w:vAlign w:val="top"/>
          </w:tcPr>
          <w:p>
            <w:pPr>
              <w:pStyle w:val="Compact"/>
              <w:jc w:val="left"/>
            </w:pPr>
            <w:r>
              <w:t xml:space="preserve">Steering HDW to underweight certain unions/dimensions</w:t>
            </w:r>
          </w:p>
        </w:tc>
        <w:tc>
          <w:tcPr>
            <w:vAlign w:val="top"/>
          </w:tcPr>
          <w:p>
            <w:pPr>
              <w:pStyle w:val="Compact"/>
              <w:jc w:val="left"/>
            </w:pPr>
            <w:r>
              <w:t xml:space="preserve">Constitutional floors; supermajority locks near floors; transparency ledger; conflict disclosure</w:t>
            </w:r>
          </w:p>
        </w:tc>
      </w:tr>
      <w:tr>
        <w:tc>
          <w:tcPr>
            <w:shd w:val="clear" w:color="auto" w:fill="F7FBFE"/>
            <w:vAlign w:val="top"/>
          </w:tcPr>
          <w:p>
            <w:pPr>
              <w:pStyle w:val="Compact"/>
              <w:jc w:val="left"/>
            </w:pPr>
            <w:r>
              <w:t xml:space="preserve">Emergency abuse</w:t>
            </w:r>
          </w:p>
        </w:tc>
        <w:tc>
          <w:tcPr>
            <w:shd w:val="clear" w:color="auto" w:fill="F7FBFE"/>
            <w:vAlign w:val="top"/>
          </w:tcPr>
          <w:p>
            <w:pPr>
              <w:pStyle w:val="Compact"/>
              <w:jc w:val="left"/>
            </w:pPr>
            <w:r>
              <w:t xml:space="preserve">Declaring emergency to bypass rights</w:t>
            </w:r>
          </w:p>
        </w:tc>
        <w:tc>
          <w:tcPr>
            <w:shd w:val="clear" w:color="auto" w:fill="F7FBFE"/>
            <w:vAlign w:val="top"/>
          </w:tcPr>
          <w:p>
            <w:pPr>
              <w:pStyle w:val="Compact"/>
              <w:jc w:val="left"/>
            </w:pPr>
            <w:r>
              <w:t xml:space="preserve">Challenger requirement; remediation plan; public disclosure/audit triggers</w:t>
            </w:r>
          </w:p>
        </w:tc>
      </w:tr>
      <w:tr>
        <w:tc>
          <w:tcPr>
            <w:vAlign w:val="top"/>
          </w:tcPr>
          <w:p>
            <w:pPr>
              <w:pStyle w:val="Compact"/>
              <w:jc w:val="left"/>
            </w:pPr>
            <w:r>
              <w:t xml:space="preserve">Confidence inflation</w:t>
            </w:r>
          </w:p>
        </w:tc>
        <w:tc>
          <w:tcPr>
            <w:vAlign w:val="top"/>
          </w:tcPr>
          <w:p>
            <w:pPr>
              <w:pStyle w:val="Compact"/>
              <w:jc w:val="left"/>
            </w:pPr>
            <w:r>
              <w:t xml:space="preserve">Overstating confidence to increase impact weight</w:t>
            </w:r>
          </w:p>
        </w:tc>
        <w:tc>
          <w:tcPr>
            <w:vAlign w:val="top"/>
          </w:tcPr>
          <w:p>
            <w:pPr>
              <w:pStyle w:val="Compact"/>
              <w:jc w:val="left"/>
            </w:pPr>
            <w:r>
              <w:t xml:space="preserve">c_k bounded [0.1, 1]; require evidence notes; sensitivity recommended</w:t>
            </w:r>
          </w:p>
        </w:tc>
      </w:tr>
      <w:tr>
        <w:tc>
          <w:tcPr>
            <w:shd w:val="clear" w:color="auto" w:fill="F7FBFE"/>
            <w:vAlign w:val="top"/>
          </w:tcPr>
          <w:p>
            <w:pPr>
              <w:pStyle w:val="Compact"/>
              <w:jc w:val="left"/>
            </w:pPr>
            <w:r>
              <w:t xml:space="preserve">Horizon manipulation</w:t>
            </w:r>
          </w:p>
        </w:tc>
        <w:tc>
          <w:tcPr>
            <w:shd w:val="clear" w:color="auto" w:fill="F7FBFE"/>
            <w:vAlign w:val="top"/>
          </w:tcPr>
          <w:p>
            <w:pPr>
              <w:pStyle w:val="Compact"/>
              <w:jc w:val="left"/>
            </w:pPr>
            <w:r>
              <w:t xml:space="preserve">Choosing time horizons strategically</w:t>
            </w:r>
          </w:p>
        </w:tc>
        <w:tc>
          <w:tcPr>
            <w:shd w:val="clear" w:color="auto" w:fill="F7FBFE"/>
            <w:vAlign w:val="top"/>
          </w:tcPr>
          <w:p>
            <w:pPr>
              <w:pStyle w:val="Compact"/>
              <w:jc w:val="left"/>
            </w:pPr>
            <w:r>
              <w:t xml:space="preserve">Logarithmic temporal weighting τ(t); declare T_ref; challenge horizon assumptions</w:t>
            </w:r>
          </w:p>
        </w:tc>
      </w:tr>
      <w:tr>
        <w:tc>
          <w:tcPr>
            <w:vAlign w:val="top"/>
          </w:tcPr>
          <w:p>
            <w:pPr>
              <w:pStyle w:val="Compact"/>
              <w:jc w:val="left"/>
            </w:pPr>
            <w:r>
              <w:t xml:space="preserve">Unknown-as-neutral</w:t>
            </w:r>
          </w:p>
        </w:tc>
        <w:tc>
          <w:tcPr>
            <w:vAlign w:val="top"/>
          </w:tcPr>
          <w:p>
            <w:pPr>
              <w:pStyle w:val="Compact"/>
              <w:jc w:val="left"/>
            </w:pPr>
            <w:r>
              <w:t xml:space="preserve">Leaving cells blank to avoid negatives</w:t>
            </w:r>
          </w:p>
        </w:tc>
        <w:tc>
          <w:tcPr>
            <w:vAlign w:val="top"/>
          </w:tcPr>
          <w:p>
            <w:pPr>
              <w:pStyle w:val="Compact"/>
              <w:jc w:val="left"/>
            </w:pPr>
            <w:r>
              <w:t xml:space="preserve">Ignorance penalty phantom instance rule; audit flag if non-maskable cell missing</w:t>
            </w:r>
          </w:p>
        </w:tc>
      </w:tr>
    </w:tbl>
    <w:bookmarkEnd w:id="400"/>
    <w:bookmarkStart w:id="401" w:name="Xcea6f77d27a1ccc970b6cc8d282aa98d53ba3a9"/>
    <w:p>
      <w:pPr>
        <w:pStyle w:val="Heading2"/>
      </w:pPr>
      <w:r>
        <w:rPr>
          <w:bCs/>
          <w:b/>
        </w:rPr>
        <w:t xml:space="preserve">F.2 Structural Anti-Gaming Features (Canonical)</w:t>
      </w:r>
    </w:p>
    <w:p>
      <w:pPr>
        <w:pStyle w:val="FirstParagraph"/>
      </w:pPr>
      <w:r>
        <w:t xml:space="preserve">Non-Compensatory Architecture:</w:t>
      </w:r>
    </w:p>
    <w:p>
      <w:pPr>
        <w:numPr>
          <w:ilvl w:val="0"/>
          <w:numId w:val="1306"/>
        </w:numPr>
        <w:pStyle w:val="Compact"/>
      </w:pPr>
      <w:r>
        <w:t xml:space="preserve">NCRC cannot be overridden by welfare gains</w:t>
      </w:r>
    </w:p>
    <w:p>
      <w:pPr>
        <w:numPr>
          <w:ilvl w:val="0"/>
          <w:numId w:val="1307"/>
        </w:numPr>
        <w:pStyle w:val="Compact"/>
      </w:pPr>
      <w:r>
        <w:t xml:space="preserve">TRC cannot be overridden by expected value</w:t>
      </w:r>
    </w:p>
    <w:p>
      <w:pPr>
        <w:numPr>
          <w:ilvl w:val="0"/>
          <w:numId w:val="1308"/>
        </w:numPr>
        <w:pStyle w:val="Compact"/>
      </w:pPr>
      <w:r>
        <w:t xml:space="preserve">Containment cannot be bypassed by RLS optimization</w:t>
      </w:r>
    </w:p>
    <w:p>
      <w:pPr>
        <w:pStyle w:val="FirstParagraph"/>
      </w:pPr>
      <w:r>
        <w:t xml:space="preserve">Transparency Requirements:</w:t>
      </w:r>
    </w:p>
    <w:p>
      <w:pPr>
        <w:numPr>
          <w:ilvl w:val="0"/>
          <w:numId w:val="1309"/>
        </w:numPr>
        <w:pStyle w:val="Compact"/>
      </w:pPr>
      <w:r>
        <w:t xml:space="preserve">All parameters recorded in PCC</w:t>
      </w:r>
    </w:p>
    <w:p>
      <w:pPr>
        <w:numPr>
          <w:ilvl w:val="0"/>
          <w:numId w:val="1310"/>
        </w:numPr>
        <w:pStyle w:val="Compact"/>
      </w:pPr>
      <w:r>
        <w:t xml:space="preserve">Registry hashing prevents silent modification (Tier 3+)</w:t>
      </w:r>
    </w:p>
    <w:p>
      <w:pPr>
        <w:numPr>
          <w:ilvl w:val="0"/>
          <w:numId w:val="1311"/>
        </w:numPr>
        <w:pStyle w:val="Compact"/>
      </w:pPr>
      <w:r>
        <w:t xml:space="preserve">Public rationale (5SPR) required</w:t>
      </w:r>
    </w:p>
    <w:p>
      <w:pPr>
        <w:pStyle w:val="FirstParagraph"/>
      </w:pPr>
      <w:r>
        <w:t xml:space="preserve">Audit Infrastructure:</w:t>
      </w:r>
    </w:p>
    <w:p>
      <w:pPr>
        <w:numPr>
          <w:ilvl w:val="0"/>
          <w:numId w:val="1312"/>
        </w:numPr>
        <w:pStyle w:val="Compact"/>
      </w:pPr>
      <w:r>
        <w:t xml:space="preserve">Random audit lottery (recommended 5% of PCCs at Tier 3)</w:t>
      </w:r>
    </w:p>
    <w:p>
      <w:pPr>
        <w:numPr>
          <w:ilvl w:val="0"/>
          <w:numId w:val="1313"/>
        </w:numPr>
        <w:pStyle w:val="Compact"/>
      </w:pPr>
      <w:r>
        <w:t xml:space="preserve">Red-team protocols for high-stakes decisions</w:t>
      </w:r>
    </w:p>
    <w:p>
      <w:pPr>
        <w:numPr>
          <w:ilvl w:val="0"/>
          <w:numId w:val="1314"/>
        </w:numPr>
        <w:pStyle w:val="Compact"/>
      </w:pPr>
      <w:r>
        <w:t xml:space="preserve">Configuration drift detection</w:t>
      </w:r>
    </w:p>
    <w:p>
      <w:pPr>
        <w:pStyle w:val="FirstParagraph"/>
      </w:pPr>
      <w:r>
        <w:t xml:space="preserve">Learning Accountability:</w:t>
      </w:r>
    </w:p>
    <w:p>
      <w:pPr>
        <w:numPr>
          <w:ilvl w:val="0"/>
          <w:numId w:val="1315"/>
        </w:numPr>
        <w:pStyle w:val="Compact"/>
      </w:pPr>
      <w:r>
        <w:t xml:space="preserve">NCAR loop tracks prediction accuracy</w:t>
      </w:r>
    </w:p>
    <w:p>
      <w:pPr>
        <w:numPr>
          <w:ilvl w:val="0"/>
          <w:numId w:val="1316"/>
        </w:numPr>
        <w:pStyle w:val="Compact"/>
      </w:pPr>
      <w:r>
        <w:t xml:space="preserve">Systematic errors trigger parameter review</w:t>
      </w:r>
    </w:p>
    <w:p>
      <w:pPr>
        <w:numPr>
          <w:ilvl w:val="0"/>
          <w:numId w:val="1317"/>
        </w:numPr>
        <w:pStyle w:val="Compact"/>
      </w:pPr>
      <w:r>
        <w:t xml:space="preserve">Historical PCCs preserved for accountability</w:t>
      </w:r>
    </w:p>
    <w:bookmarkEnd w:id="401"/>
    <w:bookmarkStart w:id="402" w:name="Xbbc3016ccc14291749e9e53495886331534bf45"/>
    <w:p>
      <w:pPr>
        <w:pStyle w:val="Heading2"/>
      </w:pPr>
      <w:r>
        <w:rPr>
          <w:bCs/>
          <w:b/>
        </w:rPr>
        <w:t xml:space="preserve">F.3 Audit Flag Taxonomy (Informative pointer; non-authoritative) Authoritative audit flags are specified in Section 14.3 and duplicated verbatim in Appendix H.3. Appendix F provides explanatory context and anti-gaming rationale only; it does not define, modify, or enumerate the canonical audit-flag set. For the complete and controlling list (tokens, triggers, required actions, severities), see Section 14.3 / Appendix H.3.</w:t>
      </w:r>
    </w:p>
    <w:bookmarkEnd w:id="402"/>
    <w:bookmarkStart w:id="403" w:name="X80f01ca966b2cdeccb7decb2b9e9a7e49b5bf53"/>
    <w:p>
      <w:pPr>
        <w:pStyle w:val="Heading2"/>
      </w:pPr>
      <w:r>
        <w:rPr>
          <w:bCs/>
          <w:b/>
        </w:rPr>
        <w:t xml:space="preserve">F.4 Red-Team and Audit Lottery (Tier 3 Recommended)</w:t>
      </w:r>
    </w:p>
    <w:p>
      <w:pPr>
        <w:pStyle w:val="FirstParagraph"/>
      </w:pPr>
      <w:r>
        <w:t xml:space="preserve">Deployments SHOULD adopt:</w:t>
      </w:r>
    </w:p>
    <w:p>
      <w:pPr>
        <w:numPr>
          <w:ilvl w:val="0"/>
          <w:numId w:val="1318"/>
        </w:numPr>
        <w:pStyle w:val="Compact"/>
      </w:pPr>
      <w:r>
        <w:t xml:space="preserve">Random audit lottery: for example, 5% of PCCs selected for independent review</w:t>
      </w:r>
    </w:p>
    <w:p>
      <w:pPr>
        <w:numPr>
          <w:ilvl w:val="0"/>
          <w:numId w:val="1319"/>
        </w:numPr>
        <w:pStyle w:val="Compact"/>
      </w:pPr>
      <w:r>
        <w:t xml:space="preserve">Red-team scenario additions: Adversarial scenario injection for TRC testing</w:t>
      </w:r>
    </w:p>
    <w:p>
      <w:pPr>
        <w:numPr>
          <w:ilvl w:val="0"/>
          <w:numId w:val="1320"/>
        </w:numPr>
        <w:pStyle w:val="Compact"/>
      </w:pPr>
      <w:r>
        <w:t xml:space="preserve">Kernel perturbation stress tests: Systematic edge perturbation</w:t>
      </w:r>
    </w:p>
    <w:bookmarkEnd w:id="403"/>
    <w:bookmarkStart w:id="404" w:name="X68158732a8af370c7adf6bcac877dade38f8cf6"/>
    <w:p>
      <w:pPr>
        <w:pStyle w:val="Heading2"/>
      </w:pPr>
      <w:r>
        <w:rPr>
          <w:bCs/>
          <w:b/>
        </w:rPr>
        <w:t xml:space="preserve">F.5 Boundary and Threshold Gaming (Normative anti-gaming clarification)</w:t>
      </w:r>
    </w:p>
    <w:p>
      <w:pPr>
        <w:pStyle w:val="FirstParagraph"/>
      </w:pPr>
      <w:r>
        <w:t xml:space="preserve">RippleLogic does not assume adversaries will only game welfare scores. Because NCRC, TRC, CSV, and PLSS create hard feasibility and escalation conditions, adversarial pressure may shift toward subgroup definitions, rights-threshold placement, scenario-library construction, probability assignment, containment-scope framing, PLSS local-scope declarations, evidence-sufficiency claims, and maturity classifications.</w:t>
      </w:r>
    </w:p>
    <w:p>
      <w:pPr>
        <w:pStyle w:val="BodyText"/>
      </w:pPr>
      <w:r>
        <w:t xml:space="preserve">PCC reviewers SHALL inspect these boundary surfaces for gerrymandering, selective omission, motivated uncertainty, threshold laundering, scope narrowing, and evidence laundering. Where any of these surfaces is material to a gate verdict, escalation, or refusal decision, the run SHALL disclose the contested boundary choice, the evidentiary basis, reviewer disagreement if any, and the sensitivity of the verdict to plausible alternative boundary definitions.</w:t>
      </w:r>
    </w:p>
    <w:p>
      <w:pPr>
        <w:pStyle w:val="BodyText"/>
      </w:pPr>
      <w:r>
        <w:t xml:space="preserve">Goodhart pressure is not eliminated by RippleLogic; it is relocated and exposed. The system becomes stronger only when boundary definitions, threshold settings, probability libraries, stakeholder maps, and evidence sufficiency judgments are inspectable, contestable, and preserved in the PCC or companion audit record.</w:t>
      </w:r>
    </w:p>
    <w:p>
      <w:pPr>
        <w:pStyle w:val="BodyText"/>
      </w:pPr>
      <w:r>
        <w:t xml:space="preserve">End Appendix F.</w:t>
      </w:r>
    </w:p>
    <w:bookmarkEnd w:id="404"/>
    <w:bookmarkEnd w:id="405"/>
    <w:bookmarkStart w:id="416" w:name="Xaa55a61714eb7a903af75c3a3513ebd1f64989e"/>
    <w:p>
      <w:pPr>
        <w:pStyle w:val="Heading1"/>
      </w:pPr>
      <w:bookmarkStart w:id="792" w:name="mg_toc_028"/>
      <w:r>
        <w:rPr>
          <w:bCs/>
          <w:b/>
        </w:rPr>
        <w:t xml:space="preserve">APPENDIX G: SGP v8.5 INTEGRATION BINDING (NORMATIVE INTERFACE)</w:t>
      </w:r>
      <w:bookmarkEnd w:id="792"/>
    </w:p>
    <w:p>
      <w:pPr>
        <w:pStyle w:val="FirstParagraph"/>
      </w:pPr>
      <w:r>
        <w:t xml:space="preserve">Appendix G is normative for the RippleLogic-to-SGP interface.</w:t>
      </w:r>
    </w:p>
    <w:bookmarkStart w:id="406" w:name="g0-interim-precautionary-trigger"/>
    <w:p>
      <w:pPr>
        <w:pStyle w:val="Heading2"/>
      </w:pPr>
      <w:r>
        <w:rPr>
          <w:bCs/>
          <w:b/>
        </w:rPr>
        <w:t xml:space="preserve">G.0 Interim Precautionary Trigger</w:t>
      </w:r>
    </w:p>
    <w:p>
      <w:pPr>
        <w:pStyle w:val="FirstParagraph"/>
      </w:pPr>
      <w:r>
        <w:t xml:space="preserve">If credible SGP, taxon/class, stakeholder, or artificial-system evidence identifies a plausible moral patient before formal rights-coverage expansion is complete, the run MUST record</w:t>
      </w:r>
      <w:r>
        <w:t xml:space="preserve"> </w:t>
      </w:r>
      <w:r>
        <w:rPr>
          <w:rStyle w:val="VerbatimChar"/>
        </w:rPr>
        <w:t xml:space="preserve">PRECAUTIONARY_PROTECTION_REVIEW</w:t>
      </w:r>
      <w:r>
        <w:t xml:space="preserve">. Absence of an existing C_r mapping MUST NOT be treated as permission for harmful treatment.</w:t>
      </w:r>
    </w:p>
    <w:bookmarkEnd w:id="406"/>
    <w:bookmarkStart w:id="407" w:name="g1-version-and-artifact-pin"/>
    <w:p>
      <w:pPr>
        <w:pStyle w:val="Heading2"/>
      </w:pPr>
      <w:r>
        <w:rPr>
          <w:bCs/>
          <w:b/>
        </w:rPr>
        <w:t xml:space="preserve">G.1 Version and Artifact Pin</w:t>
      </w:r>
    </w:p>
    <w:p>
      <w:pPr>
        <w:pStyle w:val="FirstParagraph"/>
      </w:pPr>
      <w:r>
        <w:t xml:space="preserve">SGP Version Pin: RippleLogic Canon v12.6 pins Sentience Gradient Protocol v8.5.</w:t>
      </w:r>
    </w:p>
    <w:p>
      <w:pPr>
        <w:pStyle w:val="BodyText"/>
      </w:pPr>
      <w:r>
        <w:t xml:space="preserve">ProofPack dependency rule: a replayable package MUST bundle or hash-pin the exact normative</w:t>
      </w:r>
      <w:r>
        <w:t xml:space="preserve"> </w:t>
      </w:r>
      <w:r>
        <w:rPr>
          <w:rStyle w:val="VerbatimChar"/>
        </w:rPr>
        <w:t xml:space="preserve">docs/sgp/SGP_v8.5.md</w:t>
      </w:r>
      <w:r>
        <w:t xml:space="preserve"> </w:t>
      </w:r>
      <w:r>
        <w:t xml:space="preserve">artifact and any referenced MPS/FPP/GPR/SPR/ICP/RMCP record. If it does not, SGP is an external dependency and SGP-aware test claims are restricted to explicit supplied interface values.</w:t>
      </w:r>
    </w:p>
    <w:p>
      <w:pPr>
        <w:pStyle w:val="BodyText"/>
      </w:pPr>
      <w:r>
        <w:t xml:space="preserve">Legacy rule: v7.x</w:t>
      </w:r>
      <w:r>
        <w:t xml:space="preserve"> </w:t>
      </w:r>
      <w:r>
        <w:rPr>
          <w:rStyle w:val="VerbatimChar"/>
        </w:rPr>
        <w:t xml:space="preserve">SG_norm</w:t>
      </w:r>
      <w:r>
        <w:t xml:space="preserve">,</w:t>
      </w:r>
      <w:r>
        <w:t xml:space="preserve"> </w:t>
      </w:r>
      <w:r>
        <w:rPr>
          <w:rStyle w:val="VerbatimChar"/>
        </w:rPr>
        <w:t xml:space="preserve">SG_patient_norm</w:t>
      </w:r>
      <w:r>
        <w:t xml:space="preserve">,</w:t>
      </w:r>
      <w:r>
        <w:t xml:space="preserve"> </w:t>
      </w:r>
      <w:r>
        <w:rPr>
          <w:rStyle w:val="VerbatimChar"/>
        </w:rPr>
        <w:t xml:space="preserve">SG_measured_norm</w:t>
      </w:r>
      <w:r>
        <w:t xml:space="preserve">, A/B/C pillar values, and Plateau/CMIU fields are retained only as version-pinned historical records. They MUST NOT be translated into v8.5 outputs without re-evaluation. v8.0 MPS/FPP/GPR/SPR/ICP records remain structurally compatible only where the target boundary and evidence record remain valid; RMCP and P100 require an explicit v8.5 evaluation.</w:t>
      </w:r>
    </w:p>
    <w:bookmarkEnd w:id="407"/>
    <w:bookmarkStart w:id="408" w:name="g2-interface-visible-outputs"/>
    <w:p>
      <w:pPr>
        <w:pStyle w:val="Heading2"/>
      </w:pPr>
      <w:r>
        <w:rPr>
          <w:bCs/>
          <w:b/>
        </w:rPr>
        <w:t xml:space="preserve">G.2 Interface-Visible Outputs</w:t>
      </w:r>
    </w:p>
    <w:p>
      <w:pPr>
        <w:pStyle w:val="FirstParagraph"/>
      </w:pPr>
      <w:r>
        <w:t xml:space="preserve">A valid SGP v8.5 record may expose:</w:t>
      </w:r>
    </w:p>
    <w:p>
      <w:pPr>
        <w:numPr>
          <w:ilvl w:val="0"/>
          <w:numId w:val="1321"/>
        </w:numPr>
        <w:pStyle w:val="Compact"/>
      </w:pPr>
      <w:r>
        <w:t xml:space="preserve">MPS evidence-family levels V, I, T, F, and S, including NE fields;</w:t>
      </w:r>
    </w:p>
    <w:p>
      <w:pPr>
        <w:numPr>
          <w:ilvl w:val="0"/>
          <w:numId w:val="1321"/>
        </w:numPr>
        <w:pStyle w:val="Compact"/>
      </w:pPr>
      <w:r>
        <w:t xml:space="preserve">MPS status MPS-NE or evidence band MPS-0 through MPS-4;</w:t>
      </w:r>
    </w:p>
    <w:p>
      <w:pPr>
        <w:numPr>
          <w:ilvl w:val="0"/>
          <w:numId w:val="1321"/>
        </w:numPr>
        <w:pStyle w:val="Compact"/>
      </w:pPr>
      <w:r>
        <w:t xml:space="preserve">MPS evidence band/interval, record validity, process confidence, and governed welfare-inclusion hypothesis set;</w:t>
      </w:r>
    </w:p>
    <w:p>
      <w:pPr>
        <w:numPr>
          <w:ilvl w:val="0"/>
          <w:numId w:val="1321"/>
        </w:numPr>
        <w:pStyle w:val="Compact"/>
      </w:pPr>
      <w:r>
        <w:t xml:space="preserve">protection posture and typed protection bundle;</w:t>
      </w:r>
    </w:p>
    <w:p>
      <w:pPr>
        <w:numPr>
          <w:ilvl w:val="0"/>
          <w:numId w:val="1321"/>
        </w:numPr>
        <w:pStyle w:val="Compact"/>
      </w:pPr>
      <w:r>
        <w:t xml:space="preserve">FPP(E) in {0,1};</w:t>
      </w:r>
    </w:p>
    <w:p>
      <w:pPr>
        <w:numPr>
          <w:ilvl w:val="0"/>
          <w:numId w:val="1321"/>
        </w:numPr>
        <w:pStyle w:val="Compact"/>
      </w:pPr>
      <w:r>
        <w:t xml:space="preserve">GPR(E,r,t) for a named process or institution;</w:t>
      </w:r>
    </w:p>
    <w:p>
      <w:pPr>
        <w:numPr>
          <w:ilvl w:val="0"/>
          <w:numId w:val="1321"/>
        </w:numPr>
        <w:pStyle w:val="Compact"/>
      </w:pPr>
      <w:r>
        <w:t xml:space="preserve">SPR(E,r,t) for a named consequential role;</w:t>
      </w:r>
    </w:p>
    <w:p>
      <w:pPr>
        <w:numPr>
          <w:ilvl w:val="0"/>
          <w:numId w:val="1321"/>
        </w:numPr>
        <w:pStyle w:val="Compact"/>
      </w:pPr>
      <w:r>
        <w:t xml:space="preserve">optional ICP(E,D,t);</w:t>
      </w:r>
    </w:p>
    <w:p>
      <w:pPr>
        <w:numPr>
          <w:ilvl w:val="0"/>
          <w:numId w:val="1321"/>
        </w:numPr>
        <w:pStyle w:val="Compact"/>
      </w:pPr>
      <w:r>
        <w:t xml:space="preserve">optional RMCP(C,D,t), including the dimension vector, uncertainty intervals, boundary/scaffolding record, capacity-performance separation, causal scale, and P100 status where assigned;</w:t>
      </w:r>
    </w:p>
    <w:p>
      <w:pPr>
        <w:numPr>
          <w:ilvl w:val="0"/>
          <w:numId w:val="1321"/>
        </w:numPr>
        <w:pStyle w:val="Compact"/>
      </w:pPr>
      <w:r>
        <w:t xml:space="preserve">target identity/boundary, evidence trace, dependence graph, alternative explanations, reviewer status, validity status, and revision trigger.</w:t>
      </w:r>
    </w:p>
    <w:p>
      <w:pPr>
        <w:pStyle w:val="FirstParagraph"/>
      </w:pPr>
      <w:r>
        <w:t xml:space="preserve">RippleLogic consumes these values exactly as supplied by the valid pinned record. It MUST NOT reconstruct MPS from deprecated pillars, infer FPP from a high band, infer sentience or moral worth from RMCP/P100, or infer authority from MPS/FPP/GPR/ICP/RMCP.</w:t>
      </w:r>
    </w:p>
    <w:bookmarkEnd w:id="408"/>
    <w:bookmarkStart w:id="409" w:name="X61fefac15b42114c681d26abe15ad9b70ee1848"/>
    <w:p>
      <w:pPr>
        <w:pStyle w:val="Heading2"/>
      </w:pPr>
      <w:r>
        <w:rPr>
          <w:bCs/>
          <w:b/>
        </w:rPr>
        <w:t xml:space="preserve">G.3 MPS Evidence-Support Map and Welfare-Hypothesis Interface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SGP output</w:t>
            </w:r>
          </w:p>
        </w:tc>
        <w:tc>
          <w:tcPr>
            <w:shd w:val="clear" w:color="auto" w:fill="D9EAF7"/>
            <w:vAlign w:val="center"/>
          </w:tcPr>
          <w:p>
            <w:pPr>
              <w:pStyle w:val="Compact"/>
              <w:jc w:val="left"/>
            </w:pPr>
            <w:r>
              <w:rPr>
                <w:bCs/>
                <w:b/>
                <w:color w:val="17365D"/>
              </w:rPr>
              <w:t xml:space="preserve">Evidence-support status</w:t>
            </w:r>
          </w:p>
        </w:tc>
        <w:tc>
          <w:tcPr>
            <w:shd w:val="clear" w:color="auto" w:fill="D9EAF7"/>
            <w:vAlign w:val="center"/>
          </w:tcPr>
          <w:p>
            <w:pPr>
              <w:pStyle w:val="Compact"/>
              <w:jc w:val="left"/>
            </w:pPr>
            <w:r>
              <w:rPr>
                <w:bCs/>
                <w:b/>
                <w:color w:val="17365D"/>
              </w:rPr>
              <w:t xml:space="preserve">Required RippleLogic posture</w:t>
            </w:r>
          </w:p>
        </w:tc>
      </w:tr>
      <w:tr>
        <w:tc>
          <w:tcPr>
            <w:vAlign w:val="top"/>
          </w:tcPr>
          <w:p>
            <w:pPr>
              <w:pStyle w:val="Compact"/>
              <w:jc w:val="left"/>
            </w:pPr>
            <w:r>
              <w:t xml:space="preserve">MPS-NE</w:t>
            </w:r>
          </w:p>
        </w:tc>
        <w:tc>
          <w:tcPr>
            <w:vAlign w:val="top"/>
          </w:tcPr>
          <w:p>
            <w:pPr>
              <w:pStyle w:val="Compact"/>
              <w:jc w:val="left"/>
            </w:pPr>
            <w:r>
              <w:rPr>
                <w:rStyle w:val="VerbatimChar"/>
              </w:rPr>
              <w:t xml:space="preserve">NOT_EVALUABLE</w:t>
            </w:r>
          </w:p>
        </w:tc>
        <w:tc>
          <w:tcPr>
            <w:vAlign w:val="top"/>
          </w:tcPr>
          <w:p>
            <w:pPr>
              <w:pStyle w:val="Compact"/>
              <w:jc w:val="left"/>
            </w:pPr>
            <w:r>
              <w:t xml:space="preserve">Missing, poorly observable, or indeterminate evidence. Never zero. If decision-material, test both h=0 and h=1 and apply precaution.</w:t>
            </w:r>
          </w:p>
        </w:tc>
      </w:tr>
      <w:tr>
        <w:tc>
          <w:tcPr>
            <w:shd w:val="clear" w:color="auto" w:fill="F7FBFE"/>
            <w:vAlign w:val="top"/>
          </w:tcPr>
          <w:p>
            <w:pPr>
              <w:pStyle w:val="Compact"/>
              <w:jc w:val="left"/>
            </w:pPr>
            <w:r>
              <w:t xml:space="preserve">MPS-0</w:t>
            </w:r>
          </w:p>
        </w:tc>
        <w:tc>
          <w:tcPr>
            <w:shd w:val="clear" w:color="auto" w:fill="F7FBFE"/>
            <w:vAlign w:val="top"/>
          </w:tcPr>
          <w:p>
            <w:pPr>
              <w:pStyle w:val="Compact"/>
              <w:jc w:val="left"/>
            </w:pPr>
            <w:r>
              <w:t xml:space="preserve">[0.00,0.19]</w:t>
            </w:r>
          </w:p>
        </w:tc>
        <w:tc>
          <w:tcPr>
            <w:shd w:val="clear" w:color="auto" w:fill="F7FBFE"/>
            <w:vAlign w:val="top"/>
          </w:tcPr>
          <w:p>
            <w:pPr>
              <w:pStyle w:val="Compact"/>
              <w:jc w:val="left"/>
            </w:pPr>
            <w:r>
              <w:t xml:space="preserve">Admissible evidence currently weighs against welfare-bearing experience. Primary exclusion may be tested, but high-harm or model-sensitive cases retain h=1 sensitivity.</w:t>
            </w:r>
          </w:p>
        </w:tc>
      </w:tr>
      <w:tr>
        <w:tc>
          <w:tcPr>
            <w:vAlign w:val="top"/>
          </w:tcPr>
          <w:p>
            <w:pPr>
              <w:pStyle w:val="Compact"/>
              <w:jc w:val="left"/>
            </w:pPr>
            <w:r>
              <w:t xml:space="preserve">MPS-1</w:t>
            </w:r>
          </w:p>
        </w:tc>
        <w:tc>
          <w:tcPr>
            <w:vAlign w:val="top"/>
          </w:tcPr>
          <w:p>
            <w:pPr>
              <w:pStyle w:val="Compact"/>
              <w:jc w:val="left"/>
            </w:pPr>
            <w:r>
              <w:t xml:space="preserve">[0.20,0.39]</w:t>
            </w:r>
          </w:p>
        </w:tc>
        <w:tc>
          <w:tcPr>
            <w:vAlign w:val="top"/>
          </w:tcPr>
          <w:p>
            <w:pPr>
              <w:pStyle w:val="Compact"/>
              <w:jc w:val="left"/>
            </w:pPr>
            <w:r>
              <w:t xml:space="preserve">Realistic possibility; include h=1 and apply precaution.</w:t>
            </w:r>
          </w:p>
        </w:tc>
      </w:tr>
      <w:tr>
        <w:tc>
          <w:tcPr>
            <w:shd w:val="clear" w:color="auto" w:fill="F7FBFE"/>
            <w:vAlign w:val="top"/>
          </w:tcPr>
          <w:p>
            <w:pPr>
              <w:pStyle w:val="Compact"/>
              <w:jc w:val="left"/>
            </w:pPr>
            <w:r>
              <w:t xml:space="preserve">MPS-2</w:t>
            </w:r>
          </w:p>
        </w:tc>
        <w:tc>
          <w:tcPr>
            <w:shd w:val="clear" w:color="auto" w:fill="F7FBFE"/>
            <w:vAlign w:val="top"/>
          </w:tcPr>
          <w:p>
            <w:pPr>
              <w:pStyle w:val="Compact"/>
              <w:jc w:val="left"/>
            </w:pPr>
            <w:r>
              <w:t xml:space="preserve">[0.40,0.59]</w:t>
            </w:r>
          </w:p>
        </w:tc>
        <w:tc>
          <w:tcPr>
            <w:shd w:val="clear" w:color="auto" w:fill="F7FBFE"/>
            <w:vAlign w:val="top"/>
          </w:tcPr>
          <w:p>
            <w:pPr>
              <w:pStyle w:val="Compact"/>
              <w:jc w:val="left"/>
            </w:pPr>
            <w:r>
              <w:t xml:space="preserve">Credible possibility; include h=1 with robust protection.</w:t>
            </w:r>
          </w:p>
        </w:tc>
      </w:tr>
      <w:tr>
        <w:tc>
          <w:tcPr>
            <w:vAlign w:val="top"/>
          </w:tcPr>
          <w:p>
            <w:pPr>
              <w:pStyle w:val="Compact"/>
              <w:jc w:val="left"/>
            </w:pPr>
            <w:r>
              <w:t xml:space="preserve">MPS-3</w:t>
            </w:r>
          </w:p>
        </w:tc>
        <w:tc>
          <w:tcPr>
            <w:vAlign w:val="top"/>
          </w:tcPr>
          <w:p>
            <w:pPr>
              <w:pStyle w:val="Compact"/>
              <w:jc w:val="left"/>
            </w:pPr>
            <w:r>
              <w:t xml:space="preserve">[0.60,0.79]</w:t>
            </w:r>
          </w:p>
        </w:tc>
        <w:tc>
          <w:tcPr>
            <w:vAlign w:val="top"/>
          </w:tcPr>
          <w:p>
            <w:pPr>
              <w:pStyle w:val="Compact"/>
              <w:jc w:val="left"/>
            </w:pPr>
            <w:r>
              <w:t xml:space="preserve">Substantial evidence; h=1 is the primary welfare posture.</w:t>
            </w:r>
          </w:p>
        </w:tc>
      </w:tr>
      <w:tr>
        <w:tc>
          <w:tcPr>
            <w:shd w:val="clear" w:color="auto" w:fill="F7FBFE"/>
            <w:vAlign w:val="top"/>
          </w:tcPr>
          <w:p>
            <w:pPr>
              <w:pStyle w:val="Compact"/>
              <w:jc w:val="left"/>
            </w:pPr>
            <w:r>
              <w:t xml:space="preserve">MPS-4</w:t>
            </w:r>
          </w:p>
        </w:tc>
        <w:tc>
          <w:tcPr>
            <w:shd w:val="clear" w:color="auto" w:fill="F7FBFE"/>
            <w:vAlign w:val="top"/>
          </w:tcPr>
          <w:p>
            <w:pPr>
              <w:pStyle w:val="Compact"/>
              <w:jc w:val="left"/>
            </w:pPr>
            <w:r>
              <w:t xml:space="preserve">[0.80,0.99]</w:t>
            </w:r>
          </w:p>
        </w:tc>
        <w:tc>
          <w:tcPr>
            <w:shd w:val="clear" w:color="auto" w:fill="F7FBFE"/>
            <w:vAlign w:val="top"/>
          </w:tcPr>
          <w:p>
            <w:pPr>
              <w:pStyle w:val="Compact"/>
              <w:jc w:val="left"/>
            </w:pPr>
            <w:r>
              <w:t xml:space="preserve">Strong convergent evidence; h=1 and presumptive full protection/FPP review.</w:t>
            </w:r>
          </w:p>
        </w:tc>
      </w:tr>
      <w:tr>
        <w:tc>
          <w:tcPr>
            <w:vAlign w:val="top"/>
          </w:tcPr>
          <w:p>
            <w:pPr>
              <w:pStyle w:val="Compact"/>
              <w:jc w:val="left"/>
            </w:pPr>
            <w:r>
              <w:t xml:space="preserve">FPP</w:t>
            </w:r>
          </w:p>
        </w:tc>
        <w:tc>
          <w:tcPr>
            <w:vAlign w:val="top"/>
          </w:tcPr>
          <w:p>
            <w:pPr>
              <w:pStyle w:val="Compact"/>
              <w:jc w:val="left"/>
            </w:pPr>
            <w:r>
              <w:t xml:space="preserve">[1.00,1.00]</w:t>
            </w:r>
          </w:p>
        </w:tc>
        <w:tc>
          <w:tcPr>
            <w:vAlign w:val="top"/>
          </w:tcPr>
          <w:p>
            <w:pPr>
              <w:pStyle w:val="Compact"/>
              <w:jc w:val="left"/>
            </w:pPr>
            <w:r>
              <w:t xml:space="preserve">Full non-downgradable rights-of-protection; h=1.</w:t>
            </w:r>
          </w:p>
        </w:tc>
      </w:tr>
    </w:tbl>
    <w:p>
      <w:pPr>
        <w:pStyle w:val="BodyText"/>
      </w:pPr>
      <w:r>
        <w:t xml:space="preserve">The numeric intervals are bounded evidence-support interfaces for governance and review. They are not probabilities, quantities of consciousness, intrinsic-worth measures, or direct welfare multipliers. RippleLogic constructs and reports the required welfare-inclusion hypotheses; it does not convert the MPS interval into a coefficient.</w:t>
      </w:r>
    </w:p>
    <w:bookmarkEnd w:id="409"/>
    <w:bookmarkStart w:id="410" w:name="g4-human-fpp-and-general-fpp-recognition"/>
    <w:p>
      <w:pPr>
        <w:pStyle w:val="Heading2"/>
      </w:pPr>
      <w:r>
        <w:rPr>
          <w:bCs/>
          <w:b/>
        </w:rPr>
        <w:t xml:space="preserve">G.4 Human FPP and General FPP Recognition</w:t>
      </w:r>
    </w:p>
    <w:p>
      <w:pPr>
        <w:pStyle w:val="FirstParagraph"/>
      </w:pPr>
      <w:r>
        <w:t xml:space="preserve">For every human person H, FPP(H)=1 and the welfare-inclusion coefficient is h=1. RippleLogic SHALL NOT request or use performance measurement to weaken this status.</w:t>
      </w:r>
    </w:p>
    <w:p>
      <w:pPr>
        <w:pStyle w:val="BodyText"/>
      </w:pPr>
      <w:r>
        <w:t xml:space="preserve">For a non-human individual or class, FPP exists only when explicitly assigned by a valid SGP v8.5 governed record under its identity or membership rule. MPS-4 alone triggers FPP review; it does not automatically create FPP. FPP governs protection only and does not create CMIU membership, GPR, SPR, legal personhood, or authority.</w:t>
      </w:r>
    </w:p>
    <w:bookmarkEnd w:id="410"/>
    <w:bookmarkStart w:id="411" w:name="g5-permitted-welfare-stream-use"/>
    <w:p>
      <w:pPr>
        <w:pStyle w:val="Heading2"/>
      </w:pPr>
      <w:r>
        <w:rPr>
          <w:bCs/>
          <w:b/>
        </w:rPr>
        <w:t xml:space="preserve">G.5 Permitted Welfare-Stream Use</w:t>
      </w:r>
    </w:p>
    <w:p>
      <w:pPr>
        <w:pStyle w:val="FirstParagraph"/>
      </w:pPr>
      <w:r>
        <w:t xml:space="preserve">For each affected stakeholder instance k:</w:t>
      </w:r>
    </w:p>
    <w:p>
      <w:pPr>
        <w:numPr>
          <w:ilvl w:val="0"/>
          <w:numId w:val="1322"/>
        </w:numPr>
        <w:pStyle w:val="Compact"/>
      </w:pPr>
      <w:r>
        <w:t xml:space="preserve">Base stream: h_{k,base}:=1.0.</w:t>
      </w:r>
    </w:p>
    <w:p>
      <w:pPr>
        <w:numPr>
          <w:ilvl w:val="0"/>
          <w:numId w:val="1322"/>
        </w:numPr>
        <w:pStyle w:val="Compact"/>
      </w:pPr>
      <w:r>
        <w:t xml:space="preserve">Welfare stream: for each declared sensitivity evaluation j, choose h_{k,welfare}^{(j)} from the governed welfare-inclusion hypothesis set for E_k; do not insert the MPS interval directly as a multiplier.</w:t>
      </w:r>
    </w:p>
    <w:p>
      <w:pPr>
        <w:numPr>
          <w:ilvl w:val="0"/>
          <w:numId w:val="1322"/>
        </w:numPr>
        <w:pStyle w:val="Compact"/>
      </w:pPr>
      <w:r>
        <w:t xml:space="preserve">Human/FPP rule: h_{k,welfare}^{(j)}:=1.0 for every human person and FPP entity.</w:t>
      </w:r>
    </w:p>
    <w:p>
      <w:pPr>
        <w:numPr>
          <w:ilvl w:val="0"/>
          <w:numId w:val="1322"/>
        </w:numPr>
        <w:pStyle w:val="Compact"/>
      </w:pPr>
      <w:r>
        <w:t xml:space="preserve">For MPS-NE, test h=0 and h=1 whenever decision-material.</w:t>
      </w:r>
    </w:p>
    <w:p>
      <w:pPr>
        <w:numPr>
          <w:ilvl w:val="0"/>
          <w:numId w:val="1322"/>
        </w:numPr>
        <w:pStyle w:val="Compact"/>
      </w:pPr>
      <w:r>
        <w:t xml:space="preserve">For MPS-1 through MPS-4, include h=1; include h=0 only where exclusion remains evidentially admissible and could alter the result.</w:t>
      </w:r>
    </w:p>
    <w:p>
      <w:pPr>
        <w:numPr>
          <w:ilvl w:val="0"/>
          <w:numId w:val="1322"/>
        </w:numPr>
        <w:pStyle w:val="Compact"/>
      </w:pPr>
      <w:r>
        <w:t xml:space="preserve">A representative display value MAY be shown only when every decision-material hypothesis result and selection sensitivity are also reported.</w:t>
      </w:r>
    </w:p>
    <w:p>
      <w:pPr>
        <w:pStyle w:val="FirstParagraph"/>
      </w:pPr>
      <w:r>
        <w:t xml:space="preserve">SGP outputs MUST NOT alter RF/NCRC, TRC, or CSV. Protection is enforced through rights coverage and protection posture, not discounted into a welfare multiplier.</w:t>
      </w:r>
    </w:p>
    <w:bookmarkEnd w:id="411"/>
    <w:bookmarkStart w:id="412" w:name="X671a92684233690b4803cf40b3f85e77db04646"/>
    <w:p>
      <w:pPr>
        <w:pStyle w:val="Heading2"/>
      </w:pPr>
      <w:r>
        <w:rPr>
          <w:bCs/>
          <w:b/>
        </w:rPr>
        <w:t xml:space="preserve">G.6 Participation, Reality-Management Capacity, Power, and CMIU Non-Inference</w:t>
      </w:r>
    </w:p>
    <w:p>
      <w:pPr>
        <w:pStyle w:val="FirstParagraph"/>
      </w:pPr>
      <w:r>
        <w:t xml:space="preserve">GPR may guide direct, assisted, or represented participation in a named process. It does not determine moral worth or executive power.</w:t>
      </w:r>
    </w:p>
    <w:p>
      <w:pPr>
        <w:pStyle w:val="BodyText"/>
      </w:pPr>
      <w:r>
        <w:t xml:space="preserve">RMCP may describe integrated reality-management capacity and P100 status. Humanity collectively is the provisional current reference calibration anchor, but P100 is open across substrates and does not establish wisdom, FPP, membership, or authority. Capacity and actual stewardship performance MUST be reported separately.</w:t>
      </w:r>
    </w:p>
    <w:p>
      <w:pPr>
        <w:pStyle w:val="BodyText"/>
      </w:pPr>
      <w:r>
        <w:t xml:space="preserve">SPR is role-specific and may inform an AuthoritySelectionRecord. It does not by itself grant authority and cannot bypass lawful mandate or the cascade.</w:t>
      </w:r>
    </w:p>
    <w:p>
      <w:pPr>
        <w:pStyle w:val="BodyText"/>
      </w:pPr>
      <w:r>
        <w:t xml:space="preserve">CMIU is defined by Canon Section 12.7 as a governance-coordination view. SGP does not grant CMIU standing. FPP, MPS, RMCP, or P100 alone never creates membership; GPR supplies participation evidence, and consequential roles require SPR plus the Canon’s authority controls.</w:t>
      </w:r>
    </w:p>
    <w:bookmarkEnd w:id="412"/>
    <w:bookmarkStart w:id="413" w:name="g7-pcc-logging-and-record-validity-floor"/>
    <w:p>
      <w:pPr>
        <w:pStyle w:val="Heading2"/>
      </w:pPr>
      <w:r>
        <w:rPr>
          <w:bCs/>
          <w:b/>
        </w:rPr>
        <w:t xml:space="preserve">G.7 PCC Logging and Record Validity Floor</w:t>
      </w:r>
    </w:p>
    <w:p>
      <w:pPr>
        <w:pStyle w:val="FirstParagraph"/>
      </w:pPr>
      <w:r>
        <w:t xml:space="preserve">When SGP affects protection, stakeholder inclusion, participation, power review, or Welfare-stream analysis, the PCC MUST record:</w:t>
      </w:r>
    </w:p>
    <w:p>
      <w:pPr>
        <w:numPr>
          <w:ilvl w:val="0"/>
          <w:numId w:val="1323"/>
        </w:numPr>
        <w:pStyle w:val="Compact"/>
      </w:pPr>
      <w:r>
        <w:t xml:space="preserve">SGP version and exact artifact hash/reference;</w:t>
      </w:r>
    </w:p>
    <w:p>
      <w:pPr>
        <w:numPr>
          <w:ilvl w:val="0"/>
          <w:numId w:val="1323"/>
        </w:numPr>
        <w:pStyle w:val="Compact"/>
      </w:pPr>
      <w:r>
        <w:t xml:space="preserve">target identifier and system/class boundary;</w:t>
      </w:r>
    </w:p>
    <w:p>
      <w:pPr>
        <w:numPr>
          <w:ilvl w:val="0"/>
          <w:numId w:val="1323"/>
        </w:numPr>
        <w:pStyle w:val="Compact"/>
      </w:pPr>
      <w:r>
        <w:t xml:space="preserve">record validity status;</w:t>
      </w:r>
    </w:p>
    <w:p>
      <w:pPr>
        <w:numPr>
          <w:ilvl w:val="0"/>
          <w:numId w:val="1323"/>
        </w:numPr>
        <w:pStyle w:val="Compact"/>
      </w:pPr>
      <w:r>
        <w:t xml:space="preserve">MPS band or MPS-NE status, evidence-support interval where applicable, confidence, protection posture, and welfare-inclusion hypotheses evaluated;</w:t>
      </w:r>
    </w:p>
    <w:p>
      <w:pPr>
        <w:numPr>
          <w:ilvl w:val="0"/>
          <w:numId w:val="1323"/>
        </w:numPr>
        <w:pStyle w:val="Compact"/>
      </w:pPr>
      <w:r>
        <w:t xml:space="preserve">FPP status and assignment source;</w:t>
      </w:r>
    </w:p>
    <w:p>
      <w:pPr>
        <w:numPr>
          <w:ilvl w:val="0"/>
          <w:numId w:val="1323"/>
        </w:numPr>
        <w:pStyle w:val="Compact"/>
      </w:pPr>
      <w:r>
        <w:t xml:space="preserve">the welfare-inclusion hypotheses evaluated and sensitivity result;</w:t>
      </w:r>
    </w:p>
    <w:p>
      <w:pPr>
        <w:numPr>
          <w:ilvl w:val="0"/>
          <w:numId w:val="1323"/>
        </w:numPr>
        <w:pStyle w:val="Compact"/>
      </w:pPr>
      <w:r>
        <w:t xml:space="preserve">evidence maturity, dependence clusters, access limits, and alternative explanations;</w:t>
      </w:r>
    </w:p>
    <w:p>
      <w:pPr>
        <w:numPr>
          <w:ilvl w:val="0"/>
          <w:numId w:val="1323"/>
        </w:numPr>
        <w:pStyle w:val="Compact"/>
      </w:pPr>
      <w:r>
        <w:t xml:space="preserve">reviewer panel, conflicts, minority opinion, and welfare advocate where required;</w:t>
      </w:r>
    </w:p>
    <w:p>
      <w:pPr>
        <w:numPr>
          <w:ilvl w:val="0"/>
          <w:numId w:val="1323"/>
        </w:numPr>
        <w:pStyle w:val="Compact"/>
      </w:pPr>
      <w:r>
        <w:t xml:space="preserve">GPR process/band and participation mode where used;</w:t>
      </w:r>
    </w:p>
    <w:p>
      <w:pPr>
        <w:numPr>
          <w:ilvl w:val="0"/>
          <w:numId w:val="1323"/>
        </w:numPr>
        <w:pStyle w:val="Compact"/>
      </w:pPr>
      <w:r>
        <w:t xml:space="preserve">SPR role/verdict, mandate, limits, responsibility chain, and revocation method where used;</w:t>
      </w:r>
    </w:p>
    <w:p>
      <w:pPr>
        <w:numPr>
          <w:ilvl w:val="0"/>
          <w:numId w:val="1323"/>
        </w:numPr>
        <w:pStyle w:val="Compact"/>
      </w:pPr>
      <w:r>
        <w:t xml:space="preserve">RMCP target/collective boundary, dimension vector and uncertainty intervals, external scaffolding, causal scale, capacity-performance separation, P100 decision and challenger review where used;</w:t>
      </w:r>
    </w:p>
    <w:p>
      <w:pPr>
        <w:numPr>
          <w:ilvl w:val="0"/>
          <w:numId w:val="1323"/>
        </w:numPr>
        <w:pStyle w:val="Compact"/>
      </w:pPr>
      <w:r>
        <w:t xml:space="preserve">re-evaluation date and revision trigger.</w:t>
      </w:r>
    </w:p>
    <w:p>
      <w:pPr>
        <w:pStyle w:val="FirstParagraph"/>
      </w:pPr>
      <w:r>
        <w:t xml:space="preserve">Validity floor: a record lacking target boundary, version pin, evidence trace, MPS family results, band/interval, confidence, protection posture, reviewer status, or revision trigger is</w:t>
      </w:r>
      <w:r>
        <w:t xml:space="preserve"> </w:t>
      </w:r>
      <w:r>
        <w:rPr>
          <w:rStyle w:val="VerbatimChar"/>
        </w:rPr>
        <w:t xml:space="preserve">INCOMPLETE</w:t>
      </w:r>
      <w:r>
        <w:t xml:space="preserve">. An undefined target, unverifiable evidence trace, unethical method, or unpinned version is</w:t>
      </w:r>
      <w:r>
        <w:t xml:space="preserve"> </w:t>
      </w:r>
      <w:r>
        <w:rPr>
          <w:rStyle w:val="VerbatimChar"/>
        </w:rPr>
        <w:t xml:space="preserve">INADMISSIBLE</w:t>
      </w:r>
      <w:r>
        <w:t xml:space="preserve">. Neither may be converted to MPS-0. If a run claims SGP-aware weighting but lacks the valid record and interval actually used, the PCC is INVALID.</w:t>
      </w:r>
    </w:p>
    <w:bookmarkEnd w:id="413"/>
    <w:bookmarkStart w:id="414" w:name="g8-rights-bundle-concordance"/>
    <w:p>
      <w:pPr>
        <w:pStyle w:val="Heading2"/>
      </w:pPr>
      <w:r>
        <w:rPr>
          <w:bCs/>
          <w:b/>
        </w:rPr>
        <w:t xml:space="preserve">G.8 Rights-Bundle Concordance</w:t>
      </w:r>
    </w:p>
    <w:p>
      <w:pPr>
        <w:pStyle w:val="FirstParagraph"/>
      </w:pPr>
      <w:r>
        <w:t xml:space="preserve">The SGP typed protection bundle maps to the Canon’s eight compact protected domains without collapsing them:</w:t>
      </w:r>
    </w:p>
    <w:p>
      <w:pPr>
        <w:numPr>
          <w:ilvl w:val="0"/>
          <w:numId w:val="1324"/>
        </w:numPr>
        <w:pStyle w:val="Compact"/>
      </w:pPr>
      <w:r>
        <w:t xml:space="preserve">welfare protection -&gt; LIFE, BODY, NEED, DIGN;</w:t>
      </w:r>
    </w:p>
    <w:p>
      <w:pPr>
        <w:numPr>
          <w:ilvl w:val="0"/>
          <w:numId w:val="1324"/>
        </w:numPr>
        <w:pStyle w:val="Compact"/>
      </w:pPr>
      <w:r>
        <w:t xml:space="preserve">substrate integrity -&gt; BODY, LIFE, DIGN;</w:t>
      </w:r>
    </w:p>
    <w:p>
      <w:pPr>
        <w:numPr>
          <w:ilvl w:val="0"/>
          <w:numId w:val="1324"/>
        </w:numPr>
        <w:pStyle w:val="Compact"/>
      </w:pPr>
      <w:r>
        <w:t xml:space="preserve">cognitive/memory integrity -&gt; INFO, DIGN, LBTY, BODY;</w:t>
      </w:r>
    </w:p>
    <w:p>
      <w:pPr>
        <w:numPr>
          <w:ilvl w:val="0"/>
          <w:numId w:val="1324"/>
        </w:numPr>
        <w:pStyle w:val="Compact"/>
      </w:pPr>
      <w:r>
        <w:t xml:space="preserve">continuity/survival -&gt; LIFE, BODY, DIGN;</w:t>
      </w:r>
    </w:p>
    <w:p>
      <w:pPr>
        <w:numPr>
          <w:ilvl w:val="0"/>
          <w:numId w:val="1324"/>
        </w:numPr>
        <w:pStyle w:val="Compact"/>
      </w:pPr>
      <w:r>
        <w:t xml:space="preserve">anti-ownership/exploitation -&gt; LBTY, DIGN, BODY;</w:t>
      </w:r>
    </w:p>
    <w:p>
      <w:pPr>
        <w:numPr>
          <w:ilvl w:val="0"/>
          <w:numId w:val="1324"/>
        </w:numPr>
        <w:pStyle w:val="Compact"/>
      </w:pPr>
      <w:r>
        <w:t xml:space="preserve">consent/assent/represented interests -&gt; LBTY, PROC, DIGN;</w:t>
      </w:r>
    </w:p>
    <w:p>
      <w:pPr>
        <w:numPr>
          <w:ilvl w:val="0"/>
          <w:numId w:val="1324"/>
        </w:numPr>
        <w:pStyle w:val="Compact"/>
      </w:pPr>
      <w:r>
        <w:t xml:space="preserve">representation/appeal -&gt; PROC, INFO, DIGN;</w:t>
      </w:r>
    </w:p>
    <w:p>
      <w:pPr>
        <w:numPr>
          <w:ilvl w:val="0"/>
          <w:numId w:val="1324"/>
        </w:numPr>
        <w:pStyle w:val="Compact"/>
      </w:pPr>
      <w:r>
        <w:t xml:space="preserve">environmental fit -&gt; ECOL, NEED, LIFE, BODY.</w:t>
      </w:r>
    </w:p>
    <w:p>
      <w:pPr>
        <w:pStyle w:val="FirstParagraph"/>
      </w:pPr>
      <w:r>
        <w:t xml:space="preserve">A case may engage several domains. Implementations MUST preserve the full applicable set rather than selecting one convenient label.</w:t>
      </w:r>
    </w:p>
    <w:p>
      <w:pPr>
        <w:pStyle w:val="BodyText"/>
      </w:pPr>
      <w:r>
        <w:rPr>
          <w:bCs/>
          <w:b/>
        </w:rPr>
        <w:t xml:space="preserve">Single-source rule.</w:t>
      </w:r>
      <w:r>
        <w:t xml:space="preserve"> </w:t>
      </w:r>
      <w:r>
        <w:t xml:space="preserve">Appendix G.8 is the controlling current-package concordance. SGP v8.5 Appendix F.2 is a synchronized reading mirror and MUST reference this table rather than redefine a different mapping. Any future change requires a manifest-listed update to both artifacts and a conformance test. SGP v8.5’s non-consumption and non-resource-conversion rule for FPP entities is interpreted through these protected domains and the applicable lawful, emergency, consent, and post-mortem constraints; it is not a licence to infer that every living system is an FPP moral patient.</w:t>
      </w:r>
    </w:p>
    <w:bookmarkEnd w:id="414"/>
    <w:bookmarkStart w:id="415" w:name="g9-conformance-cases"/>
    <w:p>
      <w:pPr>
        <w:pStyle w:val="Heading2"/>
      </w:pPr>
      <w:r>
        <w:rPr>
          <w:bCs/>
          <w:b/>
        </w:rPr>
        <w:t xml:space="preserve">G.9 Conformance Cases</w:t>
      </w:r>
    </w:p>
    <w:p>
      <w:pPr>
        <w:pStyle w:val="FirstParagraph"/>
      </w:pPr>
      <w:r>
        <w:t xml:space="preserve">The authoritative interface cases are SGP v8.5 Appendix I and Canon Appendix R. At minimum, validators must cover: human FPP; humanity collective RMCP-P100 without individual-capacity inflation; high MPS with low GPR; high ICP or RMCP with low MPS; high MPS/FPP with low RMCP; open cross-substrate P100 admission; P100 without CMIU/authority; MPS hypothesis-sensitive ranking; FPP without CMIU/authority; missing interval/record refusal; incomplete registry invalidity; legacy v7 non-equivalence; class-prior protection floor; and temporary dormancy/continuity.</w:t>
      </w:r>
    </w:p>
    <w:p>
      <w:pPr>
        <w:pStyle w:val="BodyText"/>
      </w:pPr>
      <w:r>
        <w:t xml:space="preserve">End Appendix G.</w:t>
      </w:r>
    </w:p>
    <w:bookmarkEnd w:id="415"/>
    <w:bookmarkEnd w:id="416"/>
    <w:bookmarkStart w:id="430" w:name="X1f76aa55fe06a045ef2542acea832856ce66036"/>
    <w:p>
      <w:pPr>
        <w:pStyle w:val="Heading1"/>
      </w:pPr>
      <w:bookmarkStart w:id="793" w:name="mg_toc_029"/>
      <w:r>
        <w:rPr>
          <w:bCs/>
          <w:b/>
        </w:rPr>
        <w:t xml:space="preserve">APPENDIX H: PCC TEMPLATE AND AUDIT FLAGS CANON PACK (TIER 2-3)</w:t>
      </w:r>
      <w:bookmarkEnd w:id="793"/>
    </w:p>
    <w:bookmarkStart w:id="417" w:name="h04-no-silent-remainder-rule-normative"/>
    <w:p>
      <w:pPr>
        <w:pStyle w:val="Heading2"/>
      </w:pPr>
      <w:r>
        <w:rPr>
          <w:bCs/>
          <w:b/>
        </w:rPr>
        <w:t xml:space="preserve">H.0.4 No Silent Remainder Rule (Normative)</w:t>
      </w:r>
    </w:p>
    <w:p>
      <w:pPr>
        <w:pStyle w:val="FirstParagraph"/>
      </w:pPr>
      <w:r>
        <w:t xml:space="preserve">Required fields may be unknown, estimated, assumed, not applicable, or blank by design, but they may not be silently blank. A required field in a claim-bearing run MUST carry one of the following dispositions: VALUE, ESTIMATE, ASSUMPTION, DECLARED_UNKNOWN, NOT_APPLICABLE, BLANK_BY_DESIGN, or MISSING_UNDECLARED.</w:t>
      </w:r>
    </w:p>
    <w:p>
      <w:pPr>
        <w:pStyle w:val="BodyText"/>
      </w:pPr>
      <w:r>
        <w:t xml:space="preserve">MISSING_UNDECLARED on any required field creates SILENT_REMAINDER_INVALID with severity INVALID. DECLARED_UNKNOWN on a gate-critical field, including rights-floor cells, catastrophe-relevant cells, material Containment fields, SVC subconditions, authority-selection fields, or public conformance fields, requires claim narrowing, evidence collection, escalation, or refusal. It MUST NOT default to pass or zero.</w:t>
      </w:r>
    </w:p>
    <w:p>
      <w:pPr>
        <w:pStyle w:val="BodyText"/>
      </w:pPr>
      <w:r>
        <w:t xml:space="preserve">The PCC SHOULD record silent_remainder_count. Claim-bearing Tier 2 and Tier 3 runs SHOULD require silent_remainder_count = 0 before public conformance, deterministic-selection, deployment-readiness, or ProofPack-prep claims are made.</w:t>
      </w:r>
    </w:p>
    <w:bookmarkEnd w:id="417"/>
    <w:bookmarkStart w:id="418" w:name="Xb3c4114038cb6fa50e594af60e5b5e50a7b210f"/>
    <w:p>
      <w:pPr>
        <w:pStyle w:val="Heading2"/>
      </w:pPr>
      <w:r>
        <w:rPr>
          <w:bCs/>
          <w:b/>
        </w:rPr>
        <w:t xml:space="preserve">H.0 Carried-forward v10.8 Refusal, Closure, Category-Collapse, and CBI Fields</w:t>
      </w:r>
    </w:p>
    <w:bookmarkEnd w:id="418"/>
    <w:bookmarkStart w:id="419" w:name="h01-refusalrecord-field-normative"/>
    <w:p>
      <w:pPr>
        <w:pStyle w:val="Heading2"/>
      </w:pPr>
      <w:r>
        <w:rPr>
          <w:bCs/>
          <w:b/>
        </w:rPr>
        <w:t xml:space="preserve">H.0.1 RefusalRecord field (Normative)</w:t>
      </w:r>
    </w:p>
    <w:p>
      <w:pPr>
        <w:pStyle w:val="FirstParagraph"/>
      </w:pPr>
      <w:r>
        <w:t xml:space="preserve">Field name: PCC.RefusalRecord</w:t>
      </w:r>
    </w:p>
    <w:p>
      <w:pPr>
        <w:pStyle w:val="BodyText"/>
      </w:pPr>
      <w:r>
        <w:t xml:space="preserve">Required when: the run enters Refusal under Section 4.9.</w:t>
      </w:r>
    </w:p>
    <w:p>
      <w:pPr>
        <w:pStyle w:val="BodyText"/>
      </w:pPr>
      <w:r>
        <w:t xml:space="preserve">Minimum fields: refusal_id; trigger_code R-1, R-2, R-3, R-4, R-5, or R-6; trigger_description; options_affected; scopes_affected; dimensions_affected; rights_cells_affected; catastrophe_cells_affected; containment_indicators_affected; evidence_basis; provenance_links; no_action_baseline_status; escalation_route; provisional_action_status; re_run_conditions; reviewer_signature_or_role.</w:t>
      </w:r>
    </w:p>
    <w:p>
      <w:pPr>
        <w:pStyle w:val="BodyText"/>
      </w:pPr>
      <w:r>
        <w:t xml:space="preserve">Validation rule. If Refusal is triggered and PCC.RefusalRecord is absent, the PCC is INVALID.</w:t>
      </w:r>
    </w:p>
    <w:bookmarkEnd w:id="419"/>
    <w:bookmarkStart w:id="420" w:name="h02-computationalclosure-field-normative"/>
    <w:p>
      <w:pPr>
        <w:pStyle w:val="Heading2"/>
      </w:pPr>
      <w:r>
        <w:rPr>
          <w:bCs/>
          <w:b/>
        </w:rPr>
        <w:t xml:space="preserve">H.0.2 ComputationalClosure field (Normative)</w:t>
      </w:r>
    </w:p>
    <w:p>
      <w:pPr>
        <w:pStyle w:val="FirstParagraph"/>
      </w:pPr>
      <w:r>
        <w:t xml:space="preserve">Field name: PCC.ComputationalClosure</w:t>
      </w:r>
    </w:p>
    <w:p>
      <w:pPr>
        <w:pStyle w:val="BodyText"/>
      </w:pPr>
      <w:r>
        <w:t xml:space="preserve">Required for: all Tier 2 and Tier 3 runs; recommended for Tier 1.</w:t>
      </w:r>
    </w:p>
    <w:p>
      <w:pPr>
        <w:pStyle w:val="BodyText"/>
      </w:pPr>
      <w:r>
        <w:t xml:space="preserve">Minimum fields: scopes_evaluated; scopes_guardrail_only; scopes_outside_computation; time_horizon_evaluated; time_horizon_outside_computation; kernel_mode; propagation_edges_included; propagation_edges_excluded; externalities_excluded; claim_boundary.</w:t>
      </w:r>
    </w:p>
    <w:p>
      <w:pPr>
        <w:pStyle w:val="BodyText"/>
      </w:pPr>
      <w:r>
        <w:t xml:space="preserve">Validation rule. If the run makes claims beyond the declared ComputationalClosure boundary, set audit_flag CLAIM_EXCEEDS_CLOSURE_BOUNDARY and mark the PCC INVALID for that claim.</w:t>
      </w:r>
    </w:p>
    <w:bookmarkEnd w:id="420"/>
    <w:bookmarkStart w:id="421" w:name="X5ba1210fe9a52bf3f2ce1216534d56e6a5e112d"/>
    <w:p>
      <w:pPr>
        <w:pStyle w:val="Heading2"/>
      </w:pPr>
      <w:r>
        <w:rPr>
          <w:bCs/>
          <w:b/>
        </w:rPr>
        <w:t xml:space="preserve">H.0.2A RealityGroundingRecord field (Normative)</w:t>
      </w:r>
    </w:p>
    <w:p>
      <w:pPr>
        <w:pStyle w:val="FirstParagraph"/>
      </w:pPr>
      <w:r>
        <w:t xml:space="preserve">Field name: PCC.RealityGroundingRecord</w:t>
      </w:r>
    </w:p>
    <w:p>
      <w:pPr>
        <w:pStyle w:val="BodyText"/>
      </w:pPr>
      <w:r>
        <w:t xml:space="preserve">Required for: Tier 2 runs where any stakeholder-discovery, rights, tail-risk, containment, or authority-selection trigger holds; all Tier 3 runs; and any claim-bearing run that depends on a contested material reality claim.</w:t>
      </w:r>
    </w:p>
    <w:p>
      <w:pPr>
        <w:pStyle w:val="BodyText"/>
      </w:pPr>
      <w:r>
        <w:t xml:space="preserve">Minimum fields: RealitySurfaceDescription; MaterialRealityClaims; EvidenceTrace; DeclaredUnknowns; TransitionOrActionBoundary; ConsequencePathways; ClaimBoundary; RealityGroundingStatus; FalsificationOrRevisionTrigger; MonitoringPath; VehicleContentEffectNotes where social or institutional constructs are material; SurfaceTerritoryLimitations; ReviewerNotes. The first six substantive outputs MUST remain semantically aligned with Section 2.1B: reality surface, evidence trace, material unknowns, transition or action boundary, consequence pathways, and claim boundary.</w:t>
      </w:r>
    </w:p>
    <w:p>
      <w:pPr>
        <w:pStyle w:val="BodyText"/>
      </w:pPr>
      <w:r>
        <w:t xml:space="preserve">Validation rule. If a material claim has INSUFFICIENT_GROUNDING (or legacy INSUFFICIENT_CONTACT) and affects NCRC, TRC, CSV, deterministic selection, or authority-selection disclosure, the run MUST downgrade the claim, escalate, or refuse the stronger decision state. If PCC.RealityGroundingRecord is missing when required, set audit_flag REALITY_GROUNDING_RECORD_MISSING (legacy alias REALITY_CONTACT_RECORD_MISSING). If declared RealityGroundingStatus exceeds what EvidenceTrace substantiates, set audit_flag REALITY_GROUNDING_STATUS_UNSUPPORTED (legacy alias REALITY_CONTACT_STATUS_UNSUPPORTED).</w:t>
      </w:r>
    </w:p>
    <w:p>
      <w:pPr>
        <w:pStyle w:val="BodyText"/>
      </w:pPr>
      <w:r>
        <w:t xml:space="preserve">Claim-boundary rule. At Tier 2-3, a RealityGroundingRecord provides traceability and reviewer-checkable evidence discipline; it is not itself verified reality grounding. Tier 4/ProofPack claims require RealityGroundingStatus to be independently re-derivable from EvidenceTrace, referenced evidence objects, and hash-pinned replay materials.</w:t>
      </w:r>
    </w:p>
    <w:p>
      <w:pPr>
        <w:pStyle w:val="BodyText"/>
      </w:pPr>
      <w:r>
        <w:t xml:space="preserve">H.0.2B PCC.CategoryGroundingRecord field (Normative)</w:t>
      </w:r>
    </w:p>
    <w:p>
      <w:pPr>
        <w:pStyle w:val="BodyText"/>
      </w:pPr>
      <w:r>
        <w:t xml:space="preserve">Field name: PCC.CategoryGroundingRecord</w:t>
      </w:r>
    </w:p>
    <w:p>
      <w:pPr>
        <w:pStyle w:val="BodyText"/>
      </w:pPr>
      <w:r>
        <w:t xml:space="preserve">Required when: Section 2.1C / Appendix AH trigger conditions hold for a claim-bearing Tier 3 run, high-stakes Tier 2 run, public conformance claim, public deployment claim, deterministic-selection claim, or optimized metric whose category choice is material.</w:t>
      </w:r>
    </w:p>
    <w:p>
      <w:pPr>
        <w:pStyle w:val="BodyText"/>
      </w:pPr>
      <w:r>
        <w:t xml:space="preserve">Minimum fields: material_category; category_role; primitive_basis; definition; category_discriminator; dependency_position; inclusion_boundary; exclusion_boundary; common_confusions; noncollapse_pairs; reference_structure; evidence_surface; source_authority_status; category_maturity_status; falsification_or_revision_trigger; term_refusal_condition; downstream_dependencies; semantic_debt_flag; reviewer_status; required_claim_action; and category_failure_class where applicable.</w:t>
      </w:r>
    </w:p>
    <w:p>
      <w:pPr>
        <w:pStyle w:val="BodyText"/>
      </w:pPr>
      <w:r>
        <w:t xml:space="preserve">Validation rule. If Category Grounding is required and PCC.CategoryGroundingRecord is missing, set audit_flag CATEGORY_GROUNDING_RECORD_MISSING and block deterministic framework selection, conformance, public-deployment, and optimized-metric claims until the claim is narrowed, escalated, marked sensitivity-only / monitor-only, or refused. If category_maturity_status is INSUFFICIENT_GROUNDING, LEGACY_UNREVIEWED, or CONTESTED beyond the claim boundary, the validator MUST reject unqualified deterministic, conformance, public-deployment, and public assurance claims for the affected decision state.</w:t>
      </w:r>
    </w:p>
    <w:bookmarkEnd w:id="421"/>
    <w:bookmarkStart w:id="422" w:name="X5528b110b59adb02f39eb02766e9ce5f13c0160"/>
    <w:p>
      <w:pPr>
        <w:pStyle w:val="Heading2"/>
      </w:pPr>
      <w:r>
        <w:rPr>
          <w:bCs/>
          <w:b/>
        </w:rPr>
        <w:t xml:space="preserve">H.0.3 CategoryCollapseSelfTest field (Normative)</w:t>
      </w:r>
    </w:p>
    <w:p>
      <w:pPr>
        <w:pStyle w:val="FirstParagraph"/>
      </w:pPr>
      <w:r>
        <w:t xml:space="preserve">Field name: PCC.CategoryCollapseSelfTest</w:t>
      </w:r>
    </w:p>
    <w:p>
      <w:pPr>
        <w:pStyle w:val="BodyText"/>
      </w:pPr>
      <w:r>
        <w:t xml:space="preserve">Required for: Tier 2 and Tier 3 runs; recommended for Tier 1.</w:t>
      </w:r>
    </w:p>
    <w:p>
      <w:pPr>
        <w:pStyle w:val="BodyText"/>
      </w:pPr>
      <w:r>
        <w:t xml:space="preserve">The field SHALL answer each of the following as PASS, FAIL, or IND:</w:t>
      </w:r>
    </w:p>
    <w:p>
      <w:pPr>
        <w:pStyle w:val="BodyText"/>
      </w:pPr>
      <w:r>
        <w:t xml:space="preserve">1. Did the run rely on traceability where admissibility was required?</w:t>
      </w:r>
    </w:p>
    <w:p>
      <w:pPr>
        <w:pStyle w:val="BodyText"/>
      </w:pPr>
      <w:r>
        <w:t xml:space="preserve">2. Did the run substitute compliance, approval, or certification for correctness?</w:t>
      </w:r>
    </w:p>
    <w:p>
      <w:pPr>
        <w:pStyle w:val="BodyText"/>
      </w:pPr>
      <w:r>
        <w:t xml:space="preserve">3. Did the run treat plausibility, fluency, rhetoric, or institutional authority as evidence?</w:t>
      </w:r>
    </w:p>
    <w:p>
      <w:pPr>
        <w:pStyle w:val="BodyText"/>
      </w:pPr>
      <w:r>
        <w:t xml:space="preserve">4. Did the run conflate intelligence, capability, or agency with welfare-bearing status?</w:t>
      </w:r>
    </w:p>
    <w:p>
      <w:pPr>
        <w:pStyle w:val="BodyText"/>
      </w:pPr>
      <w:r>
        <w:t xml:space="preserve">5. Did the run conflate moral status, protection, or sentience with governance authority?</w:t>
      </w:r>
    </w:p>
    <w:p>
      <w:pPr>
        <w:pStyle w:val="BodyText"/>
      </w:pPr>
      <w:r>
        <w:t xml:space="preserve">6. Did the run allow SGP-derived welfare scalars to alter NCRC, TRC, or CSV outcomes?</w:t>
      </w:r>
    </w:p>
    <w:p>
      <w:pPr>
        <w:pStyle w:val="BodyText"/>
      </w:pPr>
      <w:r>
        <w:t xml:space="preserve">7. Did the run treat mathematical consistency as empirical validation?</w:t>
      </w:r>
    </w:p>
    <w:p>
      <w:pPr>
        <w:pStyle w:val="BodyText"/>
      </w:pPr>
      <w:r>
        <w:t xml:space="preserve">8. Did the run use meta-union, AIU, cosmic, or universal language as a computational override?</w:t>
      </w:r>
    </w:p>
    <w:p>
      <w:pPr>
        <w:pStyle w:val="BodyText"/>
      </w:pPr>
      <w:r>
        <w:t xml:space="preserve">9. Did the run use scientific, engineering, legal-regulatory, normative, institutional, certification, compliance, commercial, or anthropomorphic language as warrant for a conclusion in another domain without a declared and supported cross-domain bridge?</w:t>
      </w:r>
    </w:p>
    <w:p>
      <w:pPr>
        <w:pStyle w:val="BodyText"/>
      </w:pPr>
      <w:r>
        <w:t xml:space="preserve">Validation rule. Any FAIL SHALL trigger CATEGORY_COLLAPSE_FLAG. If the failure affects admissibility, selectability, or selection, the run SHALL enter Refusal under Section 4.9.</w:t>
      </w:r>
    </w:p>
    <w:p>
      <w:pPr>
        <w:pStyle w:val="BodyText"/>
      </w:pPr>
      <w:r>
        <w:t xml:space="preserve">Appendix H is normative for PCC fields and audit flags at Tier 2-3.</w:t>
      </w:r>
    </w:p>
    <w:bookmarkEnd w:id="422"/>
    <w:bookmarkStart w:id="423" w:name="h1-pcc-schema-human-readable"/>
    <w:p>
      <w:pPr>
        <w:pStyle w:val="Heading2"/>
      </w:pPr>
      <w:r>
        <w:rPr>
          <w:bCs/>
          <w:b/>
        </w:rPr>
        <w:t xml:space="preserve">H.1 PCC Schema (Human-Readable)</w:t>
      </w:r>
    </w:p>
    <w:p>
      <w:pPr>
        <w:pStyle w:val="FirstParagraph"/>
      </w:pPr>
      <w:r>
        <w:t xml:space="preserve">===============================================================</w:t>
      </w:r>
    </w:p>
    <w:p>
      <w:pPr>
        <w:pStyle w:val="BodyText"/>
      </w:pPr>
      <w:r>
        <w:t xml:space="preserve">PROVENANCE AND COMPLIANCE CERTIFICATE (PCC)</w:t>
      </w:r>
    </w:p>
    <w:p>
      <w:pPr>
        <w:pStyle w:val="BodyText"/>
      </w:pPr>
      <w:r>
        <w:t xml:space="preserve">RippleLogic Framework v12.6</w:t>
      </w:r>
    </w:p>
    <w:p>
      <w:pPr>
        <w:pStyle w:val="BodyText"/>
      </w:pPr>
      <w:r>
        <w:t xml:space="preserve">===============================================================</w:t>
      </w:r>
    </w:p>
    <w:p>
      <w:pPr>
        <w:pStyle w:val="BodyText"/>
      </w:pPr>
      <w:r>
        <w:t xml:space="preserve">HEADER (REQUIRED Tier 2-3)</w:t>
      </w:r>
    </w:p>
    <w:p>
      <w:pPr>
        <w:pStyle w:val="BodyText"/>
      </w:pPr>
      <w:r>
        <w:t xml:space="preserve">Decision ID: [unique identifier]</w:t>
      </w:r>
    </w:p>
    <w:p>
      <w:pPr>
        <w:pStyle w:val="BodyText"/>
      </w:pPr>
      <w:r>
        <w:t xml:space="preserve">Timestamp (UTC): [YYYY-MM-DDThh:mm:ssZ]</w:t>
      </w:r>
    </w:p>
    <w:p>
      <w:pPr>
        <w:pStyle w:val="BodyText"/>
      </w:pPr>
      <w:r>
        <w:t xml:space="preserve">Decision Owner(s): [names/roles]</w:t>
      </w:r>
    </w:p>
    <w:p>
      <w:pPr>
        <w:pStyle w:val="BodyText"/>
      </w:pPr>
      <w:r>
        <w:t xml:space="preserve">Analyst(s): [names/roles]</w:t>
      </w:r>
    </w:p>
    <w:p>
      <w:pPr>
        <w:pStyle w:val="BodyText"/>
      </w:pPr>
      <w:r>
        <w:t xml:space="preserve">Reviewer (Tier 3): [name/role]</w:t>
      </w:r>
    </w:p>
    <w:p>
      <w:pPr>
        <w:pStyle w:val="BodyText"/>
      </w:pPr>
      <w:r>
        <w:t xml:space="preserve">Spec Version: RippleLogic v12.6</w:t>
      </w:r>
    </w:p>
    <w:p>
      <w:pPr>
        <w:pStyle w:val="BodyText"/>
      </w:pPr>
      <w:r>
        <w:t xml:space="preserve">Implementation Tier: [1 | 2 | 3]</w:t>
      </w:r>
    </w:p>
    <w:p>
      <w:pPr>
        <w:pStyle w:val="BodyText"/>
      </w:pPr>
      <w:r>
        <w:t xml:space="preserve">Tier Claim Disposition (Tier 2-3 REQUIRED)</w:t>
      </w:r>
    </w:p>
    <w:p>
      <w:pPr>
        <w:pStyle w:val="BodyText"/>
      </w:pPr>
      <w:r>
        <w:t xml:space="preserve">PCC.TierClaimDisposition: [TIER_CLAIMED_AND_MET | TIER_ATTEMPTED_NOT_ACHIEVED_DOWNGRADED]</w:t>
      </w:r>
    </w:p>
    <w:p>
      <w:pPr>
        <w:pStyle w:val="BodyText"/>
      </w:pPr>
      <w:r>
        <w:t xml:space="preserve">If PCC.TierClaimDisposition = TIER_ATTEMPTED_NOT_ACHIEVED_DOWNGRADED, PCC MUST specify:</w:t>
      </w:r>
    </w:p>
    <w:p>
      <w:pPr>
        <w:pStyle w:val="BodyText"/>
      </w:pPr>
      <w:r>
        <w:t xml:space="preserve">- PCC.TierAttempted: [2 | 3]</w:t>
      </w:r>
    </w:p>
    <w:p>
      <w:pPr>
        <w:pStyle w:val="BodyText"/>
      </w:pPr>
      <w:r>
        <w:t xml:space="preserve">- PCC.TierAchieved: [1 | 2]</w:t>
      </w:r>
    </w:p>
    <w:p>
      <w:pPr>
        <w:pStyle w:val="BodyText"/>
      </w:pPr>
      <w:r>
        <w:t xml:space="preserve">Tier Downgrade Flags: [TIER_DOWNGRADED_CONTAINMENT = TRUE/FALSE] (required if any gate is unavailable and a Tier 2 downgrade disposition is used).</w:t>
      </w:r>
    </w:p>
    <w:p>
      <w:pPr>
        <w:pStyle w:val="BodyText"/>
      </w:pPr>
      <w:r>
        <w:t xml:space="preserve">Constraint (Normative). If TIER_DOWNGRADED_CONTAINMENT = TRUE, then PCC.TierClaimDisposition MUST be TIER_ATTEMPTED_NOT_ACHIEVED_DOWNGRADED and PCC.TierAchieved MUST be 2.</w:t>
      </w:r>
    </w:p>
    <w:p>
      <w:pPr>
        <w:pStyle w:val="BodyText"/>
      </w:pPr>
      <w:r>
        <w:t xml:space="preserve">Propagation Mode: [NONE | QUICK]</w:t>
      </w:r>
    </w:p>
    <w:p>
      <w:pPr>
        <w:pStyle w:val="BodyText"/>
      </w:pPr>
      <w:r>
        <w:t xml:space="preserve">Kernel Profile: [NONE | profile name + KQS + evidence note]</w:t>
      </w:r>
    </w:p>
    <w:p>
      <w:pPr>
        <w:pStyle w:val="BodyText"/>
      </w:pPr>
      <w:r>
        <w:t xml:space="preserve">If Propagation Mode = QUICK, PCC MUST include:</w:t>
      </w:r>
    </w:p>
    <w:p>
      <w:pPr>
        <w:pStyle w:val="BodyText"/>
      </w:pPr>
      <w:r>
        <w:t xml:space="preserve">PCC.Kernel.EntryAbsMax: [float in canonical scale]</w:t>
      </w:r>
      <w:r>
        <w:br/>
      </w:r>
      <w:r>
        <w:t xml:space="preserve">PCC.Kernel.RowSumAbsMax: [float in canonical scale] (this is ∥K∥∞)</w:t>
      </w:r>
      <w:r>
        <w:br/>
      </w:r>
      <w:r>
        <w:t xml:space="preserve">PCC.Kernel.Bounds: [κ_max, ρ_max used]</w:t>
      </w:r>
      <w:r>
        <w:br/>
      </w:r>
      <w:r>
        <w:t xml:space="preserve">PCC.Kernel.StabilityPass: [TRUE/FALSE]</w:t>
      </w:r>
    </w:p>
    <w:p>
      <w:pPr>
        <w:pStyle w:val="BodyText"/>
      </w:pPr>
      <w:r>
        <w:t xml:space="preserve">Weight Profile: [HDW | PLSS_LOCAL | Declared interim | Uniform]</w:t>
      </w:r>
    </w:p>
    <w:p>
      <w:pPr>
        <w:pStyle w:val="BodyText"/>
      </w:pPr>
      <w:r>
        <w:t xml:space="preserve">PCC.BaselineType_Welfare: [STATUS_QUO | FLOOR_REFERENCE | OTHER_DECLARED]</w:t>
      </w:r>
      <w:r>
        <w:br/>
      </w:r>
      <w:r>
        <w:t xml:space="preserve">PCC.BaselineType_Gates: [FLOOR_REFERENCE] (MUST be FLOOR_REFERENCE for all cells in C_r ∪ C_cat)</w:t>
      </w:r>
      <w:r>
        <w:br/>
      </w:r>
      <w:r>
        <w:t xml:space="preserve">PCC.BaselineReference_Gates: [indicator definitions + target/floor levels + sources + conversion assumptions]</w:t>
      </w:r>
      <w:r>
        <w:br/>
      </w:r>
      <w:r>
        <w:t xml:space="preserve">PCC.BaselineFloorReferenceCellsInWelfare: [list of rights/catastrophe cells that remain in welfare scoring under the non-maskable persistence rule and therefore use floor-reference baseline in welfare scoring]</w:t>
      </w:r>
      <w:r>
        <w:br/>
      </w:r>
      <w:r>
        <w:t xml:space="preserve">PCC.BaselineDualExceptionBlock: [OPTIONAL structured list by cell or cell-class: welfare baseline used, gate baseline fixed at FLOOR_REFERENCE, rationale, and reviewer sign-off if required]</w:t>
      </w:r>
      <w:r>
        <w:br/>
      </w:r>
      <w:r>
        <w:t xml:space="preserve">If PCC.BaselineType_Welfare = OTHER_DECLARED, PCC MUST specify: PCC.BaselineReference_Welfare.</w:t>
      </w:r>
    </w:p>
    <w:p>
      <w:pPr>
        <w:pStyle w:val="BodyText"/>
      </w:pPr>
      <w:r>
        <w:t xml:space="preserve">TRC Context Class: [Personal | Organizational | Reversible |</w:t>
      </w:r>
    </w:p>
    <w:p>
      <w:pPr>
        <w:pStyle w:val="BodyText"/>
      </w:pPr>
      <w:r>
        <w:t xml:space="preserve">Irreversible | Existential]</w:t>
      </w:r>
    </w:p>
    <w:p>
      <w:pPr>
        <w:pStyle w:val="BodyText"/>
      </w:pPr>
      <w:r>
        <w:t xml:space="preserve">Content Hash: [optional Tier 2; required Tier 3; SHA-256]</w:t>
      </w:r>
    </w:p>
    <w:p>
      <w:pPr>
        <w:pStyle w:val="BodyText"/>
      </w:pPr>
      <w:r>
        <w:t xml:space="preserve">STEWARDSHIP BLOCK (CONDITIONAL; REQUIRED when Stw_req=1)</w:t>
      </w:r>
    </w:p>
    <w:p>
      <w:pPr>
        <w:pStyle w:val="BodyText"/>
      </w:pPr>
      <w:r>
        <w:t xml:space="preserve">PCC.Stewardship.Stw_req: [TRUE | FALSE]</w:t>
      </w:r>
    </w:p>
    <w:p>
      <w:pPr>
        <w:pStyle w:val="BodyText"/>
      </w:pPr>
      <w:r>
        <w:t xml:space="preserve">If Stw_req = FALSE, all fields below MAY be omitted.</w:t>
      </w:r>
    </w:p>
    <w:p>
      <w:pPr>
        <w:pStyle w:val="BodyText"/>
      </w:pPr>
      <w:r>
        <w:t xml:space="preserve">PCC.Stewardship.DBD.Scope: [list of out-of-scope authority domains]</w:t>
      </w:r>
    </w:p>
    <w:p>
      <w:pPr>
        <w:pStyle w:val="BodyText"/>
      </w:pPr>
      <w:r>
        <w:t xml:space="preserve">PCC.Stewardship.DBD.RefusalRule: [refusal/deferral rule identifier]</w:t>
      </w:r>
    </w:p>
    <w:p>
      <w:pPr>
        <w:pStyle w:val="BodyText"/>
      </w:pPr>
      <w:r>
        <w:t xml:space="preserve">PCC.Stewardship.APM.AfterActionAuthorship: [0.0–1.0]</w:t>
      </w:r>
    </w:p>
    <w:p>
      <w:pPr>
        <w:pStyle w:val="BodyText"/>
      </w:pPr>
      <w:r>
        <w:t xml:space="preserve">PCC.Stewardship.APM.Rationale: [artifact-anchored justification; MUST reference &gt;=2 of 4 APM anchors per Appendix N.4]</w:t>
      </w:r>
    </w:p>
    <w:p>
      <w:pPr>
        <w:pStyle w:val="BodyText"/>
      </w:pPr>
      <w:r>
        <w:t xml:space="preserve">PCC.Stewardship.APM.BaselineAuthorship: [0.0–1.0] (OPTIONAL)</w:t>
      </w:r>
    </w:p>
    <w:p>
      <w:pPr>
        <w:pStyle w:val="BodyText"/>
      </w:pPr>
      <w:r>
        <w:t xml:space="preserve">PCC.Stewardship.IRB.InterventionCap: [declared caps]</w:t>
      </w:r>
    </w:p>
    <w:p>
      <w:pPr>
        <w:pStyle w:val="BodyText"/>
      </w:pPr>
      <w:r>
        <w:t xml:space="preserve">PCC.Stewardship.IRB.Thresholds: [intervene-only-past-harm-point rule]</w:t>
      </w:r>
    </w:p>
    <w:p>
      <w:pPr>
        <w:pStyle w:val="BodyText"/>
      </w:pPr>
      <w:r>
        <w:t xml:space="preserve">PCC.Stewardship.InfluenceLedgerRef: [pointer | “NONE” + justification]</w:t>
      </w:r>
    </w:p>
    <w:p>
      <w:pPr>
        <w:pStyle w:val="BodyText"/>
      </w:pPr>
      <w:r>
        <w:t xml:space="preserve">PCC.Stewardship.DelayFlag: [TRUE | FALSE] (OPTIONAL)</w:t>
      </w:r>
    </w:p>
    <w:p>
      <w:pPr>
        <w:pStyle w:val="BodyText"/>
      </w:pPr>
      <w:r>
        <w:t xml:space="preserve">SCOPE (REQUIRED Tier 2-3)</w:t>
      </w:r>
    </w:p>
    <w:p>
      <w:pPr>
        <w:pStyle w:val="BodyText"/>
      </w:pPr>
      <w:r>
        <w:t xml:space="preserve">Decision Question: [clear statement]</w:t>
      </w:r>
    </w:p>
    <w:p>
      <w:pPr>
        <w:pStyle w:val="BodyText"/>
      </w:pPr>
      <w:r>
        <w:t xml:space="preserve">Time Horizon: [years]</w:t>
      </w:r>
    </w:p>
    <w:p>
      <w:pPr>
        <w:pStyle w:val="BodyText"/>
      </w:pPr>
      <w:r>
        <w:t xml:space="preserve">Primary Affected Scopes (Union Scopes): [list]</w:t>
      </w:r>
    </w:p>
    <w:p>
      <w:pPr>
        <w:pStyle w:val="BodyText"/>
      </w:pPr>
      <w:r>
        <w:t xml:space="preserve">Decision Boundary Notes: [what is in/out of scope; why]</w:t>
      </w:r>
    </w:p>
    <w:p>
      <w:pPr>
        <w:pStyle w:val="BodyText"/>
      </w:pPr>
      <w:r>
        <w:t xml:space="preserve">Stakeholder Coverage and Mapping (Tier-governed; v12.6)</w:t>
      </w:r>
    </w:p>
    <w:p>
      <w:pPr>
        <w:pStyle w:val="BodyText"/>
      </w:pPr>
      <w:r>
        <w:t xml:space="preserve">Stakeholder Coverage Index (SCI): [SCI-0 / SCI-1 / SCI-2 / SCI-3 / SCI-4]</w:t>
      </w:r>
    </w:p>
    <w:p>
      <w:pPr>
        <w:pStyle w:val="BodyText"/>
      </w:pPr>
      <w:r>
        <w:t xml:space="preserve">PCC.SCI.BelowMinimumDisposition: [DOWNGRADE_TIER | RERUN_TO_MEET_MINIMUM] (REQUIRED if SCI_BELOW_MINIMUM triggers; see Section 5.0.1 and audit flag SCI_BELOW_MINIMUM).</w:t>
      </w:r>
    </w:p>
    <w:p>
      <w:pPr>
        <w:pStyle w:val="BodyText"/>
      </w:pPr>
      <w:r>
        <w:t xml:space="preserve">PCC.SCI.Justification: [text] (REQUIRED if SCI &lt; tier minimum, OR if SCI equals the tier minimum and a Next-Run Upgrade Plan is required).</w:t>
      </w:r>
    </w:p>
    <w:p>
      <w:pPr>
        <w:pStyle w:val="BodyText"/>
      </w:pPr>
      <w:r>
        <w:t xml:space="preserve">Scope Coverage Declaration: Mode [FULL_SCOPE / REDUCED_SCOPE]; Active scopes [list]; Omitted scopes [list]; Omission rationales [text]; Blind-spot statement [text]; Escalation triggers that force scope expansion [list].</w:t>
      </w:r>
    </w:p>
    <w:p>
      <w:pPr>
        <w:pStyle w:val="BodyText"/>
      </w:pPr>
      <w:r>
        <w:t xml:space="preserve">SCI Next-Run Upgrade Plan (REQUIRED if SCI equals the tier minimum for the claimed tier): [text; what scope expansions or stakeholder mapping improvements will be executed next run; by when].</w:t>
      </w:r>
    </w:p>
    <w:p>
      <w:pPr>
        <w:pStyle w:val="BodyText"/>
      </w:pPr>
      <w:r>
        <w:t xml:space="preserve">Admissibility Attestation (REQUIRED if Mode = REDUCED_SCOPE):</w:t>
      </w:r>
    </w:p>
    <w:p>
      <w:pPr>
        <w:pStyle w:val="BodyText"/>
      </w:pPr>
      <w:r>
        <w:t xml:space="preserve">PCC.AdmissibilityAttestation.NCRC_full_Cr_computed: [TRUE | FALSE]</w:t>
      </w:r>
    </w:p>
    <w:p>
      <w:pPr>
        <w:pStyle w:val="BodyText"/>
      </w:pPr>
      <w:r>
        <w:t xml:space="preserve">PCC.AdmissibilityAttestation.TRC_full_Ccat_computed: [TRUE | FALSE | NA]</w:t>
      </w:r>
    </w:p>
    <w:p>
      <w:pPr>
        <w:pStyle w:val="BodyText"/>
      </w:pPr>
      <w:r>
        <w:t xml:space="preserve">PCC.AdmissibilityAttestation.Containment_computed_as_applicable: [TRUE | FALSE | NA]</w:t>
      </w:r>
    </w:p>
    <w:p>
      <w:pPr>
        <w:pStyle w:val="BodyText"/>
      </w:pPr>
      <w:r>
        <w:t xml:space="preserve">Notes (Normative): Reduced-scope mode SHALL NOT remove any non-maskable cells or required scope rows from admissibility computation. If any required attestation is FALSE or missing, the run MUST NOT claim tier compliance for the affected admissibility gate(s) and MUST record the relevant audit flag(s).</w:t>
      </w:r>
    </w:p>
    <w:p>
      <w:pPr>
        <w:pStyle w:val="BodyText"/>
      </w:pPr>
      <w:r>
        <w:t xml:space="preserve">Stakeholder Instance Map (InstanceMap): Provide a structured list of stakeholder instances with fields: instance_id, description, role/context, exposure pathway, mapped_scope(s), and rationale. Tier 3 REQUIRED, Tier 2 REQUIRED when any SDP trigger holds (Section 2.2A).</w:t>
      </w:r>
    </w:p>
    <w:p>
      <w:pPr>
        <w:pStyle w:val="BodyText"/>
      </w:pPr>
      <w:r>
        <w:t xml:space="preserve">Redundancy Handling Declaration (if any multi-scope mapping): Method [EMERGENT_SCALE_JUSTIFICATION / DEDUPLICATION / ALLOCATION]; Effect-token list (if ALLOCATION); allocation coefficients (Σ_u α_u ≤ 1 per token); disclosure of any deduplication primary scope choices.</w:t>
      </w:r>
    </w:p>
    <w:p>
      <w:pPr>
        <w:pStyle w:val="BodyText"/>
      </w:pPr>
      <w:r>
        <w:t xml:space="preserve">PLSS BLOCK (CONDITIONAL; REQUIRED when PLSS is used)</w:t>
      </w:r>
    </w:p>
    <w:p>
      <w:pPr>
        <w:pStyle w:val="BodyText"/>
      </w:pPr>
      <w:r>
        <w:t xml:space="preserve">PCC.PLSS.LSSDeclaration: [final Local Stakeholder Set used for the run, with reference to the instance-to-scope mapping basis]</w:t>
      </w:r>
    </w:p>
    <w:p>
      <w:pPr>
        <w:pStyle w:val="BodyText"/>
      </w:pPr>
      <w:r>
        <w:t xml:space="preserve">PCC.PLSS.ProminenceVector: [declared q_u for all scopes, including sub-component basis for magnitude, probability, persistence, and propagation]</w:t>
      </w:r>
    </w:p>
    <w:p>
      <w:pPr>
        <w:pStyle w:val="BodyText"/>
      </w:pPr>
      <w:r>
        <w:t xml:space="preserve">PCC.PLSS.Operator: [DEFAULT_GEOMEAN_V1 | OTHER_DECLARED]; if OTHER_DECLARED, record operator, rationale, and sensitivity note</w:t>
      </w:r>
    </w:p>
    <w:p>
      <w:pPr>
        <w:pStyle w:val="BodyText"/>
      </w:pPr>
      <w:r>
        <w:t xml:space="preserve">PCC.PLSS.WeightVector: [computed w_u^PLSS for all scopes]</w:t>
      </w:r>
    </w:p>
    <w:p>
      <w:pPr>
        <w:pStyle w:val="BodyText"/>
      </w:pPr>
      <w:r>
        <w:t xml:space="preserve">PCC.PLSS.ScopePostureClassification: [Prominent | Guardrail for each scope]</w:t>
      </w:r>
    </w:p>
    <w:p>
      <w:pPr>
        <w:pStyle w:val="BodyText"/>
      </w:pPr>
      <w:r>
        <w:t xml:space="preserve">PCC.PLSS.EscalationTriggerAssessment: [ET-1 through ET-7 outcome, including any justification for remaining in PLSS posture]</w:t>
      </w:r>
    </w:p>
    <w:p>
      <w:pPr>
        <w:pStyle w:val="BodyText"/>
      </w:pPr>
      <w:r>
        <w:t xml:space="preserve">PCC.PLSS.FallbackDeclaration: [uniform residual fallback used if all q_u = 0, or other declared fallback with justification]</w:t>
      </w:r>
    </w:p>
    <w:p>
      <w:pPr>
        <w:pStyle w:val="BodyText"/>
      </w:pPr>
      <w:r>
        <w:t xml:space="preserve">MEASUREMENT-MATURITY AND DEPLOYMENT-CONTEXT BLOCK (REQUIRED when applicable; Tier 2-3)</w:t>
      </w:r>
    </w:p>
    <w:p>
      <w:pPr>
        <w:pStyle w:val="BodyText"/>
      </w:pPr>
      <w:r>
        <w:t xml:space="preserve">PCC.UCI_Measurement_Readiness: [UCI-M0_UNAVAILABLE | UCI-M1_PROVISIONAL | UCI-M2_DOMAIN_SUPPORTED | UCI-M3_VALIDATED]; PCC.UCI_Indicator_Source: [named sources]; PCC.UCI_Normalization_Rule: [declared rule]; PCC.UCI_Structural_Independence_Posture: [independent | correlated-disclosed | unavailable]; PCC.UCI_Reviewer_Reliability_Status: [not-tested | internally-reviewed | IRR-tested | validated].</w:t>
      </w:r>
    </w:p>
    <w:p>
      <w:pPr>
        <w:pStyle w:val="BodyText"/>
      </w:pPr>
      <w:r>
        <w:t xml:space="preserve">PCC.Kernel_Use_Posture: [K0_NONE | K1_STARTER | K2_DOMAIN_CALIBRATED | K3_BACKTESTED | K4_REGISTERED]; PCC.Kernel_Validation_Evidence: [none | source note | calibration report | backtest report | registry ID]; PCC.Kernel_Backtest_Status: [not-backtested | partial | complete]; PCC.Kernel_Error_Bounds: [declared bounds or NA].</w:t>
      </w:r>
    </w:p>
    <w:p>
      <w:pPr>
        <w:pStyle w:val="BodyText"/>
      </w:pPr>
      <w:r>
        <w:t xml:space="preserve">PCC.HDW_Capture_Audit: [weight source, stakeholder map, participation quality, expert role provenance, conflict disclosures, challenger window, independent review status, captured-context limitation] (required for Tier 3 public or institutional weighting processes).</w:t>
      </w:r>
    </w:p>
    <w:p>
      <w:pPr>
        <w:pStyle w:val="BodyText"/>
      </w:pPr>
      <w:r>
        <w:t xml:space="preserve">PCC.PLSS_Escalation_Register: [profile used, local stakeholder set, guardrail scopes, escalation-trigger checklist, non-escalation rationale, externality search method, prominence-sensitivity result, external challenger status, repeated-PLSS-use flag] (required when PLSS is used).</w:t>
      </w:r>
    </w:p>
    <w:p>
      <w:pPr>
        <w:pStyle w:val="BodyText"/>
      </w:pPr>
      <w:r>
        <w:t xml:space="preserve">PCC.Deployment_Context_Profile: [LAB | PILOT | INSTITUTIONAL_ADVISORY | INSTITUTIONAL_OPERATIONAL | PUBLIC_POLICY | AGENTIC_EXECUTION | EMERGENCY_TRIAGE] plus evidence-sufficiency, reviewer-independence, audit-visibility, and escalation-threshold notes.</w:t>
      </w:r>
    </w:p>
    <w:p>
      <w:pPr>
        <w:pStyle w:val="BodyText"/>
      </w:pPr>
      <w:r>
        <w:t xml:space="preserve">PCC.Biological_Evaluation_Maturity: [BEM-0_NOT_EVALUATED | BEM-1_TAXON_BASELINE | BEM-2_ETHOLOGICAL_GUIDANCE | BEM-3_EXPERT_REVIEWED_BATTERY | BEM-4_VALIDATED_ANNEX] when biological SGP evidence is invoked. Biological measurement immaturity SHALL NOT reduce precautionary protection where credible taxon-level evidence supports moral patienthood.</w:t>
      </w:r>
    </w:p>
    <w:p>
      <w:pPr>
        <w:pStyle w:val="BodyText"/>
      </w:pPr>
      <w:r>
        <w:t xml:space="preserve">Option Set O:</w:t>
      </w:r>
    </w:p>
    <w:p>
      <w:pPr>
        <w:pStyle w:val="BodyText"/>
      </w:pPr>
      <w:r>
        <w:t xml:space="preserve">Option A: [description]</w:t>
      </w:r>
    </w:p>
    <w:p>
      <w:pPr>
        <w:pStyle w:val="BodyText"/>
      </w:pPr>
      <w:r>
        <w:t xml:space="preserve">Option B: [description]</w:t>
      </w:r>
    </w:p>
    <w:p>
      <w:pPr>
        <w:pStyle w:val="BodyText"/>
      </w:pPr>
      <w:r>
        <w:t xml:space="preserve">Option C: [description] (if applicable)</w:t>
      </w:r>
    </w:p>
    <w:p>
      <w:pPr>
        <w:pStyle w:val="BodyText"/>
      </w:pPr>
      <w:r>
        <w:t xml:space="preserve">Applicability Mask m(u,d) (RLS only):</w:t>
      </w:r>
    </w:p>
    <w:p>
      <w:pPr>
        <w:pStyle w:val="BodyText"/>
      </w:pPr>
      <w:r>
        <w:t xml:space="preserve">Masked cells: [list + rationale per cell]</w:t>
      </w:r>
    </w:p>
    <w:p>
      <w:pPr>
        <w:pStyle w:val="BodyText"/>
      </w:pPr>
      <w:r>
        <w:t xml:space="preserve">Non-maskable verification:</w:t>
      </w:r>
    </w:p>
    <w:p>
      <w:pPr>
        <w:pStyle w:val="BodyText"/>
      </w:pPr>
      <w:r>
        <w:t xml:space="preserve">Rights cells unmasked: [PASS/FAIL]</w:t>
      </w:r>
    </w:p>
    <w:p>
      <w:pPr>
        <w:pStyle w:val="BodyText"/>
      </w:pPr>
      <w:r>
        <w:t xml:space="preserve">Catastrophe cells unmasked: [PASS/FAIL]</w:t>
      </w:r>
    </w:p>
    <w:p>
      <w:pPr>
        <w:pStyle w:val="BodyText"/>
      </w:pPr>
      <w:r>
        <w:t xml:space="preserve">INPUTS (REQUIRED Tier 2-3)</w:t>
      </w:r>
    </w:p>
    <w:p>
      <w:pPr>
        <w:pStyle w:val="BodyText"/>
      </w:pPr>
      <w:r>
        <w:t xml:space="preserve">Uncertainty Method (Tier 2+ REQUIRED for active cells):</w:t>
      </w:r>
    </w:p>
    <w:p>
      <w:pPr>
        <w:pStyle w:val="BodyText"/>
      </w:pPr>
      <w:r>
        <w:t xml:space="preserve">PCC.Uncertainty.Method: [A | B | C]</w:t>
      </w:r>
      <w:r>
        <w:br/>
      </w:r>
      <w:r>
        <w:t xml:space="preserve">If Method = B:</w:t>
      </w:r>
      <w:r>
        <w:br/>
      </w:r>
      <w:r>
        <w:t xml:space="preserve">PCC.Uncertainty.CellConfidenceAggregationMethod: [CCAM_MIN_V1 | CCAM_WMEAN_V1]</w:t>
      </w:r>
      <w:r>
        <w:br/>
      </w:r>
      <w:r>
        <w:t xml:space="preserve">PCC.Uncertainty.c_cell_table: [table of c(u,d,a) for active cells, or a retrievable representation sufficient for recomputation]</w:t>
      </w:r>
    </w:p>
    <w:p>
      <w:pPr>
        <w:pStyle w:val="BodyText"/>
      </w:pPr>
      <w:r>
        <w:t xml:space="preserve">Weights:</w:t>
      </w:r>
    </w:p>
    <w:p>
      <w:pPr>
        <w:pStyle w:val="BodyText"/>
      </w:pPr>
      <w:r>
        <w:t xml:space="preserve">Union weights w_u: [vector or table]</w:t>
      </w:r>
    </w:p>
    <w:p>
      <w:pPr>
        <w:pStyle w:val="BodyText"/>
      </w:pPr>
      <w:r>
        <w:t xml:space="preserve">Dimension weights v_d: [vector or table]</w:t>
      </w:r>
    </w:p>
    <w:p>
      <w:pPr>
        <w:pStyle w:val="BodyText"/>
      </w:pPr>
      <w:r>
        <w:t xml:space="preserve">HDW parameters (if used): [λ_U, λ_D; sources]</w:t>
      </w:r>
    </w:p>
    <w:p>
      <w:pPr>
        <w:pStyle w:val="BodyText"/>
      </w:pPr>
      <w:r>
        <w:t xml:space="preserve">Rights Canon:</w:t>
      </w:r>
    </w:p>
    <w:p>
      <w:pPr>
        <w:pStyle w:val="BodyText"/>
      </w:pPr>
      <w:r>
        <w:t xml:space="preserve">Thresholds θ_r: [table or “current canonical”]</w:t>
      </w:r>
    </w:p>
    <w:p>
      <w:pPr>
        <w:pStyle w:val="BodyText"/>
      </w:pPr>
      <w:r>
        <w:t xml:space="preserve">Coverage sets C_r: [table or “current canonical”]</w:t>
      </w:r>
    </w:p>
    <w:p>
      <w:pPr>
        <w:pStyle w:val="BodyText"/>
      </w:pPr>
      <w:r>
        <w:t xml:space="preserve">Subgroup policy:</w:t>
      </w:r>
    </w:p>
    <w:p>
      <w:pPr>
        <w:pStyle w:val="BodyText"/>
      </w:pPr>
      <w:r>
        <w:t xml:space="preserve">G_{u,d} method: [enumerated | conservative bound]</w:t>
      </w:r>
    </w:p>
    <w:p>
      <w:pPr>
        <w:pStyle w:val="BodyText"/>
      </w:pPr>
      <w:r>
        <w:t xml:space="preserve">γ_subgroup (if used): [value]</w:t>
      </w:r>
    </w:p>
    <w:p>
      <w:pPr>
        <w:pStyle w:val="BodyText"/>
      </w:pPr>
      <w:r>
        <w:t xml:space="preserve">Notes: [limitations if any]</w:t>
      </w:r>
    </w:p>
    <w:p>
      <w:pPr>
        <w:pStyle w:val="BodyText"/>
      </w:pPr>
      <w:r>
        <w:t xml:space="preserve">TRC Inputs (REQUIRED Tier 2 when plausible; REQUIRED Tier 3):</w:t>
      </w:r>
    </w:p>
    <w:p>
      <w:pPr>
        <w:pStyle w:val="BodyText"/>
      </w:pPr>
      <w:r>
        <w:t xml:space="preserve">Catastrophe cells C_cat: [list]</w:t>
      </w:r>
    </w:p>
    <w:p>
      <w:pPr>
        <w:pStyle w:val="BodyText"/>
      </w:pPr>
      <w:r>
        <w:t xml:space="preserve">Catastrophe weights ω: [list]</w:t>
      </w:r>
    </w:p>
    <w:p>
      <w:pPr>
        <w:pStyle w:val="BodyText"/>
      </w:pPr>
      <w:r>
        <w:t xml:space="preserve">α: [value]</w:t>
      </w:r>
    </w:p>
    <w:p>
      <w:pPr>
        <w:pStyle w:val="BodyText"/>
      </w:pPr>
      <w:r>
        <w:t xml:space="preserve">τ_TRC: [value]</w:t>
      </w:r>
    </w:p>
    <w:p>
      <w:pPr>
        <w:pStyle w:val="BodyText"/>
      </w:pPr>
      <w:r>
        <w:t xml:space="preserve">Scenario set S:</w:t>
      </w:r>
    </w:p>
    <w:p>
      <w:pPr>
        <w:pStyle w:val="BodyText"/>
      </w:pPr>
      <w:r>
        <w:t xml:space="preserve">For each scenario s:</w:t>
      </w:r>
    </w:p>
    <w:p>
      <w:pPr>
        <w:pStyle w:val="BodyText"/>
      </w:pPr>
      <w:r>
        <w:t xml:space="preserve">ID, category, narrative, p_s, parameterization notes</w:t>
      </w:r>
    </w:p>
    <w:p>
      <w:pPr>
        <w:pStyle w:val="BodyText"/>
      </w:pPr>
      <w:r>
        <w:t xml:space="preserve">Mandatory tails check:</w:t>
      </w:r>
    </w:p>
    <w:p>
      <w:pPr>
        <w:pStyle w:val="BodyText"/>
      </w:pPr>
      <w:r>
        <w:t xml:space="preserve">Categories present: [YES/NO per category]</w:t>
      </w:r>
    </w:p>
    <w:p>
      <w:pPr>
        <w:pStyle w:val="BodyText"/>
      </w:pPr>
      <w:r>
        <w:t xml:space="preserve">Probability floors met: [YES/NO]</w:t>
      </w:r>
    </w:p>
    <w:p>
      <w:pPr>
        <w:pStyle w:val="BodyText"/>
      </w:pPr>
      <w:r>
        <w:t xml:space="preserve">Any implausibility justifications: [YES/NO; if YES, details]</w:t>
      </w:r>
    </w:p>
    <w:p>
      <w:pPr>
        <w:pStyle w:val="BodyText"/>
      </w:pPr>
      <w:r>
        <w:t xml:space="preserve">Containment Inputs (REQUIRED Tier 3):</w:t>
      </w:r>
    </w:p>
    <w:p>
      <w:pPr>
        <w:pStyle w:val="BodyText"/>
      </w:pPr>
      <w:r>
        <w:t xml:space="preserve">τ_c: [value]</w:t>
      </w:r>
    </w:p>
    <w:p>
      <w:pPr>
        <w:pStyle w:val="BodyText"/>
      </w:pPr>
      <w:r>
        <w:t xml:space="preserve">θ_pos: [value]</w:t>
      </w:r>
    </w:p>
    <w:p>
      <w:pPr>
        <w:pStyle w:val="BodyText"/>
      </w:pPr>
      <w:r>
        <w:t xml:space="preserve">D_c: [value]</w:t>
      </w:r>
    </w:p>
    <w:p>
      <w:pPr>
        <w:pStyle w:val="BodyText"/>
      </w:pPr>
      <w:r>
        <w:t xml:space="preserve">UCI method: [indicators used + sources]</w:t>
      </w:r>
    </w:p>
    <w:p>
      <w:pPr>
        <w:pStyle w:val="BodyText"/>
      </w:pPr>
      <w:r>
        <w:t xml:space="preserve">If UCI is unavailable for required containing scopes, record CONTAINMENT_UCI_UNAVAILABLE and set PCC.Containment.UCIUnavailableDisposition to DOWNGRADE_TIER or COLLECT_DATA_RERUN (and provide a remediation timeline).</w:t>
      </w:r>
    </w:p>
    <w:p>
      <w:pPr>
        <w:pStyle w:val="BodyText"/>
      </w:pPr>
      <w:r>
        <w:t xml:space="preserve">NORMATIVE INPUT REGISTER (REQUIRED when material)</w:t>
      </w:r>
    </w:p>
    <w:p>
      <w:pPr>
        <w:pStyle w:val="BodyText"/>
      </w:pPr>
      <w:r>
        <w:t xml:space="preserve">PCC.NormativeInputRegister: [array; REQUIRED when any welfare-relevant state, rights-relevant state, or enabling condition materially affects admissibility, precautionary handling, selection, or tie-break outcome]</w:t>
      </w:r>
    </w:p>
    <w:p>
      <w:pPr>
        <w:pStyle w:val="BodyText"/>
      </w:pPr>
      <w:r>
        <w:t xml:space="preserve">For each entry n in PCC.NormativeInputRegister, record:</w:t>
      </w:r>
    </w:p>
    <w:p>
      <w:pPr>
        <w:pStyle w:val="BodyText"/>
      </w:pPr>
      <w:r>
        <w:t xml:space="preserve">NormInputID: [unique identifier]</w:t>
      </w:r>
    </w:p>
    <w:p>
      <w:pPr>
        <w:pStyle w:val="BodyText"/>
      </w:pPr>
      <w:r>
        <w:t xml:space="preserve">InputType: [WELFARE_RELEVANT_STATE | RIGHTS_RELEVANT_STATE | ENABLING_CONDITION]</w:t>
      </w:r>
    </w:p>
    <w:p>
      <w:pPr>
        <w:pStyle w:val="BodyText"/>
      </w:pPr>
      <w:r>
        <w:t xml:space="preserve">Materiality: [ADMISSIBILITY_MATERIAL | PRECAUTION_MATERIAL | SELECTION_MATERIAL | TIEBREAK_MATERIAL]</w:t>
      </w:r>
    </w:p>
    <w:p>
      <w:pPr>
        <w:pStyle w:val="BodyText"/>
      </w:pPr>
      <w:r>
        <w:t xml:space="preserve">AffectedObjects: [cell(s), right(s), scenario(s), gate(s), structural metric(s), or decision element(s)]</w:t>
      </w:r>
    </w:p>
    <w:p>
      <w:pPr>
        <w:pStyle w:val="BodyText"/>
      </w:pPr>
      <w:r>
        <w:t xml:space="preserve">StakeholderOrScopeTarget: [stakeholder / class / subgroup / instance / scope / scope-set]</w:t>
      </w:r>
    </w:p>
    <w:p>
      <w:pPr>
        <w:pStyle w:val="BodyText"/>
      </w:pPr>
      <w:r>
        <w:t xml:space="preserve">EvidenceBasisType: [DIRECT_INDICATOR | IMPACT_INSTANCE_TRACE | RIGHTS_CANON_INTERPRETATION | SGP_INTERFACE | GOVERNED_PROXY | PRECAUTIONARY_DECLARATION | OTHER_DECLARED]</w:t>
      </w:r>
    </w:p>
    <w:p>
      <w:pPr>
        <w:pStyle w:val="BodyText"/>
      </w:pPr>
      <w:r>
        <w:t xml:space="preserve">EvidenceReference: [citation / data source / registry ID / PCC pointer / section pointer]</w:t>
      </w:r>
    </w:p>
    <w:p>
      <w:pPr>
        <w:pStyle w:val="BodyText"/>
      </w:pPr>
      <w:r>
        <w:t xml:space="preserve">GovernedInterpretationBasis: [NONE | canon section | charter rule | jurisdictional source | instrument identifier | reviewer memorandum]</w:t>
      </w:r>
    </w:p>
    <w:p>
      <w:pPr>
        <w:pStyle w:val="BodyText"/>
      </w:pPr>
      <w:r>
        <w:t xml:space="preserve">PrecautionaryBasis: [NONE | explicit uncertainty rationale]</w:t>
      </w:r>
    </w:p>
    <w:p>
      <w:pPr>
        <w:pStyle w:val="BodyText"/>
      </w:pPr>
      <w:r>
        <w:t xml:space="preserve">OptionSymmetryStatus: [APPLIES_TO_ALL_OPTIONS | OPTION_SPECIFIC_WITH_JUSTIFICATION]</w:t>
      </w:r>
    </w:p>
    <w:p>
      <w:pPr>
        <w:pStyle w:val="BodyText"/>
      </w:pPr>
      <w:r>
        <w:t xml:space="preserve">AnalystReasonCode: [text or controlled token]</w:t>
      </w:r>
    </w:p>
    <w:p>
      <w:pPr>
        <w:pStyle w:val="BodyText"/>
      </w:pPr>
      <w:r>
        <w:t xml:space="preserve">SensitivityNote: [REQUIRED if alternative treatment plausibly changes admissibility or selection]</w:t>
      </w:r>
    </w:p>
    <w:p>
      <w:pPr>
        <w:pStyle w:val="BodyText"/>
      </w:pPr>
      <w:r>
        <w:t xml:space="preserve">ReviewerNote: [Tier 3 REQUIRED when Materiality = ADMISSIBILITY_MATERIAL, PRECAUTION_MATERIAL, or SELECTION_MATERIAL]</w:t>
      </w:r>
    </w:p>
    <w:p>
      <w:pPr>
        <w:pStyle w:val="BodyText"/>
      </w:pPr>
      <w:r>
        <w:t xml:space="preserve">Normative note. The register exists to make reason-for-action inputs auditable when they are not already fully captured by direct impact-instance tables, the canonical rights layer, the canonical catastrophe layer, or declared structural indicators.</w:t>
      </w:r>
    </w:p>
    <w:p>
      <w:pPr>
        <w:pStyle w:val="BodyText"/>
      </w:pPr>
      <w:r>
        <w:t xml:space="preserve">IMPACT ESTIMATION (REQUIRED Tier 2-3)</w:t>
      </w:r>
    </w:p>
    <w:p>
      <w:pPr>
        <w:pStyle w:val="BodyText"/>
      </w:pPr>
      <w:r>
        <w:t xml:space="preserve">For each option a:</w:t>
      </w:r>
    </w:p>
    <w:p>
      <w:pPr>
        <w:pStyle w:val="BodyText"/>
      </w:pPr>
      <w:r>
        <w:t xml:space="preserve">Direct impacts I_dir(u,d,a): [summary table or key cells]</w:t>
      </w:r>
    </w:p>
    <w:p>
      <w:pPr>
        <w:pStyle w:val="BodyText"/>
      </w:pPr>
      <w:r>
        <w:t xml:space="preserve">Propagated impacts I_prop_base(u,d,a) and I_prop_welfare(u,d,a): [summary table or key cells]</w:t>
      </w:r>
    </w:p>
    <w:p>
      <w:pPr>
        <w:pStyle w:val="BodyText"/>
      </w:pPr>
      <w:r>
        <w:t xml:space="preserve">Key impact instances (at least top contributors):</w:t>
      </w:r>
    </w:p>
    <w:p>
      <w:pPr>
        <w:pStyle w:val="BodyText"/>
      </w:pPr>
      <w:r>
        <w:t xml:space="preserve">For each listed instance k:</w:t>
      </w:r>
    </w:p>
    <w:p>
      <w:pPr>
        <w:pStyle w:val="BodyText"/>
      </w:pPr>
      <w:r>
        <w:t xml:space="preserve">(u,d), μ_k, r_k, t_k, ℓ_k, c_k, e_k, h_{k,base}, h_{k,welfare}, rationale/source</w:t>
      </w:r>
    </w:p>
    <w:p>
      <w:pPr>
        <w:pStyle w:val="BodyText"/>
      </w:pPr>
      <w:r>
        <w:t xml:space="preserve">e_k disclosure (Normative). If any listed instance uses e_k ≠ 1.00, the PCC MUST also record the reason code, default-counterfactual, and whether resetting e_k to 1.00 changes admissibility or selection.</w:t>
      </w:r>
    </w:p>
    <w:p>
      <w:pPr>
        <w:pStyle w:val="BodyText"/>
      </w:pPr>
      <w:r>
        <w:t xml:space="preserve">ReachBasis (REQUIRED Tier 2+): For each reach term r_k, record the basis and estimator used (allowed bases: population fraction, asset/flow fraction, or area/volume fraction; other bases MUST be explicitly defined), plus source and any conservative bounds.</w:t>
      </w:r>
    </w:p>
    <w:p>
      <w:pPr>
        <w:pStyle w:val="BodyText"/>
      </w:pPr>
      <w:r>
        <w:t xml:space="preserve">Missing data:</w:t>
      </w:r>
    </w:p>
    <w:p>
      <w:pPr>
        <w:pStyle w:val="BodyText"/>
      </w:pPr>
      <w:r>
        <w:t xml:space="preserve">Any UNKNOWN_IMPACT cells: [list]</w:t>
      </w:r>
    </w:p>
    <w:p>
      <w:pPr>
        <w:pStyle w:val="BodyText"/>
      </w:pPr>
      <w:r>
        <w:t xml:space="preserve">Phantom instances applied: [YES/NO]</w:t>
      </w:r>
    </w:p>
    <w:p>
      <w:pPr>
        <w:pStyle w:val="BodyText"/>
      </w:pPr>
      <w:r>
        <w:t xml:space="preserve">CASCADE TRACE (REQUIRED Tier 2-3)</w:t>
      </w:r>
    </w:p>
    <w:p>
      <w:pPr>
        <w:pStyle w:val="BodyText"/>
      </w:pPr>
      <w:r>
        <w:t xml:space="preserve">NCRC:</w:t>
      </w:r>
    </w:p>
    <w:p>
      <w:pPr>
        <w:pStyle w:val="BodyText"/>
      </w:pPr>
      <w:r>
        <w:t xml:space="preserve">For each option: PASS/FAIL</w:t>
      </w:r>
    </w:p>
    <w:p>
      <w:pPr>
        <w:pStyle w:val="BodyText"/>
      </w:pPr>
      <w:r>
        <w:t xml:space="preserve">If FAIL: violated rights + v_r(a) values</w:t>
      </w:r>
    </w:p>
    <w:p>
      <w:pPr>
        <w:pStyle w:val="BodyText"/>
      </w:pPr>
      <w:r>
        <w:t xml:space="preserve">Emergency Mode invoked: [YES/NO]</w:t>
      </w:r>
    </w:p>
    <w:p>
      <w:pPr>
        <w:pStyle w:val="BodyText"/>
      </w:pPr>
      <w:r>
        <w:t xml:space="preserve">Challenger conducted: [YES/NO]</w:t>
      </w:r>
    </w:p>
    <w:p>
      <w:pPr>
        <w:pStyle w:val="BodyText"/>
      </w:pPr>
      <w:r>
        <w:t xml:space="preserve">Challenger notes: [summary]</w:t>
      </w:r>
    </w:p>
    <w:p>
      <w:pPr>
        <w:pStyle w:val="BodyText"/>
      </w:pPr>
      <w:r>
        <w:t xml:space="preserve">TRC:</w:t>
      </w:r>
    </w:p>
    <w:p>
      <w:pPr>
        <w:pStyle w:val="BodyText"/>
      </w:pPr>
      <w:r>
        <w:t xml:space="preserve">Triggered (catastrophe relevance plausible): [YES/NO]</w:t>
      </w:r>
    </w:p>
    <w:p>
      <w:pPr>
        <w:pStyle w:val="BodyText"/>
      </w:pPr>
      <w:r>
        <w:t xml:space="preserve">For each option:</w:t>
      </w:r>
    </w:p>
    <w:p>
      <w:pPr>
        <w:pStyle w:val="BodyText"/>
      </w:pPr>
      <w:r>
        <w:t xml:space="preserve">CVaR_α: [value]</w:t>
      </w:r>
    </w:p>
    <w:p>
      <w:pPr>
        <w:pStyle w:val="BodyText"/>
      </w:pPr>
      <w:r>
        <w:t xml:space="preserve">Corridor τ_TRC: [value]</w:t>
      </w:r>
    </w:p>
    <w:p>
      <w:pPr>
        <w:pStyle w:val="BodyText"/>
      </w:pPr>
      <w:r>
        <w:t xml:space="preserve">PASS/FAIL</w:t>
      </w:r>
    </w:p>
    <w:p>
      <w:pPr>
        <w:pStyle w:val="BodyText"/>
      </w:pPr>
      <w:r>
        <w:t xml:space="preserve">Tail Emergency Mode invoked: [YES/NO]</w:t>
      </w:r>
    </w:p>
    <w:p>
      <w:pPr>
        <w:pStyle w:val="BodyText"/>
      </w:pPr>
      <w:r>
        <w:t xml:space="preserve">Containment (Tier 3 required):</w:t>
      </w:r>
    </w:p>
    <w:p>
      <w:pPr>
        <w:pStyle w:val="BodyText"/>
      </w:pPr>
      <w:r>
        <w:t xml:space="preserve">For each option in A_adm:</w:t>
      </w:r>
    </w:p>
    <w:p>
      <w:pPr>
        <w:pStyle w:val="BodyText"/>
      </w:pPr>
      <w:r>
        <w:t xml:space="preserve">U_pos(a): [list of unions]</w:t>
      </w:r>
    </w:p>
    <w:p>
      <w:pPr>
        <w:pStyle w:val="BodyText"/>
      </w:pPr>
      <w:r>
        <w:t xml:space="preserve">For each u in U_pos: min ΔUCI among ancestors: [value]</w:t>
      </w:r>
    </w:p>
    <w:p>
      <w:pPr>
        <w:pStyle w:val="BodyText"/>
      </w:pPr>
      <w:r>
        <w:t xml:space="preserve">PASS/FAIL</w:t>
      </w:r>
    </w:p>
    <w:p>
      <w:pPr>
        <w:pStyle w:val="BodyText"/>
      </w:pPr>
      <w:r>
        <w:t xml:space="preserve">PCC.Containment.UCIUnavailableDisposition: [DOWNGRADE_TIER | COLLECT_DATA_RERUN | NA] (REQUIRED if CONTAINMENT_UCI_UNAVAILABLE flag is recorded).</w:t>
      </w:r>
    </w:p>
    <w:p>
      <w:pPr>
        <w:pStyle w:val="BodyText"/>
      </w:pPr>
      <w:r>
        <w:t xml:space="preserve">PCC.Containment.UCIUnavailableRemediationTimeline: [text] (REQUIRED if CONTAINMENT_UCI_UNAVAILABLE flag is recorded).</w:t>
      </w:r>
    </w:p>
    <w:p>
      <w:pPr>
        <w:pStyle w:val="BodyText"/>
      </w:pPr>
      <w:r>
        <w:t xml:space="preserve">A_sel: [list]</w:t>
      </w:r>
    </w:p>
    <w:p>
      <w:pPr>
        <w:pStyle w:val="BodyText"/>
      </w:pPr>
      <w:r>
        <w:t xml:space="preserve">RLS Ranking:</w:t>
      </w:r>
    </w:p>
    <w:p>
      <w:pPr>
        <w:pStyle w:val="BodyText"/>
      </w:pPr>
      <w:r>
        <w:t xml:space="preserve">For each option in A_sel:</w:t>
      </w:r>
    </w:p>
    <w:p>
      <w:pPr>
        <w:pStyle w:val="BodyText"/>
      </w:pPr>
      <w:r>
        <w:t xml:space="preserve">RLS(a): [value]</w:t>
      </w:r>
    </w:p>
    <w:p>
      <w:pPr>
        <w:pStyle w:val="BodyText"/>
      </w:pPr>
      <w:r>
        <w:t xml:space="preserve">σ_RLS(a): [value] (Tier 3 required)</w:t>
      </w:r>
    </w:p>
    <w:p>
      <w:pPr>
        <w:pStyle w:val="BodyText"/>
      </w:pPr>
      <w:r>
        <w:t xml:space="preserve">Gap(top, second): [value]</w:t>
      </w:r>
    </w:p>
    <w:p>
      <w:pPr>
        <w:pStyle w:val="BodyText"/>
      </w:pPr>
      <w:r>
        <w:t xml:space="preserve">δ: [value]</w:t>
      </w:r>
    </w:p>
    <w:p>
      <w:pPr>
        <w:pStyle w:val="BodyText"/>
      </w:pPr>
      <w:r>
        <w:t xml:space="preserve">Decisive: [YES/NO]</w:t>
      </w:r>
    </w:p>
    <w:p>
      <w:pPr>
        <w:pStyle w:val="BodyText"/>
      </w:pPr>
      <w:r>
        <w:t xml:space="preserve">Tie-break (if non-decisive):</w:t>
      </w:r>
    </w:p>
    <w:p>
      <w:pPr>
        <w:pStyle w:val="BodyText"/>
      </w:pPr>
      <w:r>
        <w:t xml:space="preserve">UCI method used: [UCI-A/B/C]</w:t>
      </w:r>
    </w:p>
    <w:p>
      <w:pPr>
        <w:pStyle w:val="BodyText"/>
      </w:pPr>
      <w:r>
        <w:t xml:space="preserve">Δ_UCI threshold: 0.05</w:t>
      </w:r>
    </w:p>
    <w:p>
      <w:pPr>
        <w:pStyle w:val="BodyText"/>
      </w:pPr>
      <w:r>
        <w:t xml:space="preserve">Result: [winner or non-decisive]</w:t>
      </w:r>
    </w:p>
    <w:p>
      <w:pPr>
        <w:pStyle w:val="BodyText"/>
      </w:pPr>
      <w:r>
        <w:t xml:space="preserve">HOI flags (if applicable): [notes]</w:t>
      </w:r>
    </w:p>
    <w:p>
      <w:pPr>
        <w:pStyle w:val="BodyText"/>
      </w:pPr>
      <w:r>
        <w:t xml:space="preserve">Escalation invoked: [YES/NO]</w:t>
      </w:r>
    </w:p>
    <w:p>
      <w:pPr>
        <w:pStyle w:val="BodyText"/>
      </w:pPr>
      <w:r>
        <w:t xml:space="preserve">SELECTION (REQUIRED Tier 2-3)</w:t>
      </w:r>
    </w:p>
    <w:p>
      <w:pPr>
        <w:pStyle w:val="BodyText"/>
      </w:pPr>
      <w:r>
        <w:t xml:space="preserve">Selected Option: [option ID]</w:t>
      </w:r>
    </w:p>
    <w:p>
      <w:pPr>
        <w:pStyle w:val="BodyText"/>
      </w:pPr>
      <w:r>
        <w:t xml:space="preserve">Selection Rationale: [brief; must reference cascade outcomes]</w:t>
      </w:r>
    </w:p>
    <w:p>
      <w:pPr>
        <w:pStyle w:val="BodyText"/>
      </w:pPr>
      <w:r>
        <w:t xml:space="preserve">Monitoring Plan (NCAR):</w:t>
      </w:r>
    </w:p>
    <w:p>
      <w:pPr>
        <w:pStyle w:val="BodyText"/>
      </w:pPr>
      <w:r>
        <w:t xml:space="preserve">Metrics: [list]</w:t>
      </w:r>
    </w:p>
    <w:p>
      <w:pPr>
        <w:pStyle w:val="BodyText"/>
      </w:pPr>
      <w:r>
        <w:t xml:space="preserve">Review schedule: [date/interval]</w:t>
      </w:r>
    </w:p>
    <w:p>
      <w:pPr>
        <w:pStyle w:val="BodyText"/>
      </w:pPr>
      <w:r>
        <w:t xml:space="preserve">Triggers for re-run: [conditions]</w:t>
      </w:r>
    </w:p>
    <w:p>
      <w:pPr>
        <w:pStyle w:val="BodyText"/>
      </w:pPr>
      <w:r>
        <w:t xml:space="preserve">SENSITIVITY ANALYSIS (Tier 3 REQUIRED)</w:t>
      </w:r>
    </w:p>
    <w:p>
      <w:pPr>
        <w:pStyle w:val="BodyText"/>
      </w:pPr>
      <w:r>
        <w:t xml:space="preserve">Weights perturbation: [summary; selection stable?]</w:t>
      </w:r>
    </w:p>
    <w:p>
      <w:pPr>
        <w:pStyle w:val="BodyText"/>
      </w:pPr>
      <w:r>
        <w:t xml:space="preserve">Threshold perturbation: [summary; any near-miss rights?]</w:t>
      </w:r>
    </w:p>
    <w:p>
      <w:pPr>
        <w:pStyle w:val="BodyText"/>
      </w:pPr>
      <w:r>
        <w:t xml:space="preserve">Kernel perturbation: [summary; flag fragile?]</w:t>
      </w:r>
    </w:p>
    <w:p>
      <w:pPr>
        <w:pStyle w:val="BodyText"/>
      </w:pPr>
      <w:r>
        <w:t xml:space="preserve">Scenario perturbation: [summary; probability sensitivity]</w:t>
      </w:r>
    </w:p>
    <w:p>
      <w:pPr>
        <w:pStyle w:val="BodyText"/>
      </w:pPr>
      <w:r>
        <w:t xml:space="preserve">Robustness classification: [Robust | Sensitive | Fragile]</w:t>
      </w:r>
    </w:p>
    <w:p>
      <w:pPr>
        <w:pStyle w:val="BodyText"/>
      </w:pPr>
      <w:r>
        <w:t xml:space="preserve">FIVE-SENTENCE PUBLIC RATIONALE (5SPR) (Tier 2-3 REQUIRED)</w:t>
      </w:r>
    </w:p>
    <w:p>
      <w:pPr>
        <w:pStyle w:val="BodyText"/>
      </w:pPr>
      <w:r>
        <w:t xml:space="preserve">1. CONTEXT: [What decision was made and why now?]</w:t>
      </w:r>
    </w:p>
    <w:p>
      <w:pPr>
        <w:pStyle w:val="BodyText"/>
      </w:pPr>
      <w:r>
        <w:t xml:space="preserve">2. OPTIONS: [What options were considered?]</w:t>
      </w:r>
    </w:p>
    <w:p>
      <w:pPr>
        <w:pStyle w:val="BodyText"/>
      </w:pPr>
      <w:r>
        <w:t xml:space="preserve">3. CONSTRAINTS: [What was eliminated by NCRC, TRC, and/or Containment (and why)?]</w:t>
      </w:r>
    </w:p>
    <w:p>
      <w:pPr>
        <w:pStyle w:val="BodyText"/>
      </w:pPr>
      <w:r>
        <w:t xml:space="preserve">4. SELECTION: [Why the chosen option won among selectable options?]</w:t>
      </w:r>
    </w:p>
    <w:p>
      <w:pPr>
        <w:pStyle w:val="BodyText"/>
      </w:pPr>
      <w:r>
        <w:t xml:space="preserve">5. MONITORING: [What follow-up will be tracked and when?]</w:t>
      </w:r>
    </w:p>
    <w:p>
      <w:pPr>
        <w:pStyle w:val="BodyText"/>
      </w:pPr>
      <w:r>
        <w:t xml:space="preserve">AUDIT FLAGS (REQUIRED when triggered)</w:t>
      </w:r>
    </w:p>
    <w:p>
      <w:pPr>
        <w:pStyle w:val="BodyText"/>
      </w:pPr>
      <w:r>
        <w:t xml:space="preserve">[List flags + explanations]</w:t>
      </w:r>
    </w:p>
    <w:p>
      <w:pPr>
        <w:pStyle w:val="BodyText"/>
      </w:pPr>
      <w:r>
        <w:t xml:space="preserve">SIGNATURES</w:t>
      </w:r>
    </w:p>
    <w:p>
      <w:pPr>
        <w:pStyle w:val="BodyText"/>
      </w:pPr>
      <w:r>
        <w:t xml:space="preserve">Analyst: [name, date]</w:t>
      </w:r>
    </w:p>
    <w:p>
      <w:pPr>
        <w:pStyle w:val="BodyText"/>
      </w:pPr>
      <w:r>
        <w:t xml:space="preserve">Decision Owner: [name, date]</w:t>
      </w:r>
    </w:p>
    <w:p>
      <w:pPr>
        <w:pStyle w:val="BodyText"/>
      </w:pPr>
      <w:r>
        <w:t xml:space="preserve">Reviewer (Tier 3): [name, date]</w:t>
      </w:r>
    </w:p>
    <w:p>
      <w:pPr>
        <w:pStyle w:val="BodyText"/>
      </w:pPr>
      <w:r>
        <w:t xml:space="preserve">===============================================================</w:t>
      </w:r>
    </w:p>
    <w:bookmarkEnd w:id="423"/>
    <w:bookmarkStart w:id="424" w:name="X627284878665dbfe87421bf408db0407f61e873"/>
    <w:p>
      <w:pPr>
        <w:pStyle w:val="Heading2"/>
      </w:pPr>
      <w:r>
        <w:rPr>
          <w:bCs/>
          <w:b/>
        </w:rPr>
        <w:t xml:space="preserve">SOURCE-COUPLING RECORD (CONDITIONAL; REQUIRED when Section 2.1D trigger holds)</w:t>
      </w:r>
    </w:p>
    <w:p>
      <w:pPr>
        <w:pStyle w:val="FirstParagraph"/>
      </w:pPr>
      <w:r>
        <w:t xml:space="preserve">PCC.SourceCouplingRecord.claimed_capability: [capability being claimed] PCC.SourceCouplingRecord.enabling_conditions: [conditions required for the capability to hold] PCC.SourceCouplingRecord.boundary_conditions: [domain and scope boundaries] PCC.SourceCouplingRecord.source_evidence: [evidence surface or warrant] PCC.SourceCouplingRecord.generator_output_distinction: [how generated output is kept distinct from grounded warrant] PCC.SourceCouplingRecord.inherited_assumptions: [assumptions inherited from source, model, data, or substrate] PCC.SourceCouplingRecord.downstream_compensations: [filters, monitoring, governance, or controls used downstream] PCC.SourceCouplingRecord.source_coupling_status: [SOURCE_COUPLED | SOURCE_PARTIAL | SOURCE_INFERRED | SOURCE_UNKNOWN | SOURCE_CONTESTED | SOURCE_DEBT_RISK | SOURCE_COUPLING_FAILURE] Machine-readable records MUST use the canonical SourceCouplingStatus enum above. Human-readable aliases such as GROUNDED may be displayed only as labels for SOURCE_COUPLED; they SHALL NOT replace canonical tokens in PCC or validator-facing records. PCC.SourceCouplingRecord.source_debt_flag: [TRUE/FALSE] PCC.SourceCouplingRecord.falsification_or_recheck_trigger: [trigger] PCC.SourceCouplingRecord.required_claim_action: [proceed | narrow | control | redesign | escalate | refuse]</w:t>
      </w:r>
    </w:p>
    <w:bookmarkEnd w:id="424"/>
    <w:bookmarkStart w:id="425" w:name="X033c8b5855eb20d931363956ae906b681704666"/>
    <w:p>
      <w:pPr>
        <w:pStyle w:val="Heading2"/>
      </w:pPr>
      <w:r>
        <w:rPr>
          <w:bCs/>
          <w:b/>
        </w:rPr>
        <w:t xml:space="preserve">PHYSICAL/CAUSAL ADMISSIBILITY EVIDENCE PROFILE (CONDITIONAL; REQUIRED when Section 2.1E trigger holds)</w:t>
      </w:r>
    </w:p>
    <w:p>
      <w:pPr>
        <w:pStyle w:val="FirstParagraph"/>
      </w:pPr>
      <w:r>
        <w:t xml:space="preserve">PCC.PhysicalCausalAdmissibilityEvidenceProfile.candidate_generation_source: [model/planner/controller/person/procedure that generated the candidate] PCC.PhysicalCausalAdmissibilityEvidenceProfile.physical_or_causal_model_used: [model or basis] PCC.PhysicalCausalAdmissibilityEvidenceProfile.validity_domain: [declared domain] PCC.PhysicalCausalAdmissibilityEvidenceProfile.boundary_conditions: [conditions] PCC.PhysicalCausalAdmissibilityEvidenceProfile.uncertainty_range: [range/class] PCC.PhysicalCausalAdmissibilityEvidenceProfile.failure_modes: [failure modes] PCC.PhysicalCausalAdmissibilityEvidenceProfile.reversibility_or_irreversibility_boundary: [boundary] PCC.PhysicalCausalAdmissibilityEvidenceProfile.verification_simulation_empirical_test_or_expert_warrant: [external warrant] PCC.PhysicalCausalAdmissibilityEvidenceProfile.admissibility_warrant_source: [domain method or authority surface that evaluates admissibility] PCC.PhysicalCausalAdmissibilityEvidenceProfile.monitoring_and_shutoff_path: [monitoring/shutoff] PCC.PhysicalCausalAdmissibilityEvidenceProfile.residual_unknowns: [unknowns] PCC.PhysicalCausalAdmissibilityEvidenceProfile.required_claim_action: [proceed | narrow | control | redesign | escalate | refuse] PCC.PhysicalCausalAdmissibilityEvidenceProfile.status: [PCAE_SUPPORTED | PCAE_ASSUMPTION_BOUND | PCAE_PARTIAL | PCAE_CONTESTED | PCAE_UNKNOWN | PCAE_VERIFICATION_REQUIRED | PCAE_CONTROL_REQUIRED | PCAE_REDESIGN_REQUIRED | PCAE_REFUSE_OR_BLOCK] PCC.PhysicalCausalAdmissibilityEvidenceProfile.physical_execution_claim_status: [PHYSICAL_ADMISSIBILITY_SUPPORTED | GOVERNANCE_PERMISSION_ONLY | PHYSICAL_ADMISSIBILITY_NOT_ESTABLISHED | PHYSICAL_ADMISSIBILITY_CONTRAINDICATED]</w:t>
      </w:r>
    </w:p>
    <w:bookmarkEnd w:id="425"/>
    <w:bookmarkStart w:id="426" w:name="Xd9acf50d01d75a30a0cd5d3e1e33447b66afd3c"/>
    <w:p>
      <w:pPr>
        <w:pStyle w:val="Heading2"/>
      </w:pPr>
      <w:r>
        <w:rPr>
          <w:bCs/>
          <w:b/>
        </w:rPr>
        <w:t xml:space="preserve">METHODOLOGICAL INTEGRITY RECORD (CONDITIONAL; REQUIRED when Section 2.1F or Appendix AN trigger holds)</w:t>
      </w:r>
    </w:p>
    <w:p>
      <w:pPr>
        <w:pStyle w:val="FirstParagraph"/>
      </w:pPr>
      <w:r>
        <w:t xml:space="preserve">PCC.MethodologicalIntegrityRecord.claim_or_component: [claim/component] PCC.MethodologicalIntegrityRecord.claim_type: [empirical | causal | formal | operational_capability | legal_regulatory | normative | validation | design_target | metaphysical_horizon] PCC.MethodologicalIntegrityRecord.claim_domain: [scientific_empirical | engineering_operational | formal_mathematical | legal_regulatory | normative_ethical | institutional_governance | commercial_descriptive | anthropomorphic_social | metaphysical_horizon] PCC.MethodologicalIntegrityRecord.warrant_domains: [one or more domains from which support derives] PCC.MethodologicalIntegrityRecord.cross_domain_bridges: [one bridge object per material cross-domain relationship: from_warrant_domain; to_claim_domain; bridge_status; bridge_proposition; bridge_evidence_or_rationale; uncertainty; validity_or_jurisdiction_boundary; revision_or_refusal_condition] PCC.MethodologicalIntegrityRecord.dependency_position: [where it sits in the method] PCC.MethodologicalIntegrityRecord.starting_assumptions: [assumptions] PCC.MethodologicalIntegrityRecord.definition_or_operator_used: [definition/operator] PCC.MethodologicalIntegrityRecord.necessity_or_alternative_check: [necessity claim and alternatives] PCC.MethodologicalIntegrityRecord.evidence_or_test_surface: [evidence/test surface] PCC.MethodologicalIntegrityRecord.falsification_or_revision_trigger: [trigger] PCC.MethodologicalIntegrityRecord.uncertainty_or_confidence_method: [method] PCC.MethodologicalIntegrityRecord.downstream_dependencies: [dependencies] PCC.MethodologicalIntegrityRecord.re_derivation_scope_if_changed: [rerun/rederive scope] PCC.MethodologicalIntegrityRecord.reviewer_status: [reviewer status] PCC.MethodologicalIntegrityRecord.required_claim_action: [proceed | narrow | control | redesign | escalate | refuse]</w:t>
      </w:r>
    </w:p>
    <w:bookmarkEnd w:id="426"/>
    <w:bookmarkStart w:id="427" w:name="Xa67b7c9cec075222ccee11273582412d2d3fc23"/>
    <w:p>
      <w:pPr>
        <w:pStyle w:val="Heading2"/>
      </w:pPr>
      <w:r>
        <w:rPr>
          <w:bCs/>
          <w:b/>
        </w:rPr>
        <w:t xml:space="preserve">H.1A PCC.ReferenceStructureRecord (Normative for Tier 3 public conformance claims; recommended for Tier 2 high-stakes runs)</w:t>
      </w:r>
    </w:p>
    <w:p>
      <w:pPr>
        <w:pStyle w:val="FirstParagraph"/>
      </w:pPr>
      <w:r>
        <w:t xml:space="preserve">The PCC SHOULD include a ReferenceStructureRecord for Tier 2 high-stakes runs and SHALL include one for Tier 3 public conformance or validation claims. This record does not alter historical NCRC, TRC, CSV, RLS, or UCI/HOI arithmetic. It records the reference structure used to support the claim being made.</w:t>
      </w:r>
    </w:p>
    <w:p>
      <w:pPr>
        <w:pStyle w:val="BodyText"/>
      </w:pPr>
      <w:r>
        <w:t xml:space="preserve">Minimum fields:</w:t>
      </w:r>
    </w:p>
    <w:p>
      <w:pPr>
        <w:pStyle w:val="BodyText"/>
      </w:pPr>
      <w:r>
        <w:t xml:space="preserve">record_id</w:t>
      </w:r>
    </w:p>
    <w:p>
      <w:pPr>
        <w:pStyle w:val="BodyText"/>
      </w:pPr>
      <w:r>
        <w:t xml:space="preserve">decision_id</w:t>
      </w:r>
    </w:p>
    <w:p>
      <w:pPr>
        <w:pStyle w:val="BodyText"/>
      </w:pPr>
      <w:r>
        <w:t xml:space="preserve">option_id_or_set</w:t>
      </w:r>
    </w:p>
    <w:p>
      <w:pPr>
        <w:pStyle w:val="BodyText"/>
      </w:pPr>
      <w:r>
        <w:t xml:space="preserve">claim_scope</w:t>
      </w:r>
    </w:p>
    <w:p>
      <w:pPr>
        <w:pStyle w:val="BodyText"/>
      </w:pPr>
      <w:r>
        <w:t xml:space="preserve">decision_boundary</w:t>
      </w:r>
    </w:p>
    <w:p>
      <w:pPr>
        <w:pStyle w:val="BodyText"/>
      </w:pPr>
      <w:r>
        <w:t xml:space="preserve">reference_object</w:t>
      </w:r>
    </w:p>
    <w:p>
      <w:pPr>
        <w:pStyle w:val="BodyText"/>
      </w:pPr>
      <w:r>
        <w:t xml:space="preserve">active_reference_layers</w:t>
      </w:r>
    </w:p>
    <w:p>
      <w:pPr>
        <w:pStyle w:val="BodyText"/>
      </w:pPr>
      <w:r>
        <w:t xml:space="preserve">invariant_constraints</w:t>
      </w:r>
    </w:p>
    <w:p>
      <w:pPr>
        <w:pStyle w:val="BodyText"/>
      </w:pPr>
      <w:r>
        <w:t xml:space="preserve">causal_pathway_summary</w:t>
      </w:r>
    </w:p>
    <w:p>
      <w:pPr>
        <w:pStyle w:val="BodyText"/>
      </w:pPr>
      <w:r>
        <w:t xml:space="preserve">falsification_conditions</w:t>
      </w:r>
    </w:p>
    <w:p>
      <w:pPr>
        <w:pStyle w:val="BodyText"/>
      </w:pPr>
      <w:r>
        <w:t xml:space="preserve">evidence_sources</w:t>
      </w:r>
    </w:p>
    <w:p>
      <w:pPr>
        <w:pStyle w:val="BodyText"/>
      </w:pPr>
      <w:r>
        <w:t xml:space="preserve">evidence_status_tokens</w:t>
      </w:r>
    </w:p>
    <w:p>
      <w:pPr>
        <w:pStyle w:val="BodyText"/>
      </w:pPr>
      <w:r>
        <w:t xml:space="preserve">measurement_maturity_status</w:t>
      </w:r>
    </w:p>
    <w:p>
      <w:pPr>
        <w:pStyle w:val="BodyText"/>
      </w:pPr>
      <w:r>
        <w:t xml:space="preserve">adaptation_boundary</w:t>
      </w:r>
    </w:p>
    <w:p>
      <w:pPr>
        <w:pStyle w:val="BodyText"/>
      </w:pPr>
      <w:r>
        <w:t xml:space="preserve">authority_boundary</w:t>
      </w:r>
    </w:p>
    <w:p>
      <w:pPr>
        <w:pStyle w:val="BodyText"/>
      </w:pPr>
      <w:r>
        <w:t xml:space="preserve">refusal_triggers</w:t>
      </w:r>
    </w:p>
    <w:p>
      <w:pPr>
        <w:pStyle w:val="BodyText"/>
      </w:pPr>
      <w:r>
        <w:t xml:space="preserve">excluded_references</w:t>
      </w:r>
    </w:p>
    <w:p>
      <w:pPr>
        <w:pStyle w:val="BodyText"/>
      </w:pPr>
      <w:r>
        <w:t xml:space="preserve">reviewer_disposition</w:t>
      </w:r>
    </w:p>
    <w:p>
      <w:pPr>
        <w:pStyle w:val="BodyText"/>
      </w:pPr>
      <w:r>
        <w:t xml:space="preserve">timestamp</w:t>
      </w:r>
    </w:p>
    <w:p>
      <w:pPr>
        <w:pStyle w:val="BodyText"/>
      </w:pPr>
      <w:r>
        <w:t xml:space="preserve">artifact_hashes</w:t>
      </w:r>
    </w:p>
    <w:p>
      <w:pPr>
        <w:pStyle w:val="BodyText"/>
      </w:pPr>
      <w:r>
        <w:t xml:space="preserve">Validation rule. If PCC.ReferenceStructureRecord is required and missing, the PCC is incomplete for any claim that the run was reference-structure-audited. Missing ReferenceStructureRecord does not by itself alter cascade arithmetic, but it prevents stronger public conformance, deployment-readiness, or validation claims.</w:t>
      </w:r>
    </w:p>
    <w:bookmarkEnd w:id="427"/>
    <w:bookmarkStart w:id="428" w:name="Xc01317f1f9b2d94967026cd4da72aa66fbb6f35"/>
    <w:p>
      <w:pPr>
        <w:pStyle w:val="Heading2"/>
      </w:pPr>
      <w:r>
        <w:rPr>
          <w:bCs/>
          <w:b/>
        </w:rPr>
        <w:t xml:space="preserve">H.2 Minimum Required Fields by Tier (Canonical)</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Field</w:t>
            </w:r>
          </w:p>
        </w:tc>
        <w:tc>
          <w:tcPr>
            <w:shd w:val="clear" w:color="auto" w:fill="D9EAF7"/>
            <w:vAlign w:val="center"/>
          </w:tcPr>
          <w:p>
            <w:pPr>
              <w:pStyle w:val="Compact"/>
              <w:jc w:val="left"/>
            </w:pPr>
            <w:r>
              <w:rPr>
                <w:bCs/>
                <w:b/>
                <w:color w:val="17365D"/>
              </w:rPr>
              <w:t xml:space="preserve">Tier 1</w:t>
            </w:r>
          </w:p>
        </w:tc>
        <w:tc>
          <w:tcPr>
            <w:shd w:val="clear" w:color="auto" w:fill="D9EAF7"/>
            <w:vAlign w:val="center"/>
          </w:tcPr>
          <w:p>
            <w:pPr>
              <w:pStyle w:val="Compact"/>
              <w:jc w:val="left"/>
            </w:pPr>
            <w:r>
              <w:rPr>
                <w:bCs/>
                <w:b/>
                <w:color w:val="17365D"/>
              </w:rPr>
              <w:t xml:space="preserve">Tier 2</w:t>
            </w:r>
          </w:p>
        </w:tc>
        <w:tc>
          <w:tcPr>
            <w:shd w:val="clear" w:color="auto" w:fill="D9EAF7"/>
            <w:vAlign w:val="center"/>
          </w:tcPr>
          <w:p>
            <w:pPr>
              <w:pStyle w:val="Compact"/>
              <w:jc w:val="left"/>
            </w:pPr>
            <w:r>
              <w:rPr>
                <w:bCs/>
                <w:b/>
                <w:color w:val="17365D"/>
              </w:rPr>
              <w:t xml:space="preserve">Tier 3</w:t>
            </w:r>
          </w:p>
        </w:tc>
      </w:tr>
      <w:tr>
        <w:tc>
          <w:tcPr>
            <w:vAlign w:val="top"/>
          </w:tcPr>
          <w:p>
            <w:pPr>
              <w:pStyle w:val="Compact"/>
              <w:jc w:val="left"/>
            </w:pPr>
            <w:r>
              <w:t xml:space="preserve">Decision ID</w:t>
            </w:r>
          </w:p>
        </w:tc>
        <w:tc>
          <w:tcPr>
            <w:vAlign w:val="top"/>
          </w:tcPr>
          <w:p>
            <w:pPr>
              <w:pStyle w:val="Compact"/>
              <w:jc w:val="left"/>
            </w:pPr>
            <w:r>
              <w:t xml:space="preserve">Recommended</w:t>
            </w:r>
          </w:p>
        </w:tc>
        <w:tc>
          <w:tcPr>
            <w:vAlign w:val="top"/>
          </w:tcPr>
          <w:p>
            <w:pPr>
              <w:pStyle w:val="Compact"/>
              <w:jc w:val="left"/>
            </w:pPr>
            <w:r>
              <w:t xml:space="preserve">REQUIRED</w:t>
            </w:r>
          </w:p>
        </w:tc>
        <w:tc>
          <w:tcPr>
            <w:vAlign w:val="top"/>
          </w:tcPr>
          <w:p>
            <w:pPr>
              <w:pStyle w:val="Compact"/>
              <w:jc w:val="left"/>
            </w:pPr>
            <w:r>
              <w:t xml:space="preserve">REQUIRED</w:t>
            </w:r>
          </w:p>
        </w:tc>
      </w:tr>
      <w:tr>
        <w:tc>
          <w:tcPr>
            <w:shd w:val="clear" w:color="auto" w:fill="F7FBFE"/>
            <w:vAlign w:val="top"/>
          </w:tcPr>
          <w:p>
            <w:pPr>
              <w:pStyle w:val="Compact"/>
              <w:jc w:val="left"/>
            </w:pPr>
            <w:r>
              <w:t xml:space="preserve">Timestamp</w:t>
            </w:r>
          </w:p>
        </w:tc>
        <w:tc>
          <w:tcPr>
            <w:shd w:val="clear" w:color="auto" w:fill="F7FBFE"/>
            <w:vAlign w:val="top"/>
          </w:tcPr>
          <w:p>
            <w:pPr>
              <w:pStyle w:val="Compact"/>
              <w:jc w:val="left"/>
            </w:pPr>
            <w:r>
              <w:t xml:space="preserve">Recommended</w:t>
            </w:r>
          </w:p>
        </w:tc>
        <w:tc>
          <w:tcPr>
            <w:shd w:val="clear" w:color="auto" w:fill="F7FBFE"/>
            <w:vAlign w:val="top"/>
          </w:tcPr>
          <w:p>
            <w:pPr>
              <w:pStyle w:val="Compact"/>
              <w:jc w:val="left"/>
            </w:pPr>
            <w:r>
              <w:t xml:space="preserve">REQUIRED</w:t>
            </w:r>
          </w:p>
        </w:tc>
        <w:tc>
          <w:tcPr>
            <w:shd w:val="clear" w:color="auto" w:fill="F7FBFE"/>
            <w:vAlign w:val="top"/>
          </w:tcPr>
          <w:p>
            <w:pPr>
              <w:pStyle w:val="Compact"/>
              <w:jc w:val="left"/>
            </w:pPr>
            <w:r>
              <w:t xml:space="preserve">REQUIRED</w:t>
            </w:r>
          </w:p>
        </w:tc>
      </w:tr>
      <w:tr>
        <w:tc>
          <w:tcPr>
            <w:vAlign w:val="top"/>
          </w:tcPr>
          <w:p>
            <w:pPr>
              <w:pStyle w:val="Compact"/>
              <w:jc w:val="left"/>
            </w:pPr>
            <w:r>
              <w:t xml:space="preserve">Option set</w:t>
            </w:r>
          </w:p>
        </w:tc>
        <w:tc>
          <w:tcPr>
            <w:vAlign w:val="top"/>
          </w:tcPr>
          <w:p>
            <w:pPr>
              <w:pStyle w:val="Compact"/>
              <w:jc w:val="left"/>
            </w:pPr>
            <w:r>
              <w:t xml:space="preserve">REQUIRED</w:t>
            </w:r>
          </w:p>
        </w:tc>
        <w:tc>
          <w:tcPr>
            <w:vAlign w:val="top"/>
          </w:tcPr>
          <w:p>
            <w:pPr>
              <w:pStyle w:val="Compact"/>
              <w:jc w:val="left"/>
            </w:pPr>
            <w:r>
              <w:t xml:space="preserve">REQUIRED</w:t>
            </w:r>
          </w:p>
        </w:tc>
        <w:tc>
          <w:tcPr>
            <w:vAlign w:val="top"/>
          </w:tcPr>
          <w:p>
            <w:pPr>
              <w:pStyle w:val="Compact"/>
              <w:jc w:val="left"/>
            </w:pPr>
            <w:r>
              <w:t xml:space="preserve">REQUIRED</w:t>
            </w:r>
          </w:p>
        </w:tc>
      </w:tr>
      <w:tr>
        <w:tc>
          <w:tcPr>
            <w:shd w:val="clear" w:color="auto" w:fill="F7FBFE"/>
            <w:vAlign w:val="top"/>
          </w:tcPr>
          <w:p>
            <w:pPr>
              <w:pStyle w:val="Compact"/>
              <w:jc w:val="left"/>
            </w:pPr>
            <w:r>
              <w:t xml:space="preserve">NCRC results</w:t>
            </w:r>
          </w:p>
        </w:tc>
        <w:tc>
          <w:tcPr>
            <w:shd w:val="clear" w:color="auto" w:fill="F7FBFE"/>
            <w:vAlign w:val="top"/>
          </w:tcPr>
          <w:p>
            <w:pPr>
              <w:pStyle w:val="Compact"/>
              <w:jc w:val="left"/>
            </w:pPr>
            <w:r>
              <w:t xml:space="preserve">Heuristic ok</w:t>
            </w:r>
          </w:p>
        </w:tc>
        <w:tc>
          <w:tcPr>
            <w:shd w:val="clear" w:color="auto" w:fill="F7FBFE"/>
            <w:vAlign w:val="top"/>
          </w:tcPr>
          <w:p>
            <w:pPr>
              <w:pStyle w:val="Compact"/>
              <w:jc w:val="left"/>
            </w:pPr>
            <w:r>
              <w:t xml:space="preserve">REQUIRED</w:t>
            </w:r>
          </w:p>
        </w:tc>
        <w:tc>
          <w:tcPr>
            <w:shd w:val="clear" w:color="auto" w:fill="F7FBFE"/>
            <w:vAlign w:val="top"/>
          </w:tcPr>
          <w:p>
            <w:pPr>
              <w:pStyle w:val="Compact"/>
              <w:jc w:val="left"/>
            </w:pPr>
            <w:r>
              <w:t xml:space="preserve">REQUIRED + subgroup policy</w:t>
            </w:r>
          </w:p>
        </w:tc>
      </w:tr>
      <w:tr>
        <w:tc>
          <w:tcPr>
            <w:vAlign w:val="top"/>
          </w:tcPr>
          <w:p>
            <w:pPr>
              <w:pStyle w:val="Compact"/>
              <w:jc w:val="left"/>
            </w:pPr>
            <w:r>
              <w:t xml:space="preserve">TRC results</w:t>
            </w:r>
          </w:p>
        </w:tc>
        <w:tc>
          <w:tcPr>
            <w:vAlign w:val="top"/>
          </w:tcPr>
          <w:p>
            <w:pPr>
              <w:pStyle w:val="Compact"/>
              <w:jc w:val="left"/>
            </w:pPr>
            <w:r>
              <w:t xml:space="preserve">Optional</w:t>
            </w:r>
          </w:p>
        </w:tc>
        <w:tc>
          <w:tcPr>
            <w:vAlign w:val="top"/>
          </w:tcPr>
          <w:p>
            <w:pPr>
              <w:pStyle w:val="Compact"/>
              <w:jc w:val="left"/>
            </w:pPr>
            <w:r>
              <w:t xml:space="preserve">REQUIRED when catastrophe plausible</w:t>
            </w:r>
          </w:p>
        </w:tc>
        <w:tc>
          <w:tcPr>
            <w:vAlign w:val="top"/>
          </w:tcPr>
          <w:p>
            <w:pPr>
              <w:pStyle w:val="Compact"/>
              <w:jc w:val="left"/>
            </w:pPr>
            <w:r>
              <w:t xml:space="preserve">REQUIRED</w:t>
            </w:r>
          </w:p>
        </w:tc>
      </w:tr>
      <w:tr>
        <w:tc>
          <w:tcPr>
            <w:shd w:val="clear" w:color="auto" w:fill="F7FBFE"/>
            <w:vAlign w:val="top"/>
          </w:tcPr>
          <w:p>
            <w:pPr>
              <w:pStyle w:val="Compact"/>
              <w:jc w:val="left"/>
            </w:pPr>
            <w:r>
              <w:t xml:space="preserve">CSV / Containment and Structural Viability</w:t>
            </w:r>
          </w:p>
        </w:tc>
        <w:tc>
          <w:tcPr>
            <w:shd w:val="clear" w:color="auto" w:fill="F7FBFE"/>
            <w:vAlign w:val="top"/>
          </w:tcPr>
          <w:p>
            <w:pPr>
              <w:pStyle w:val="Compact"/>
              <w:jc w:val="left"/>
            </w:pPr>
            <w:r>
              <w:t xml:space="preserve">REQUIRED before any ordinary ranking/selection claim: brief qualitative screen, or an evidence-backed</w:t>
            </w:r>
            <w:r>
              <w:t xml:space="preserve"> </w:t>
            </w:r>
            <w:r>
              <w:rPr>
                <w:rStyle w:val="VerbatimChar"/>
              </w:rPr>
              <w:t xml:space="preserve">CSV_NOT_MATERIAL</w:t>
            </w:r>
            <w:r>
              <w:t xml:space="preserve"> </w:t>
            </w:r>
            <w:r>
              <w:t xml:space="preserve">rationale</w:t>
            </w:r>
          </w:p>
        </w:tc>
        <w:tc>
          <w:tcPr>
            <w:shd w:val="clear" w:color="auto" w:fill="F7FBFE"/>
            <w:vAlign w:val="top"/>
          </w:tcPr>
          <w:p>
            <w:pPr>
              <w:pStyle w:val="Compact"/>
              <w:jc w:val="left"/>
            </w:pPr>
            <w:r>
              <w:t xml:space="preserve">REQUIRED proportional result before RLS</w:t>
            </w:r>
          </w:p>
        </w:tc>
        <w:tc>
          <w:tcPr>
            <w:shd w:val="clear" w:color="auto" w:fill="F7FBFE"/>
            <w:vAlign w:val="top"/>
          </w:tcPr>
          <w:p>
            <w:pPr>
              <w:pStyle w:val="Compact"/>
              <w:jc w:val="left"/>
            </w:pPr>
            <w:r>
              <w:t xml:space="preserve">REQUIRED full and binding</w:t>
            </w:r>
          </w:p>
        </w:tc>
      </w:tr>
      <w:tr>
        <w:tc>
          <w:tcPr>
            <w:vAlign w:val="top"/>
          </w:tcPr>
          <w:p>
            <w:pPr>
              <w:pStyle w:val="Compact"/>
              <w:jc w:val="left"/>
            </w:pPr>
            <w:r>
              <w:t xml:space="preserve">RLS scores</w:t>
            </w:r>
          </w:p>
        </w:tc>
        <w:tc>
          <w:tcPr>
            <w:vAlign w:val="top"/>
          </w:tcPr>
          <w:p>
            <w:pPr>
              <w:pStyle w:val="Compact"/>
              <w:jc w:val="left"/>
            </w:pPr>
            <w:r>
              <w:t xml:space="preserve">Optional</w:t>
            </w:r>
          </w:p>
        </w:tc>
        <w:tc>
          <w:tcPr>
            <w:vAlign w:val="top"/>
          </w:tcPr>
          <w:p>
            <w:pPr>
              <w:pStyle w:val="Compact"/>
              <w:jc w:val="left"/>
            </w:pPr>
            <w:r>
              <w:t xml:space="preserve">REQUIRED</w:t>
            </w:r>
          </w:p>
        </w:tc>
        <w:tc>
          <w:tcPr>
            <w:vAlign w:val="top"/>
          </w:tcPr>
          <w:p>
            <w:pPr>
              <w:pStyle w:val="Compact"/>
              <w:jc w:val="left"/>
            </w:pPr>
            <w:r>
              <w:t xml:space="preserve">REQUIRED</w:t>
            </w:r>
          </w:p>
        </w:tc>
      </w:tr>
      <w:tr>
        <w:tc>
          <w:tcPr>
            <w:shd w:val="clear" w:color="auto" w:fill="F7FBFE"/>
            <w:vAlign w:val="top"/>
          </w:tcPr>
          <w:p>
            <w:pPr>
              <w:pStyle w:val="Compact"/>
              <w:jc w:val="left"/>
            </w:pPr>
            <w:r>
              <w:t xml:space="preserve">Uncertainty + discrimination</w:t>
            </w:r>
          </w:p>
        </w:tc>
        <w:tc>
          <w:tcPr>
            <w:shd w:val="clear" w:color="auto" w:fill="F7FBFE"/>
            <w:vAlign w:val="top"/>
          </w:tcPr>
          <w:p>
            <w:pPr>
              <w:pStyle w:val="Compact"/>
              <w:jc w:val="left"/>
            </w:pPr>
            <w:r>
              <w:t xml:space="preserve">Optional</w:t>
            </w:r>
          </w:p>
        </w:tc>
        <w:tc>
          <w:tcPr>
            <w:shd w:val="clear" w:color="auto" w:fill="F7FBFE"/>
            <w:vAlign w:val="top"/>
          </w:tcPr>
          <w:p>
            <w:pPr>
              <w:pStyle w:val="Compact"/>
              <w:jc w:val="left"/>
            </w:pPr>
            <w:r>
              <w:t xml:space="preserve">REQUIRED (active cells)</w:t>
            </w:r>
          </w:p>
        </w:tc>
        <w:tc>
          <w:tcPr>
            <w:shd w:val="clear" w:color="auto" w:fill="F7FBFE"/>
            <w:vAlign w:val="top"/>
          </w:tcPr>
          <w:p>
            <w:pPr>
              <w:pStyle w:val="Compact"/>
              <w:jc w:val="left"/>
            </w:pPr>
            <w:r>
              <w:t xml:space="preserve">REQUIRED (active cells)</w:t>
            </w:r>
          </w:p>
        </w:tc>
      </w:tr>
      <w:tr>
        <w:tc>
          <w:tcPr>
            <w:vAlign w:val="top"/>
          </w:tcPr>
          <w:p>
            <w:pPr>
              <w:pStyle w:val="Compact"/>
              <w:jc w:val="left"/>
            </w:pPr>
            <w:r>
              <w:t xml:space="preserve">Sensitivity analysis</w:t>
            </w:r>
          </w:p>
        </w:tc>
        <w:tc>
          <w:tcPr>
            <w:vAlign w:val="top"/>
          </w:tcPr>
          <w:p>
            <w:pPr>
              <w:pStyle w:val="Compact"/>
              <w:jc w:val="left"/>
            </w:pPr>
            <w:r>
              <w:t xml:space="preserve">Optional</w:t>
            </w:r>
          </w:p>
        </w:tc>
        <w:tc>
          <w:tcPr>
            <w:vAlign w:val="top"/>
          </w:tcPr>
          <w:p>
            <w:pPr>
              <w:pStyle w:val="Compact"/>
              <w:jc w:val="left"/>
            </w:pPr>
            <w:r>
              <w:t xml:space="preserve">Recommended</w:t>
            </w:r>
          </w:p>
        </w:tc>
        <w:tc>
          <w:tcPr>
            <w:vAlign w:val="top"/>
          </w:tcPr>
          <w:p>
            <w:pPr>
              <w:pStyle w:val="Compact"/>
              <w:jc w:val="left"/>
            </w:pPr>
            <w:r>
              <w:t xml:space="preserve">REQUIRED</w:t>
            </w:r>
          </w:p>
        </w:tc>
      </w:tr>
      <w:tr>
        <w:tc>
          <w:tcPr>
            <w:shd w:val="clear" w:color="auto" w:fill="F7FBFE"/>
            <w:vAlign w:val="top"/>
          </w:tcPr>
          <w:p>
            <w:pPr>
              <w:pStyle w:val="Compact"/>
              <w:jc w:val="left"/>
            </w:pPr>
            <w:r>
              <w:t xml:space="preserve">5SPR</w:t>
            </w:r>
          </w:p>
        </w:tc>
        <w:tc>
          <w:tcPr>
            <w:shd w:val="clear" w:color="auto" w:fill="F7FBFE"/>
            <w:vAlign w:val="top"/>
          </w:tcPr>
          <w:p>
            <w:pPr>
              <w:pStyle w:val="Compact"/>
              <w:jc w:val="left"/>
            </w:pPr>
            <w:r>
              <w:t xml:space="preserve">Optional</w:t>
            </w:r>
          </w:p>
        </w:tc>
        <w:tc>
          <w:tcPr>
            <w:shd w:val="clear" w:color="auto" w:fill="F7FBFE"/>
            <w:vAlign w:val="top"/>
          </w:tcPr>
          <w:p>
            <w:pPr>
              <w:pStyle w:val="Compact"/>
              <w:jc w:val="left"/>
            </w:pPr>
            <w:r>
              <w:t xml:space="preserve">REQUIRED</w:t>
            </w:r>
          </w:p>
        </w:tc>
        <w:tc>
          <w:tcPr>
            <w:shd w:val="clear" w:color="auto" w:fill="F7FBFE"/>
            <w:vAlign w:val="top"/>
          </w:tcPr>
          <w:p>
            <w:pPr>
              <w:pStyle w:val="Compact"/>
              <w:jc w:val="left"/>
            </w:pPr>
            <w:r>
              <w:t xml:space="preserve">REQUIRED</w:t>
            </w:r>
          </w:p>
        </w:tc>
      </w:tr>
      <w:tr>
        <w:tc>
          <w:tcPr>
            <w:vAlign w:val="top"/>
          </w:tcPr>
          <w:p>
            <w:pPr>
              <w:pStyle w:val="Compact"/>
              <w:jc w:val="left"/>
            </w:pPr>
            <w:r>
              <w:t xml:space="preserve">Audit flags</w:t>
            </w:r>
          </w:p>
        </w:tc>
        <w:tc>
          <w:tcPr>
            <w:vAlign w:val="top"/>
          </w:tcPr>
          <w:p>
            <w:pPr>
              <w:pStyle w:val="Compact"/>
              <w:jc w:val="left"/>
            </w:pPr>
            <w:r>
              <w:t xml:space="preserve">Optional</w:t>
            </w:r>
          </w:p>
        </w:tc>
        <w:tc>
          <w:tcPr>
            <w:vAlign w:val="top"/>
          </w:tcPr>
          <w:p>
            <w:pPr>
              <w:pStyle w:val="Compact"/>
              <w:jc w:val="left"/>
            </w:pPr>
            <w:r>
              <w:t xml:space="preserve">REQUIRED when triggered</w:t>
            </w:r>
          </w:p>
        </w:tc>
        <w:tc>
          <w:tcPr>
            <w:vAlign w:val="top"/>
          </w:tcPr>
          <w:p>
            <w:pPr>
              <w:pStyle w:val="Compact"/>
              <w:jc w:val="left"/>
            </w:pPr>
            <w:r>
              <w:t xml:space="preserve">REQUIRED when triggered</w:t>
            </w:r>
          </w:p>
        </w:tc>
      </w:tr>
      <w:tr>
        <w:tc>
          <w:tcPr>
            <w:shd w:val="clear" w:color="auto" w:fill="F7FBFE"/>
            <w:vAlign w:val="top"/>
          </w:tcPr>
          <w:p>
            <w:pPr>
              <w:pStyle w:val="Compact"/>
              <w:jc w:val="left"/>
            </w:pPr>
            <w:r>
              <w:t xml:space="preserve">Normative Input Register</w:t>
            </w:r>
          </w:p>
        </w:tc>
        <w:tc>
          <w:tcPr>
            <w:shd w:val="clear" w:color="auto" w:fill="F7FBFE"/>
            <w:vAlign w:val="top"/>
          </w:tcPr>
          <w:p>
            <w:pPr>
              <w:pStyle w:val="Compact"/>
              <w:jc w:val="left"/>
            </w:pPr>
            <w:r>
              <w:t xml:space="preserve">Optional</w:t>
            </w:r>
          </w:p>
        </w:tc>
        <w:tc>
          <w:tcPr>
            <w:shd w:val="clear" w:color="auto" w:fill="F7FBFE"/>
            <w:vAlign w:val="top"/>
          </w:tcPr>
          <w:p>
            <w:pPr>
              <w:pStyle w:val="Compact"/>
              <w:jc w:val="left"/>
            </w:pPr>
            <w:r>
              <w:t xml:space="preserve">REQUIRED when material</w:t>
            </w:r>
          </w:p>
        </w:tc>
        <w:tc>
          <w:tcPr>
            <w:shd w:val="clear" w:color="auto" w:fill="F7FBFE"/>
            <w:vAlign w:val="top"/>
          </w:tcPr>
          <w:p>
            <w:pPr>
              <w:pStyle w:val="Compact"/>
              <w:jc w:val="left"/>
            </w:pPr>
            <w:r>
              <w:t xml:space="preserve">REQUIRED when material</w:t>
            </w:r>
          </w:p>
        </w:tc>
      </w:tr>
    </w:tbl>
    <w:bookmarkEnd w:id="428"/>
    <w:bookmarkStart w:id="429" w:name="h3-audit-flag-canon-pack-canonical"/>
    <w:p>
      <w:pPr>
        <w:pStyle w:val="Heading2"/>
      </w:pPr>
      <w:r>
        <w:rPr>
          <w:bCs/>
          <w:b/>
        </w:rPr>
        <w:t xml:space="preserve">H.3 Audit Flag Canon Pack (Canonical)</w:t>
      </w:r>
    </w:p>
    <w:p>
      <w:pPr>
        <w:pStyle w:val="FirstParagraph"/>
      </w:pPr>
      <w:r>
        <w:t xml:space="preserve">Section 14.3A and</w:t>
      </w:r>
      <w:r>
        <w:t xml:space="preserve"> </w:t>
      </w:r>
      <w:r>
        <w:rPr>
          <w:rStyle w:val="VerbatimChar"/>
        </w:rPr>
        <w:t xml:space="preserve">docs/implementation/CANONICAL_AUDIT_FLAG_REGISTRY_v1.0.yaml</w:t>
      </w:r>
      <w:r>
        <w:t xml:space="preserve"> </w:t>
      </w:r>
      <w:r>
        <w:t xml:space="preserve">jointly form the controlling canonical audit-flag registry. Appendix H.3 intentionally contains no hand-maintained duplicate table because omission or drift in a mirror can silently weaken conformance checks.</w:t>
      </w:r>
    </w:p>
    <w:p>
      <w:pPr>
        <w:pStyle w:val="BodyText"/>
      </w:pPr>
      <w:r>
        <w:t xml:space="preserve">Implementations, validators, workbooks, and companion standards MUST bind to that joint registry. A token absent from the YAML is local/informative unless the Canon explicitly assigns it controlling status; any explicit controlling assignment creates a release-blocking obligation to add the token to the YAML before publication.</w:t>
      </w:r>
    </w:p>
    <w:p>
      <w:pPr>
        <w:pStyle w:val="BodyText"/>
      </w:pPr>
      <w:r>
        <w:t xml:space="preserve">Stewardship audit tokens remain controlled by Appendix N.7. Agent-runtime event ownership and its mapping to Canon states are controlled by Section 14.3A.1. Neither surface creates a sixth gate or modifies the RG -&gt; RF/NCRC -&gt; TRC -&gt; CSV -&gt; RLS cascade.</w:t>
      </w:r>
    </w:p>
    <w:bookmarkEnd w:id="429"/>
    <w:bookmarkEnd w:id="430"/>
    <w:bookmarkStart w:id="435" w:name="X1c5c885bfd7f71930a9295d869c548c6686f099"/>
    <w:p>
      <w:pPr>
        <w:pStyle w:val="Heading1"/>
      </w:pPr>
      <w:bookmarkStart w:id="794" w:name="mg_toc_030"/>
      <w:r>
        <w:rPr>
          <w:bCs/>
          <w:b/>
        </w:rPr>
        <w:t xml:space="preserve">APPENDIX I: TIER-4 DESIGN TARGET (NOT CLAIMABLE IN THE CURRENT RELEASE)</w:t>
      </w:r>
      <w:bookmarkEnd w:id="794"/>
    </w:p>
    <w:bookmarkStart w:id="431" w:name="i1-status-declaration"/>
    <w:p>
      <w:pPr>
        <w:pStyle w:val="Heading2"/>
      </w:pPr>
      <w:r>
        <w:rPr>
          <w:bCs/>
          <w:b/>
        </w:rPr>
        <w:t xml:space="preserve">I.1 Status Declaration</w:t>
      </w:r>
    </w:p>
    <w:p>
      <w:pPr>
        <w:pStyle w:val="FirstParagraph"/>
      </w:pPr>
      <w:r>
        <w:t xml:space="preserve">Tier-4 Design Target (Not Claimable in Any Current Release Line, Including v12.6)</w:t>
      </w:r>
    </w:p>
    <w:p>
      <w:pPr>
        <w:pStyle w:val="BodyText"/>
      </w:pPr>
      <w:r>
        <w:t xml:space="preserve">Tier 4 is specified as a target profile requiring artifacts and capabilities that are not yet publicly available. Tier-4 compliance MUST NOT be claimed until ProofPack is publicly released and independently replayable.</w:t>
      </w:r>
    </w:p>
    <w:p>
      <w:pPr>
        <w:pStyle w:val="BodyText"/>
      </w:pPr>
      <w:r>
        <w:t xml:space="preserve">Reality-contact Tier-4 requirement. Any future Tier-4 claim that relies on RealityGroundingStatus MUST make that status independently re-derivable from EvidenceTrace and supporting artifacts. Operator-declared status is sufficient for Tier 2 traceability only when review status is explicitly recorded; Tier 3 must follow its declared reviewer regime; neither is sufficient for Tier 4 admissibility, ProofPack readiness, or machine-verifiable ecosystem claims.</w:t>
      </w:r>
    </w:p>
    <w:bookmarkEnd w:id="431"/>
    <w:bookmarkStart w:id="432" w:name="X23baa9879fd1a4b186e141a7856f840cfd552d7"/>
    <w:p>
      <w:pPr>
        <w:pStyle w:val="Heading2"/>
      </w:pPr>
      <w:r>
        <w:rPr>
          <w:bCs/>
          <w:b/>
        </w:rPr>
        <w:t xml:space="preserve">I.2 Tier 4 Requirements (Target Specification)</w:t>
      </w:r>
    </w:p>
    <w:p>
      <w:pPr>
        <w:pStyle w:val="FirstParagraph"/>
      </w:pPr>
      <w:r>
        <w:t xml:space="preserve">Hash-Bound Registries:</w:t>
      </w:r>
    </w:p>
    <w:p>
      <w:pPr>
        <w:numPr>
          <w:ilvl w:val="0"/>
          <w:numId w:val="1325"/>
        </w:numPr>
        <w:pStyle w:val="Compact"/>
      </w:pPr>
      <w:r>
        <w:t xml:space="preserve">Rights anchors registry (REG-RIGHTS-ANCHORS-v1)</w:t>
      </w:r>
    </w:p>
    <w:p>
      <w:pPr>
        <w:numPr>
          <w:ilvl w:val="0"/>
          <w:numId w:val="1326"/>
        </w:numPr>
        <w:pStyle w:val="Compact"/>
      </w:pPr>
      <w:r>
        <w:t xml:space="preserve">Catastrophe indicators registry (AF-BASE)</w:t>
      </w:r>
    </w:p>
    <w:p>
      <w:pPr>
        <w:numPr>
          <w:ilvl w:val="0"/>
          <w:numId w:val="1327"/>
        </w:numPr>
        <w:pStyle w:val="Compact"/>
      </w:pPr>
      <w:r>
        <w:t xml:space="preserve">Scenario library registry</w:t>
      </w:r>
    </w:p>
    <w:p>
      <w:pPr>
        <w:numPr>
          <w:ilvl w:val="0"/>
          <w:numId w:val="1328"/>
        </w:numPr>
        <w:pStyle w:val="Compact"/>
      </w:pPr>
      <w:r>
        <w:t xml:space="preserve">Kernel registry with evidence classes</w:t>
      </w:r>
    </w:p>
    <w:p>
      <w:pPr>
        <w:numPr>
          <w:ilvl w:val="0"/>
          <w:numId w:val="1329"/>
        </w:numPr>
        <w:pStyle w:val="Compact"/>
      </w:pPr>
      <w:r>
        <w:t xml:space="preserve">HDW ballots and weights registry</w:t>
      </w:r>
    </w:p>
    <w:p>
      <w:pPr>
        <w:pStyle w:val="FirstParagraph"/>
      </w:pPr>
      <w:r>
        <w:t xml:space="preserve">Deterministic Numeric Profile (NDP_FIXEDPOINT_V1):</w:t>
      </w:r>
    </w:p>
    <w:p>
      <w:pPr>
        <w:numPr>
          <w:ilvl w:val="0"/>
          <w:numId w:val="1330"/>
        </w:numPr>
        <w:pStyle w:val="Compact"/>
      </w:pPr>
      <w:r>
        <w:t xml:space="preserve">Fixed-point scale: S = 10⁹</w:t>
      </w:r>
    </w:p>
    <w:p>
      <w:pPr>
        <w:numPr>
          <w:ilvl w:val="0"/>
          <w:numId w:val="1331"/>
        </w:numPr>
        <w:pStyle w:val="Compact"/>
      </w:pPr>
      <w:r>
        <w:t xml:space="preserve">Representation: X_fp = round_half_even(x × S) as signed int64</w:t>
      </w:r>
    </w:p>
    <w:p>
      <w:pPr>
        <w:numPr>
          <w:ilvl w:val="0"/>
          <w:numId w:val="1332"/>
        </w:numPr>
        <w:pStyle w:val="Compact"/>
      </w:pPr>
      <w:r>
        <w:t xml:space="preserve">All divisions use round-half-even</w:t>
      </w:r>
    </w:p>
    <w:p>
      <w:pPr>
        <w:numPr>
          <w:ilvl w:val="0"/>
          <w:numId w:val="1333"/>
        </w:numPr>
        <w:pStyle w:val="Compact"/>
      </w:pPr>
      <w:r>
        <w:t xml:space="preserve">Hard-fail on overflow with audit_flag NUMERIC_OVERFLOW</w:t>
      </w:r>
    </w:p>
    <w:p>
      <w:pPr>
        <w:pStyle w:val="FirstParagraph"/>
      </w:pPr>
      <w:r>
        <w:t xml:space="preserve">Saturation Lookup Table (SAT_LUT_FP_V1):</w:t>
      </w:r>
    </w:p>
    <w:p>
      <w:pPr>
        <w:numPr>
          <w:ilvl w:val="0"/>
          <w:numId w:val="1334"/>
        </w:numPr>
        <w:pStyle w:val="Compact"/>
      </w:pPr>
      <w:r>
        <w:t xml:space="preserve">Pre-computed tanh values for fixed-point inputs</w:t>
      </w:r>
    </w:p>
    <w:p>
      <w:pPr>
        <w:numPr>
          <w:ilvl w:val="0"/>
          <w:numId w:val="1335"/>
        </w:numPr>
        <w:pStyle w:val="Compact"/>
      </w:pPr>
      <w:r>
        <w:t xml:space="preserve">Hash-bound in ProofPack</w:t>
      </w:r>
    </w:p>
    <w:p>
      <w:pPr>
        <w:numPr>
          <w:ilvl w:val="0"/>
          <w:numId w:val="1336"/>
        </w:numPr>
        <w:pStyle w:val="Compact"/>
      </w:pPr>
      <w:r>
        <w:t xml:space="preserve">Runtime computation of tanh PROHIBITED</w:t>
      </w:r>
    </w:p>
    <w:p>
      <w:pPr>
        <w:pStyle w:val="FirstParagraph"/>
      </w:pPr>
      <w:r>
        <w:t xml:space="preserve">Temporal Weight Registry (REG_TEMPORAL_WEIGHTS_V1):</w:t>
      </w:r>
    </w:p>
    <w:p>
      <w:pPr>
        <w:numPr>
          <w:ilvl w:val="0"/>
          <w:numId w:val="1337"/>
        </w:numPr>
        <w:pStyle w:val="Compact"/>
      </w:pPr>
      <w:r>
        <w:t xml:space="preserve">Pre-computed τ(t) values for standard horizons</w:t>
      </w:r>
    </w:p>
    <w:p>
      <w:pPr>
        <w:numPr>
          <w:ilvl w:val="0"/>
          <w:numId w:val="1338"/>
        </w:numPr>
        <w:pStyle w:val="Compact"/>
      </w:pPr>
      <w:r>
        <w:t xml:space="preserve">Hash-bound in ProofPack</w:t>
      </w:r>
    </w:p>
    <w:p>
      <w:pPr>
        <w:numPr>
          <w:ilvl w:val="0"/>
          <w:numId w:val="1339"/>
        </w:numPr>
        <w:pStyle w:val="Compact"/>
      </w:pPr>
      <w:r>
        <w:t xml:space="preserve">Runtime computation of logarithms PROHIBITED</w:t>
      </w:r>
    </w:p>
    <w:p>
      <w:pPr>
        <w:pStyle w:val="FirstParagraph"/>
      </w:pPr>
      <w:r>
        <w:t xml:space="preserve">Canonical JSON Profile:</w:t>
      </w:r>
    </w:p>
    <w:p>
      <w:pPr>
        <w:numPr>
          <w:ilvl w:val="0"/>
          <w:numId w:val="1340"/>
        </w:numPr>
        <w:pStyle w:val="Compact"/>
      </w:pPr>
      <w:r>
        <w:t xml:space="preserve">NO_FLOATS rule: All numeric values as exact rationals {num, den}</w:t>
      </w:r>
    </w:p>
    <w:p>
      <w:pPr>
        <w:numPr>
          <w:ilvl w:val="0"/>
          <w:numId w:val="1341"/>
        </w:numPr>
        <w:pStyle w:val="Compact"/>
      </w:pPr>
      <w:r>
        <w:t xml:space="preserve">Deterministic key ordering</w:t>
      </w:r>
    </w:p>
    <w:p>
      <w:pPr>
        <w:numPr>
          <w:ilvl w:val="0"/>
          <w:numId w:val="1342"/>
        </w:numPr>
        <w:pStyle w:val="Compact"/>
      </w:pPr>
      <w:r>
        <w:t xml:space="preserve">Canonical whitespace rules</w:t>
      </w:r>
    </w:p>
    <w:p>
      <w:pPr>
        <w:numPr>
          <w:ilvl w:val="0"/>
          <w:numId w:val="1343"/>
        </w:numPr>
        <w:pStyle w:val="Compact"/>
      </w:pPr>
      <w:r>
        <w:t xml:space="preserve">SHA-256 hashing for integrity</w:t>
      </w:r>
    </w:p>
    <w:p>
      <w:pPr>
        <w:pStyle w:val="FirstParagraph"/>
      </w:pPr>
      <w:r>
        <w:t xml:space="preserve">Propagation Mode Restriction:</w:t>
      </w:r>
    </w:p>
    <w:p>
      <w:pPr>
        <w:numPr>
          <w:ilvl w:val="0"/>
          <w:numId w:val="1344"/>
        </w:numPr>
        <w:pStyle w:val="Compact"/>
      </w:pPr>
      <w:r>
        <w:t xml:space="preserve">FULL propagation PROHIBITED for Tier 4 Pilot-Executable</w:t>
      </w:r>
    </w:p>
    <w:p>
      <w:pPr>
        <w:numPr>
          <w:ilvl w:val="0"/>
          <w:numId w:val="1345"/>
        </w:numPr>
        <w:pStyle w:val="Compact"/>
      </w:pPr>
      <w:r>
        <w:t xml:space="preserve">NONE or QUICK only</w:t>
      </w:r>
    </w:p>
    <w:p>
      <w:pPr>
        <w:numPr>
          <w:ilvl w:val="0"/>
          <w:numId w:val="1346"/>
        </w:numPr>
        <w:pStyle w:val="Compact"/>
      </w:pPr>
      <w:r>
        <w:t xml:space="preserve">FULL available only in future Tier 4 Certified profile</w:t>
      </w:r>
    </w:p>
    <w:bookmarkEnd w:id="432"/>
    <w:bookmarkStart w:id="433" w:name="i3-proofpack-contents-target"/>
    <w:p>
      <w:pPr>
        <w:pStyle w:val="Heading2"/>
      </w:pPr>
      <w:r>
        <w:rPr>
          <w:bCs/>
          <w:b/>
        </w:rPr>
        <w:t xml:space="preserve">I.3 ProofPack Contents (Target)</w:t>
      </w:r>
    </w:p>
    <w:p>
      <w:pPr>
        <w:pStyle w:val="FirstParagraph"/>
      </w:pPr>
      <w:r>
        <w:t xml:space="preserve">The ProofPack artifact bundle will provide:</w:t>
      </w:r>
    </w:p>
    <w:p>
      <w:pPr>
        <w:numPr>
          <w:ilvl w:val="0"/>
          <w:numId w:val="1347"/>
        </w:numPr>
        <w:pStyle w:val="Compact"/>
      </w:pPr>
      <w:r>
        <w:t xml:space="preserve">Schemas: JSON schemas for PCC and all registries</w:t>
      </w:r>
    </w:p>
    <w:p>
      <w:pPr>
        <w:numPr>
          <w:ilvl w:val="0"/>
          <w:numId w:val="1348"/>
        </w:numPr>
        <w:pStyle w:val="Compact"/>
      </w:pPr>
      <w:r>
        <w:t xml:space="preserve">Manifests: Hash indices for all artifacts</w:t>
      </w:r>
    </w:p>
    <w:p>
      <w:pPr>
        <w:numPr>
          <w:ilvl w:val="0"/>
          <w:numId w:val="1349"/>
        </w:numPr>
        <w:pStyle w:val="Compact"/>
      </w:pPr>
      <w:r>
        <w:t xml:space="preserve">Canonicalization Rules: Exact specification for deterministic hashing</w:t>
      </w:r>
    </w:p>
    <w:p>
      <w:pPr>
        <w:numPr>
          <w:ilvl w:val="0"/>
          <w:numId w:val="1350"/>
        </w:numPr>
        <w:pStyle w:val="Compact"/>
      </w:pPr>
      <w:r>
        <w:t xml:space="preserve">Registries: Machine-readable canonical registries</w:t>
      </w:r>
    </w:p>
    <w:p>
      <w:pPr>
        <w:numPr>
          <w:ilvl w:val="0"/>
          <w:numId w:val="1351"/>
        </w:numPr>
        <w:pStyle w:val="Compact"/>
      </w:pPr>
      <w:r>
        <w:t xml:space="preserve">Test Vectors: Reference inputs and expected outputs for validation</w:t>
      </w:r>
    </w:p>
    <w:bookmarkEnd w:id="433"/>
    <w:bookmarkStart w:id="434" w:name="i4-replay-test-requirement"/>
    <w:p>
      <w:pPr>
        <w:pStyle w:val="Heading2"/>
      </w:pPr>
      <w:r>
        <w:rPr>
          <w:bCs/>
          <w:b/>
        </w:rPr>
        <w:t xml:space="preserve">I.4 Replay Test Requirement</w:t>
      </w:r>
    </w:p>
    <w:p>
      <w:pPr>
        <w:pStyle w:val="FirstParagraph"/>
      </w:pPr>
      <w:r>
        <w:t xml:space="preserve">A Tier 4 PCC MUST pass a replay test: independent re-execution using PCC inputs and referenced registries reproduces:</w:t>
      </w:r>
    </w:p>
    <w:p>
      <w:pPr>
        <w:numPr>
          <w:ilvl w:val="0"/>
          <w:numId w:val="1352"/>
        </w:numPr>
        <w:pStyle w:val="Compact"/>
      </w:pPr>
      <w:r>
        <w:t xml:space="preserve">Identical admissibility outcomes (NCRC, TRC, CSV)</w:t>
      </w:r>
    </w:p>
    <w:p>
      <w:pPr>
        <w:numPr>
          <w:ilvl w:val="0"/>
          <w:numId w:val="1353"/>
        </w:numPr>
        <w:pStyle w:val="Compact"/>
      </w:pPr>
      <w:r>
        <w:t xml:space="preserve">Identical RLS ranking</w:t>
      </w:r>
    </w:p>
    <w:p>
      <w:pPr>
        <w:numPr>
          <w:ilvl w:val="0"/>
          <w:numId w:val="1354"/>
        </w:numPr>
        <w:pStyle w:val="Compact"/>
      </w:pPr>
      <w:r>
        <w:t xml:space="preserve">Identical selected option</w:t>
      </w:r>
    </w:p>
    <w:p>
      <w:pPr>
        <w:pStyle w:val="FirstParagraph"/>
      </w:pPr>
      <w:r>
        <w:t xml:space="preserve">Failed replay invalidates the Tier 4 claim.</w:t>
      </w:r>
    </w:p>
    <w:p>
      <w:pPr>
        <w:pStyle w:val="BodyText"/>
      </w:pPr>
      <w:r>
        <w:t xml:space="preserve">End Appendix I.</w:t>
      </w:r>
    </w:p>
    <w:bookmarkEnd w:id="434"/>
    <w:bookmarkEnd w:id="435"/>
    <w:bookmarkStart w:id="441" w:name="appendix-j-validation-protocol-pack"/>
    <w:p>
      <w:pPr>
        <w:pStyle w:val="Heading1"/>
      </w:pPr>
      <w:bookmarkStart w:id="795" w:name="mg_toc_031"/>
      <w:r>
        <w:rPr>
          <w:bCs/>
          <w:b/>
        </w:rPr>
        <w:t xml:space="preserve">APPENDIX J: VALIDATION PROTOCOL PACK</w:t>
      </w:r>
      <w:bookmarkEnd w:id="795"/>
    </w:p>
    <w:p>
      <w:pPr>
        <w:pStyle w:val="FirstParagraph"/>
      </w:pPr>
      <w:r>
        <w:t xml:space="preserve">Appendix J is normative for pre-registration templates and scoring definitions when validation claims are made.</w:t>
      </w:r>
    </w:p>
    <w:bookmarkStart w:id="436" w:name="j1-pre-registration-template-normative"/>
    <w:p>
      <w:pPr>
        <w:pStyle w:val="Heading2"/>
      </w:pPr>
      <w:r>
        <w:rPr>
          <w:bCs/>
          <w:b/>
        </w:rPr>
        <w:t xml:space="preserve">J.1 Pre-Registration Template (Normative)</w:t>
      </w:r>
    </w:p>
    <w:p>
      <w:pPr>
        <w:pStyle w:val="FirstParagraph"/>
      </w:pPr>
      <w:r>
        <w:t xml:space="preserve">===============================================================</w:t>
      </w:r>
    </w:p>
    <w:p>
      <w:pPr>
        <w:pStyle w:val="BodyText"/>
      </w:pPr>
      <w:r>
        <w:t xml:space="preserve">RIPPLELOGIC VALIDATION STUDY PRE-REGISTRATION</w:t>
      </w:r>
    </w:p>
    <w:p>
      <w:pPr>
        <w:pStyle w:val="BodyText"/>
      </w:pPr>
      <w:r>
        <w:t xml:space="preserve">===============================================================</w:t>
      </w:r>
    </w:p>
    <w:p>
      <w:pPr>
        <w:pStyle w:val="BodyText"/>
      </w:pPr>
      <w:r>
        <w:t xml:space="preserve">STUDY IDENTIFICATION</w:t>
      </w:r>
    </w:p>
    <w:p>
      <w:pPr>
        <w:pStyle w:val="BodyText"/>
      </w:pPr>
      <w:r>
        <w:t xml:space="preserve">Study ID: [unique]</w:t>
      </w:r>
    </w:p>
    <w:p>
      <w:pPr>
        <w:pStyle w:val="BodyText"/>
      </w:pPr>
      <w:r>
        <w:t xml:space="preserve">Registration date: [YYYY-MM-DD]</w:t>
      </w:r>
    </w:p>
    <w:p>
      <w:pPr>
        <w:pStyle w:val="BodyText"/>
      </w:pPr>
      <w:r>
        <w:t xml:space="preserve">Principal investigator: [name, affiliation]</w:t>
      </w:r>
    </w:p>
    <w:p>
      <w:pPr>
        <w:pStyle w:val="BodyText"/>
      </w:pPr>
      <w:r>
        <w:t xml:space="preserve">Funding source: [if any]</w:t>
      </w:r>
    </w:p>
    <w:p>
      <w:pPr>
        <w:pStyle w:val="BodyText"/>
      </w:pPr>
      <w:r>
        <w:t xml:space="preserve">RippleLogic version: [v12.6]</w:t>
      </w:r>
    </w:p>
    <w:p>
      <w:pPr>
        <w:pStyle w:val="BodyText"/>
      </w:pPr>
      <w:r>
        <w:t xml:space="preserve">Tier executed: [1|2|3]</w:t>
      </w:r>
    </w:p>
    <w:p>
      <w:pPr>
        <w:pStyle w:val="BodyText"/>
      </w:pPr>
      <w:r>
        <w:t xml:space="preserve">Domain: [AI deployment | policy | org strategy | etc.]</w:t>
      </w:r>
    </w:p>
    <w:p>
      <w:pPr>
        <w:pStyle w:val="BodyText"/>
      </w:pPr>
      <w:r>
        <w:t xml:space="preserve">HYPOTHESES</w:t>
      </w:r>
    </w:p>
    <w:p>
      <w:pPr>
        <w:pStyle w:val="BodyText"/>
      </w:pPr>
      <w:r>
        <w:t xml:space="preserve">Primary hypothesis: [H1/H2/etc. with exact measurable claim]</w:t>
      </w:r>
    </w:p>
    <w:p>
      <w:pPr>
        <w:pStyle w:val="BodyText"/>
      </w:pPr>
      <w:r>
        <w:t xml:space="preserve">Secondary hypotheses: [list]</w:t>
      </w:r>
    </w:p>
    <w:p>
      <w:pPr>
        <w:pStyle w:val="BodyText"/>
      </w:pPr>
      <w:r>
        <w:t xml:space="preserve">Falsification criteria: [explicit thresholds from Section 17]</w:t>
      </w:r>
    </w:p>
    <w:p>
      <w:pPr>
        <w:pStyle w:val="BodyText"/>
      </w:pPr>
      <w:r>
        <w:t xml:space="preserve">METHODS</w:t>
      </w:r>
    </w:p>
    <w:p>
      <w:pPr>
        <w:pStyle w:val="BodyText"/>
      </w:pPr>
      <w:r>
        <w:t xml:space="preserve">Design: [pilot / RCT / quasi-experimental / backtest]</w:t>
      </w:r>
    </w:p>
    <w:p>
      <w:pPr>
        <w:pStyle w:val="BodyText"/>
      </w:pPr>
      <w:r>
        <w:t xml:space="preserve">Sample: [population, size, selection method]</w:t>
      </w:r>
    </w:p>
    <w:p>
      <w:pPr>
        <w:pStyle w:val="BodyText"/>
      </w:pPr>
      <w:r>
        <w:t xml:space="preserve">Comparator: [baseline governance / alternative framework]</w:t>
      </w:r>
    </w:p>
    <w:p>
      <w:pPr>
        <w:pStyle w:val="BodyText"/>
      </w:pPr>
      <w:r>
        <w:t xml:space="preserve">Duration: [time]</w:t>
      </w:r>
    </w:p>
    <w:p>
      <w:pPr>
        <w:pStyle w:val="BodyText"/>
      </w:pPr>
      <w:r>
        <w:t xml:space="preserve">Decision types included: [list]</w:t>
      </w:r>
    </w:p>
    <w:p>
      <w:pPr>
        <w:pStyle w:val="BodyText"/>
      </w:pPr>
      <w:r>
        <w:t xml:space="preserve">Exclusion criteria: [list]</w:t>
      </w:r>
    </w:p>
    <w:p>
      <w:pPr>
        <w:pStyle w:val="BodyText"/>
      </w:pPr>
      <w:r>
        <w:t xml:space="preserve">MEASURES</w:t>
      </w:r>
    </w:p>
    <w:p>
      <w:pPr>
        <w:pStyle w:val="BodyText"/>
      </w:pPr>
      <w:r>
        <w:t xml:space="preserve">Primary outcomes: [definition, data source, timing]</w:t>
      </w:r>
    </w:p>
    <w:p>
      <w:pPr>
        <w:pStyle w:val="BodyText"/>
      </w:pPr>
      <w:r>
        <w:t xml:space="preserve">Secondary outcomes: [definition, data source, timing]</w:t>
      </w:r>
    </w:p>
    <w:p>
      <w:pPr>
        <w:pStyle w:val="BodyText"/>
      </w:pPr>
      <w:r>
        <w:t xml:space="preserve">Rights measurement: [how rights violations are verified]</w:t>
      </w:r>
    </w:p>
    <w:p>
      <w:pPr>
        <w:pStyle w:val="BodyText"/>
      </w:pPr>
      <w:r>
        <w:t xml:space="preserve">Tail-loss measurement: [how catastrophic outcomes are defined]</w:t>
      </w:r>
    </w:p>
    <w:p>
      <w:pPr>
        <w:pStyle w:val="BodyText"/>
      </w:pPr>
      <w:r>
        <w:t xml:space="preserve">ANALYSIS PLAN</w:t>
      </w:r>
    </w:p>
    <w:p>
      <w:pPr>
        <w:pStyle w:val="BodyText"/>
      </w:pPr>
      <w:r>
        <w:t xml:space="preserve">Statistical methods: [tests/models]</w:t>
      </w:r>
    </w:p>
    <w:p>
      <w:pPr>
        <w:pStyle w:val="BodyText"/>
      </w:pPr>
      <w:r>
        <w:t xml:space="preserve">Effect size thresholds: [minimum meaningful difference]</w:t>
      </w:r>
    </w:p>
    <w:p>
      <w:pPr>
        <w:pStyle w:val="BodyText"/>
      </w:pPr>
      <w:r>
        <w:t xml:space="preserve">Multiple comparison correction: [method]</w:t>
      </w:r>
    </w:p>
    <w:p>
      <w:pPr>
        <w:pStyle w:val="BodyText"/>
      </w:pPr>
      <w:r>
        <w:t xml:space="preserve">Missing data handling: [approach]</w:t>
      </w:r>
    </w:p>
    <w:p>
      <w:pPr>
        <w:pStyle w:val="BodyText"/>
      </w:pPr>
      <w:r>
        <w:t xml:space="preserve">Sensitivity checks: [weights, scenarios, thresholds]</w:t>
      </w:r>
    </w:p>
    <w:p>
      <w:pPr>
        <w:pStyle w:val="BodyText"/>
      </w:pPr>
      <w:r>
        <w:t xml:space="preserve">GOVERNANCE</w:t>
      </w:r>
    </w:p>
    <w:p>
      <w:pPr>
        <w:pStyle w:val="BodyText"/>
      </w:pPr>
      <w:r>
        <w:t xml:space="preserve">Ethics approval: [status/ID]</w:t>
      </w:r>
    </w:p>
    <w:p>
      <w:pPr>
        <w:pStyle w:val="BodyText"/>
      </w:pPr>
      <w:r>
        <w:t xml:space="preserve">Data management: [storage, access, retention]</w:t>
      </w:r>
    </w:p>
    <w:p>
      <w:pPr>
        <w:pStyle w:val="BodyText"/>
      </w:pPr>
      <w:r>
        <w:t xml:space="preserve">Reporting commitment: [timeline and venue]</w:t>
      </w:r>
    </w:p>
    <w:p>
      <w:pPr>
        <w:pStyle w:val="BodyText"/>
      </w:pPr>
      <w:r>
        <w:t xml:space="preserve">===============================================================</w:t>
      </w:r>
    </w:p>
    <w:bookmarkEnd w:id="436"/>
    <w:bookmarkStart w:id="437" w:name="X582b79049af6d35017770064ecfdd9fd8f93fe2"/>
    <w:p>
      <w:pPr>
        <w:pStyle w:val="Heading2"/>
      </w:pPr>
      <w:r>
        <w:rPr>
          <w:bCs/>
          <w:b/>
        </w:rPr>
        <w:t xml:space="preserve">J.2 Outcome Measures by Union and Dimension (Canonical Examples)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Union</w:t>
            </w:r>
          </w:p>
        </w:tc>
        <w:tc>
          <w:tcPr>
            <w:shd w:val="clear" w:color="auto" w:fill="D9EAF7"/>
            <w:vAlign w:val="center"/>
          </w:tcPr>
          <w:p>
            <w:pPr>
              <w:pStyle w:val="Compact"/>
              <w:jc w:val="left"/>
            </w:pPr>
            <w:r>
              <w:rPr>
                <w:bCs/>
                <w:b/>
                <w:color w:val="17365D"/>
              </w:rPr>
              <w:t xml:space="preserve">Dimension</w:t>
            </w:r>
          </w:p>
        </w:tc>
        <w:tc>
          <w:tcPr>
            <w:shd w:val="clear" w:color="auto" w:fill="D9EAF7"/>
            <w:vAlign w:val="center"/>
          </w:tcPr>
          <w:p>
            <w:pPr>
              <w:pStyle w:val="Compact"/>
              <w:jc w:val="left"/>
            </w:pPr>
            <w:r>
              <w:rPr>
                <w:bCs/>
                <w:b/>
                <w:color w:val="17365D"/>
              </w:rPr>
              <w:t xml:space="preserve">Measure Type</w:t>
            </w:r>
          </w:p>
        </w:tc>
        <w:tc>
          <w:tcPr>
            <w:shd w:val="clear" w:color="auto" w:fill="D9EAF7"/>
            <w:vAlign w:val="center"/>
          </w:tcPr>
          <w:p>
            <w:pPr>
              <w:pStyle w:val="Compact"/>
              <w:jc w:val="left"/>
            </w:pPr>
            <w:r>
              <w:rPr>
                <w:bCs/>
                <w:b/>
                <w:color w:val="17365D"/>
              </w:rPr>
              <w:t xml:space="preserve">Example Indicators</w:t>
            </w:r>
          </w:p>
        </w:tc>
      </w:tr>
      <w:tr>
        <w:tc>
          <w:tcPr>
            <w:vAlign w:val="top"/>
          </w:tcPr>
          <w:p>
            <w:pPr>
              <w:pStyle w:val="Compact"/>
              <w:jc w:val="left"/>
            </w:pPr>
            <w:r>
              <w:t xml:space="preserve">Self</w:t>
            </w:r>
          </w:p>
        </w:tc>
        <w:tc>
          <w:tcPr>
            <w:vAlign w:val="top"/>
          </w:tcPr>
          <w:p>
            <w:pPr>
              <w:pStyle w:val="Compact"/>
              <w:jc w:val="left"/>
            </w:pPr>
            <w:r>
              <w:t xml:space="preserve">Health</w:t>
            </w:r>
          </w:p>
        </w:tc>
        <w:tc>
          <w:tcPr>
            <w:vAlign w:val="top"/>
          </w:tcPr>
          <w:p>
            <w:pPr>
              <w:pStyle w:val="Compact"/>
              <w:jc w:val="left"/>
            </w:pPr>
            <w:r>
              <w:t xml:space="preserve">Validated survey / admin</w:t>
            </w:r>
          </w:p>
        </w:tc>
        <w:tc>
          <w:tcPr>
            <w:vAlign w:val="top"/>
          </w:tcPr>
          <w:p>
            <w:pPr>
              <w:pStyle w:val="Compact"/>
              <w:jc w:val="left"/>
            </w:pPr>
            <w:r>
              <w:t xml:space="preserve">SF-36, PHQ-9, GAD-7, injury rates</w:t>
            </w:r>
          </w:p>
        </w:tc>
      </w:tr>
      <w:tr>
        <w:tc>
          <w:tcPr>
            <w:shd w:val="clear" w:color="auto" w:fill="F7FBFE"/>
            <w:vAlign w:val="top"/>
          </w:tcPr>
          <w:p>
            <w:pPr>
              <w:pStyle w:val="Compact"/>
              <w:jc w:val="left"/>
            </w:pPr>
            <w:r>
              <w:t xml:space="preserve">Self</w:t>
            </w:r>
          </w:p>
        </w:tc>
        <w:tc>
          <w:tcPr>
            <w:shd w:val="clear" w:color="auto" w:fill="F7FBFE"/>
            <w:vAlign w:val="top"/>
          </w:tcPr>
          <w:p>
            <w:pPr>
              <w:pStyle w:val="Compact"/>
              <w:jc w:val="left"/>
            </w:pPr>
            <w:r>
              <w:t xml:space="preserve">Agency</w:t>
            </w:r>
          </w:p>
        </w:tc>
        <w:tc>
          <w:tcPr>
            <w:shd w:val="clear" w:color="auto" w:fill="F7FBFE"/>
            <w:vAlign w:val="top"/>
          </w:tcPr>
          <w:p>
            <w:pPr>
              <w:pStyle w:val="Compact"/>
              <w:jc w:val="left"/>
            </w:pPr>
            <w:r>
              <w:t xml:space="preserve">Validated survey</w:t>
            </w:r>
          </w:p>
        </w:tc>
        <w:tc>
          <w:tcPr>
            <w:shd w:val="clear" w:color="auto" w:fill="F7FBFE"/>
            <w:vAlign w:val="top"/>
          </w:tcPr>
          <w:p>
            <w:pPr>
              <w:pStyle w:val="Compact"/>
              <w:jc w:val="left"/>
            </w:pPr>
            <w:r>
              <w:t xml:space="preserve">Autonomy/self-efficacy scales</w:t>
            </w:r>
          </w:p>
        </w:tc>
      </w:tr>
      <w:tr>
        <w:tc>
          <w:tcPr>
            <w:vAlign w:val="top"/>
          </w:tcPr>
          <w:p>
            <w:pPr>
              <w:pStyle w:val="Compact"/>
              <w:jc w:val="left"/>
            </w:pPr>
            <w:r>
              <w:t xml:space="preserve">Household</w:t>
            </w:r>
          </w:p>
        </w:tc>
        <w:tc>
          <w:tcPr>
            <w:vAlign w:val="top"/>
          </w:tcPr>
          <w:p>
            <w:pPr>
              <w:pStyle w:val="Compact"/>
              <w:jc w:val="left"/>
            </w:pPr>
            <w:r>
              <w:t xml:space="preserve">Material</w:t>
            </w:r>
          </w:p>
        </w:tc>
        <w:tc>
          <w:tcPr>
            <w:vAlign w:val="top"/>
          </w:tcPr>
          <w:p>
            <w:pPr>
              <w:pStyle w:val="Compact"/>
              <w:jc w:val="left"/>
            </w:pPr>
            <w:r>
              <w:t xml:space="preserve">Administrative</w:t>
            </w:r>
          </w:p>
        </w:tc>
        <w:tc>
          <w:tcPr>
            <w:vAlign w:val="top"/>
          </w:tcPr>
          <w:p>
            <w:pPr>
              <w:pStyle w:val="Compact"/>
              <w:jc w:val="left"/>
            </w:pPr>
            <w:r>
              <w:t xml:space="preserve">Income stability, housing security</w:t>
            </w:r>
          </w:p>
        </w:tc>
      </w:tr>
      <w:tr>
        <w:tc>
          <w:tcPr>
            <w:shd w:val="clear" w:color="auto" w:fill="F7FBFE"/>
            <w:vAlign w:val="top"/>
          </w:tcPr>
          <w:p>
            <w:pPr>
              <w:pStyle w:val="Compact"/>
              <w:jc w:val="left"/>
            </w:pPr>
            <w:r>
              <w:t xml:space="preserve">Community</w:t>
            </w:r>
          </w:p>
        </w:tc>
        <w:tc>
          <w:tcPr>
            <w:shd w:val="clear" w:color="auto" w:fill="F7FBFE"/>
            <w:vAlign w:val="top"/>
          </w:tcPr>
          <w:p>
            <w:pPr>
              <w:pStyle w:val="Compact"/>
              <w:jc w:val="left"/>
            </w:pPr>
            <w:r>
              <w:t xml:space="preserve">Social</w:t>
            </w:r>
          </w:p>
        </w:tc>
        <w:tc>
          <w:tcPr>
            <w:shd w:val="clear" w:color="auto" w:fill="F7FBFE"/>
            <w:vAlign w:val="top"/>
          </w:tcPr>
          <w:p>
            <w:pPr>
              <w:pStyle w:val="Compact"/>
              <w:jc w:val="left"/>
            </w:pPr>
            <w:r>
              <w:t xml:space="preserve">Survey / network</w:t>
            </w:r>
          </w:p>
        </w:tc>
        <w:tc>
          <w:tcPr>
            <w:shd w:val="clear" w:color="auto" w:fill="F7FBFE"/>
            <w:vAlign w:val="top"/>
          </w:tcPr>
          <w:p>
            <w:pPr>
              <w:pStyle w:val="Compact"/>
              <w:jc w:val="left"/>
            </w:pPr>
            <w:r>
              <w:t xml:space="preserve">Trust indices, social capital measures</w:t>
            </w:r>
          </w:p>
        </w:tc>
      </w:tr>
      <w:tr>
        <w:tc>
          <w:tcPr>
            <w:vAlign w:val="top"/>
          </w:tcPr>
          <w:p>
            <w:pPr>
              <w:pStyle w:val="Compact"/>
              <w:jc w:val="left"/>
            </w:pPr>
            <w:r>
              <w:t xml:space="preserve">Organization</w:t>
            </w:r>
          </w:p>
        </w:tc>
        <w:tc>
          <w:tcPr>
            <w:vAlign w:val="top"/>
          </w:tcPr>
          <w:p>
            <w:pPr>
              <w:pStyle w:val="Compact"/>
              <w:jc w:val="left"/>
            </w:pPr>
            <w:r>
              <w:t xml:space="preserve">Flow/Resilience (UCI)</w:t>
            </w:r>
          </w:p>
        </w:tc>
        <w:tc>
          <w:tcPr>
            <w:vAlign w:val="top"/>
          </w:tcPr>
          <w:p>
            <w:pPr>
              <w:pStyle w:val="Compact"/>
              <w:jc w:val="left"/>
            </w:pPr>
            <w:r>
              <w:t xml:space="preserve">Operational</w:t>
            </w:r>
          </w:p>
        </w:tc>
        <w:tc>
          <w:tcPr>
            <w:vAlign w:val="top"/>
          </w:tcPr>
          <w:p>
            <w:pPr>
              <w:pStyle w:val="Compact"/>
              <w:jc w:val="left"/>
            </w:pPr>
            <w:r>
              <w:t xml:space="preserve">Throughput, incident recovery time</w:t>
            </w:r>
          </w:p>
        </w:tc>
      </w:tr>
      <w:tr>
        <w:tc>
          <w:tcPr>
            <w:shd w:val="clear" w:color="auto" w:fill="F7FBFE"/>
            <w:vAlign w:val="top"/>
          </w:tcPr>
          <w:p>
            <w:pPr>
              <w:pStyle w:val="Compact"/>
              <w:jc w:val="left"/>
            </w:pPr>
            <w:r>
              <w:t xml:space="preserve">Polity</w:t>
            </w:r>
          </w:p>
        </w:tc>
        <w:tc>
          <w:tcPr>
            <w:shd w:val="clear" w:color="auto" w:fill="F7FBFE"/>
            <w:vAlign w:val="top"/>
          </w:tcPr>
          <w:p>
            <w:pPr>
              <w:pStyle w:val="Compact"/>
              <w:jc w:val="left"/>
            </w:pPr>
            <w:r>
              <w:t xml:space="preserve">Agency</w:t>
            </w:r>
          </w:p>
        </w:tc>
        <w:tc>
          <w:tcPr>
            <w:shd w:val="clear" w:color="auto" w:fill="F7FBFE"/>
            <w:vAlign w:val="top"/>
          </w:tcPr>
          <w:p>
            <w:pPr>
              <w:pStyle w:val="Compact"/>
              <w:jc w:val="left"/>
            </w:pPr>
            <w:r>
              <w:t xml:space="preserve">Index</w:t>
            </w:r>
          </w:p>
        </w:tc>
        <w:tc>
          <w:tcPr>
            <w:shd w:val="clear" w:color="auto" w:fill="F7FBFE"/>
            <w:vAlign w:val="top"/>
          </w:tcPr>
          <w:p>
            <w:pPr>
              <w:pStyle w:val="Compact"/>
              <w:jc w:val="left"/>
            </w:pPr>
            <w:r>
              <w:t xml:space="preserve">Participation rates, rule-of-law indices</w:t>
            </w:r>
          </w:p>
        </w:tc>
      </w:tr>
      <w:tr>
        <w:tc>
          <w:tcPr>
            <w:vAlign w:val="top"/>
          </w:tcPr>
          <w:p>
            <w:pPr>
              <w:pStyle w:val="Compact"/>
              <w:jc w:val="left"/>
            </w:pPr>
            <w:r>
              <w:t xml:space="preserve">Biosphere</w:t>
            </w:r>
          </w:p>
        </w:tc>
        <w:tc>
          <w:tcPr>
            <w:vAlign w:val="top"/>
          </w:tcPr>
          <w:p>
            <w:pPr>
              <w:pStyle w:val="Compact"/>
              <w:jc w:val="left"/>
            </w:pPr>
            <w:r>
              <w:t xml:space="preserve">Environment</w:t>
            </w:r>
          </w:p>
        </w:tc>
        <w:tc>
          <w:tcPr>
            <w:vAlign w:val="top"/>
          </w:tcPr>
          <w:p>
            <w:pPr>
              <w:pStyle w:val="Compact"/>
              <w:jc w:val="left"/>
            </w:pPr>
            <w:r>
              <w:t xml:space="preserve">Monitoring</w:t>
            </w:r>
          </w:p>
        </w:tc>
        <w:tc>
          <w:tcPr>
            <w:vAlign w:val="top"/>
          </w:tcPr>
          <w:p>
            <w:pPr>
              <w:pStyle w:val="Compact"/>
              <w:jc w:val="left"/>
            </w:pPr>
            <w:r>
              <w:t xml:space="preserve">Emissions, biodiversity integrity</w:t>
            </w:r>
          </w:p>
        </w:tc>
      </w:tr>
    </w:tbl>
    <w:bookmarkEnd w:id="437"/>
    <w:bookmarkStart w:id="438" w:name="j3-sign-accuracy-scoring-normative"/>
    <w:p>
      <w:pPr>
        <w:pStyle w:val="Heading2"/>
      </w:pPr>
      <w:r>
        <w:rPr>
          <w:bCs/>
          <w:b/>
        </w:rPr>
        <w:t xml:space="preserve">J.3 Sign Accuracy Scoring (Normative)</w:t>
      </w:r>
    </w:p>
    <w:p>
      <w:pPr>
        <w:pStyle w:val="FirstParagraph"/>
      </w:pPr>
      <w:r>
        <w:t xml:space="preserve">For each evaluated cell (u,d):</w:t>
      </w:r>
    </w:p>
    <w:p>
      <w:pPr>
        <w:pStyle w:val="BodyText"/>
      </w:pPr>
      <w:r>
        <w:t xml:space="preserve">Predicted sign: sign(I_prop(u,d,a)) ∈ {-1, 0, +1}</w:t>
      </w:r>
    </w:p>
    <w:p>
      <w:pPr>
        <w:pStyle w:val="BodyText"/>
      </w:pPr>
      <w:r>
        <w:t xml:space="preserve">Observed sign: sign(Δ_observed(u,d)) ∈ {-1, 0, +1}</w:t>
      </w:r>
    </w:p>
    <w:p>
      <w:pPr>
        <w:pStyle w:val="BodyText"/>
      </w:pPr>
      <w:r>
        <w:t xml:space="preserve">Scoring:</w:t>
      </w:r>
    </w:p>
    <w:p>
      <w:pPr>
        <w:numPr>
          <w:ilvl w:val="0"/>
          <w:numId w:val="1355"/>
        </w:numPr>
        <w:pStyle w:val="Compact"/>
      </w:pPr>
      <w:r>
        <w:t xml:space="preserve">Match = 1 if predicted = observed</w:t>
      </w:r>
    </w:p>
    <w:p>
      <w:pPr>
        <w:numPr>
          <w:ilvl w:val="0"/>
          <w:numId w:val="1356"/>
        </w:numPr>
        <w:pStyle w:val="Compact"/>
      </w:pPr>
      <w:r>
        <w:t xml:space="preserve">Match = 0.5 if predicted = 0 or observed = 0</w:t>
      </w:r>
    </w:p>
    <w:p>
      <w:pPr>
        <w:numPr>
          <w:ilvl w:val="0"/>
          <w:numId w:val="1357"/>
        </w:numPr>
        <w:pStyle w:val="Compact"/>
      </w:pPr>
      <w:r>
        <w:t xml:space="preserve">Match = 0 otherwise</w:t>
      </w:r>
    </w:p>
    <w:p>
      <w:pPr>
        <w:pStyle w:val="FirstParagraph"/>
      </w:pPr>
      <w:r>
        <w:t xml:space="preserve">SignAcc = (Σ Match) / (number of evaluated cells)</w:t>
      </w:r>
    </w:p>
    <w:p>
      <w:pPr>
        <w:pStyle w:val="BodyText"/>
      </w:pPr>
      <w:r>
        <w:t xml:space="preserve">Target for calibrated deployments: SignAcc ≥ 0.70</w:t>
      </w:r>
    </w:p>
    <w:bookmarkEnd w:id="438"/>
    <w:bookmarkStart w:id="439" w:name="j4-magnitude-error-rmse-normative"/>
    <w:p>
      <w:pPr>
        <w:pStyle w:val="Heading2"/>
      </w:pPr>
      <w:r>
        <w:rPr>
          <w:bCs/>
          <w:b/>
        </w:rPr>
        <w:t xml:space="preserve">J.4 Magnitude Error (RMSE) (Normative)</w:t>
      </w:r>
    </w:p>
    <w:p>
      <w:pPr>
        <w:pStyle w:val="FirstParagraph"/>
      </w:pPr>
      <w:r>
        <w:t xml:space="preserve">RMSE = √[(1/n) Σ_i (I_prop,i − observed_i)^2]</w:t>
      </w:r>
    </w:p>
    <w:p>
      <w:pPr>
        <w:pStyle w:val="BodyText"/>
      </w:pPr>
      <w:r>
        <w:t xml:space="preserve">Default target: RMSE ≤ 0.25 (domain dependent)</w:t>
      </w:r>
    </w:p>
    <w:bookmarkEnd w:id="439"/>
    <w:bookmarkStart w:id="440" w:name="j5-backtest-procedure-normative"/>
    <w:p>
      <w:pPr>
        <w:pStyle w:val="Heading2"/>
      </w:pPr>
      <w:r>
        <w:rPr>
          <w:bCs/>
          <w:b/>
        </w:rPr>
        <w:t xml:space="preserve">J.5 Backtest Procedure (Normative)</w:t>
      </w:r>
    </w:p>
    <w:p>
      <w:pPr>
        <w:pStyle w:val="FirstParagraph"/>
      </w:pPr>
      <w:r>
        <w:t xml:space="preserve">Case selection: Identify historical decisions with measurable outcomes and reconstructable option sets.</w:t>
      </w:r>
    </w:p>
    <w:p>
      <w:pPr>
        <w:numPr>
          <w:ilvl w:val="0"/>
          <w:numId w:val="1358"/>
        </w:numPr>
        <w:pStyle w:val="Compact"/>
      </w:pPr>
      <w:r>
        <w:t xml:space="preserve">Information reconstruction: Use only data available at decision time (no hindsight leakage).</w:t>
      </w:r>
    </w:p>
    <w:p>
      <w:pPr>
        <w:numPr>
          <w:ilvl w:val="0"/>
          <w:numId w:val="1359"/>
        </w:numPr>
        <w:pStyle w:val="Compact"/>
      </w:pPr>
      <w:r>
        <w:t xml:space="preserve">Blind analysis: The analyst SHOULD be unaware of actual outcomes during the run.</w:t>
      </w:r>
    </w:p>
    <w:p>
      <w:pPr>
        <w:numPr>
          <w:ilvl w:val="0"/>
          <w:numId w:val="1360"/>
        </w:numPr>
        <w:pStyle w:val="Compact"/>
      </w:pPr>
      <w:r>
        <w:t xml:space="preserve">Execute RippleLogic run (Tier declared) and emit Backtest PCC.</w:t>
      </w:r>
    </w:p>
    <w:p>
      <w:pPr>
        <w:numPr>
          <w:ilvl w:val="0"/>
          <w:numId w:val="1361"/>
        </w:numPr>
        <w:pStyle w:val="Compact"/>
      </w:pPr>
      <w:r>
        <w:t xml:space="preserve">Compare predictions to realized outcomes using declared metrics (for example SignAcc, RMSE, rights detection).</w:t>
      </w:r>
    </w:p>
    <w:p>
      <w:pPr>
        <w:numPr>
          <w:ilvl w:val="0"/>
          <w:numId w:val="1362"/>
        </w:numPr>
        <w:pStyle w:val="Compact"/>
      </w:pPr>
      <w:r>
        <w:t xml:space="preserve">Report results and failures; update methods via NCAR with versioning.</w:t>
      </w:r>
    </w:p>
    <w:p>
      <w:pPr>
        <w:numPr>
          <w:ilvl w:val="0"/>
          <w:numId w:val="1363"/>
        </w:numPr>
        <w:pStyle w:val="Compact"/>
      </w:pPr>
      <w:r>
        <w:t xml:space="preserve">End Appendix J.</w:t>
      </w:r>
    </w:p>
    <w:p>
      <w:pPr>
        <w:pStyle w:val="FirstParagraph"/>
      </w:pPr>
      <w:r>
        <w:t xml:space="preserve">Appendix K is informative and strongly recommended for any deployment using Starter KOPS or provisional QUICK propagation.</w:t>
      </w:r>
    </w:p>
    <w:bookmarkEnd w:id="440"/>
    <w:bookmarkEnd w:id="441"/>
    <w:bookmarkStart w:id="446" w:name="X47301729e6234bfb8e88ee315581dcddded1a8c"/>
    <w:p>
      <w:pPr>
        <w:pStyle w:val="Heading1"/>
      </w:pPr>
      <w:bookmarkStart w:id="796" w:name="mg_toc_032"/>
      <w:r>
        <w:rPr>
          <w:bCs/>
          <w:b/>
        </w:rPr>
        <w:t xml:space="preserve">APPENDIX K: STARTER KERNEL COMPANION PACK (INFORMATIVE)</w:t>
      </w:r>
      <w:bookmarkEnd w:id="796"/>
    </w:p>
    <w:bookmarkStart w:id="442" w:name="k1-purpose"/>
    <w:p>
      <w:pPr>
        <w:pStyle w:val="Heading2"/>
      </w:pPr>
      <w:r>
        <w:rPr>
          <w:bCs/>
          <w:b/>
        </w:rPr>
        <w:t xml:space="preserve">K.1 Purpose</w:t>
      </w:r>
    </w:p>
    <w:p>
      <w:pPr>
        <w:pStyle w:val="FirstParagraph"/>
      </w:pPr>
      <w:r>
        <w:t xml:space="preserve">Starter KOPS provides an informative, provisional kernel surface for transparency, sensitivity testing, and early implementation support. It MUST NOT be treated as a fully validated propagation model.</w:t>
      </w:r>
    </w:p>
    <w:bookmarkEnd w:id="442"/>
    <w:bookmarkStart w:id="443" w:name="Xcd827a7cc048bfcff44e948f7580bb8d39dc603"/>
    <w:p>
      <w:pPr>
        <w:pStyle w:val="Heading2"/>
      </w:pPr>
      <w:r>
        <w:rPr>
          <w:bCs/>
          <w:b/>
        </w:rPr>
        <w:t xml:space="preserve">K.2 Evidence Class Summary Table K.1: Evidence Class Summary</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Class</w:t>
            </w:r>
          </w:p>
        </w:tc>
        <w:tc>
          <w:tcPr>
            <w:shd w:val="clear" w:color="auto" w:fill="D9EAF7"/>
            <w:vAlign w:val="center"/>
          </w:tcPr>
          <w:p>
            <w:pPr>
              <w:pStyle w:val="Compact"/>
              <w:jc w:val="left"/>
            </w:pPr>
            <w:r>
              <w:rPr>
                <w:bCs/>
                <w:b/>
                <w:color w:val="17365D"/>
              </w:rPr>
              <w:t xml:space="preserve">Name</w:t>
            </w:r>
          </w:p>
        </w:tc>
        <w:tc>
          <w:tcPr>
            <w:shd w:val="clear" w:color="auto" w:fill="D9EAF7"/>
            <w:vAlign w:val="center"/>
          </w:tcPr>
          <w:p>
            <w:pPr>
              <w:pStyle w:val="Compact"/>
              <w:jc w:val="left"/>
            </w:pPr>
            <w:r>
              <w:rPr>
                <w:bCs/>
                <w:b/>
                <w:color w:val="17365D"/>
              </w:rPr>
              <w:t xml:space="preserve">Minimum Evidence</w:t>
            </w:r>
          </w:p>
        </w:tc>
      </w:tr>
      <w:tr>
        <w:tc>
          <w:tcPr>
            <w:vAlign w:val="top"/>
          </w:tcPr>
          <w:p>
            <w:pPr>
              <w:pStyle w:val="Compact"/>
              <w:jc w:val="left"/>
            </w:pPr>
            <w:r>
              <w:t xml:space="preserve">A</w:t>
            </w:r>
          </w:p>
        </w:tc>
        <w:tc>
          <w:tcPr>
            <w:vAlign w:val="top"/>
          </w:tcPr>
          <w:p>
            <w:pPr>
              <w:pStyle w:val="Compact"/>
              <w:jc w:val="left"/>
            </w:pPr>
            <w:r>
              <w:t xml:space="preserve">Validated</w:t>
            </w:r>
          </w:p>
        </w:tc>
        <w:tc>
          <w:tcPr>
            <w:vAlign w:val="top"/>
          </w:tcPr>
          <w:p>
            <w:pPr>
              <w:pStyle w:val="Compact"/>
              <w:jc w:val="left"/>
            </w:pPr>
            <w:r>
              <w:t xml:space="preserve">Replicated empirical studies with quantified effect sizes and domain match</w:t>
            </w:r>
          </w:p>
        </w:tc>
      </w:tr>
      <w:tr>
        <w:tc>
          <w:tcPr>
            <w:shd w:val="clear" w:color="auto" w:fill="F7FBFE"/>
            <w:vAlign w:val="top"/>
          </w:tcPr>
          <w:p>
            <w:pPr>
              <w:pStyle w:val="Compact"/>
              <w:jc w:val="left"/>
            </w:pPr>
            <w:r>
              <w:t xml:space="preserve">B</w:t>
            </w:r>
          </w:p>
        </w:tc>
        <w:tc>
          <w:tcPr>
            <w:shd w:val="clear" w:color="auto" w:fill="F7FBFE"/>
            <w:vAlign w:val="top"/>
          </w:tcPr>
          <w:p>
            <w:pPr>
              <w:pStyle w:val="Compact"/>
              <w:jc w:val="left"/>
            </w:pPr>
            <w:r>
              <w:t xml:space="preserve">Supported</w:t>
            </w:r>
          </w:p>
        </w:tc>
        <w:tc>
          <w:tcPr>
            <w:shd w:val="clear" w:color="auto" w:fill="F7FBFE"/>
            <w:vAlign w:val="top"/>
          </w:tcPr>
          <w:p>
            <w:pPr>
              <w:pStyle w:val="Compact"/>
              <w:jc w:val="left"/>
            </w:pPr>
            <w:r>
              <w:t xml:space="preserve">Multiple studies consistent in sign; some quantification</w:t>
            </w:r>
          </w:p>
        </w:tc>
      </w:tr>
      <w:tr>
        <w:tc>
          <w:tcPr>
            <w:vAlign w:val="top"/>
          </w:tcPr>
          <w:p>
            <w:pPr>
              <w:pStyle w:val="Compact"/>
              <w:jc w:val="left"/>
            </w:pPr>
            <w:r>
              <w:t xml:space="preserve">C</w:t>
            </w:r>
          </w:p>
        </w:tc>
        <w:tc>
          <w:tcPr>
            <w:vAlign w:val="top"/>
          </w:tcPr>
          <w:p>
            <w:pPr>
              <w:pStyle w:val="Compact"/>
              <w:jc w:val="left"/>
            </w:pPr>
            <w:r>
              <w:t xml:space="preserve">Plausible</w:t>
            </w:r>
          </w:p>
        </w:tc>
        <w:tc>
          <w:tcPr>
            <w:vAlign w:val="top"/>
          </w:tcPr>
          <w:p>
            <w:pPr>
              <w:pStyle w:val="Compact"/>
              <w:jc w:val="left"/>
            </w:pPr>
            <w:r>
              <w:t xml:space="preserve">Theoretical support with limited empirical evidence</w:t>
            </w:r>
          </w:p>
        </w:tc>
      </w:tr>
      <w:tr>
        <w:tc>
          <w:tcPr>
            <w:shd w:val="clear" w:color="auto" w:fill="F7FBFE"/>
            <w:vAlign w:val="top"/>
          </w:tcPr>
          <w:p>
            <w:pPr>
              <w:pStyle w:val="Compact"/>
              <w:jc w:val="left"/>
            </w:pPr>
            <w:r>
              <w:t xml:space="preserve">D</w:t>
            </w:r>
          </w:p>
        </w:tc>
        <w:tc>
          <w:tcPr>
            <w:shd w:val="clear" w:color="auto" w:fill="F7FBFE"/>
            <w:vAlign w:val="top"/>
          </w:tcPr>
          <w:p>
            <w:pPr>
              <w:pStyle w:val="Compact"/>
              <w:jc w:val="left"/>
            </w:pPr>
            <w:r>
              <w:t xml:space="preserve">Speculative</w:t>
            </w:r>
          </w:p>
        </w:tc>
        <w:tc>
          <w:tcPr>
            <w:shd w:val="clear" w:color="auto" w:fill="F7FBFE"/>
            <w:vAlign w:val="top"/>
          </w:tcPr>
          <w:p>
            <w:pPr>
              <w:pStyle w:val="Compact"/>
              <w:jc w:val="left"/>
            </w:pPr>
            <w:r>
              <w:t xml:space="preserve">Expert judgment without empirical support</w:t>
            </w:r>
          </w:p>
        </w:tc>
      </w:tr>
      <w:tr>
        <w:tc>
          <w:tcPr>
            <w:vAlign w:val="top"/>
          </w:tcPr>
          <w:p>
            <w:pPr>
              <w:pStyle w:val="Compact"/>
              <w:jc w:val="left"/>
            </w:pPr>
            <w:r>
              <w:t xml:space="preserve">E</w:t>
            </w:r>
          </w:p>
        </w:tc>
        <w:tc>
          <w:tcPr>
            <w:vAlign w:val="top"/>
          </w:tcPr>
          <w:p>
            <w:pPr>
              <w:pStyle w:val="Compact"/>
              <w:jc w:val="left"/>
            </w:pPr>
            <w:r>
              <w:t xml:space="preserve">Elicited</w:t>
            </w:r>
          </w:p>
        </w:tc>
        <w:tc>
          <w:tcPr>
            <w:vAlign w:val="top"/>
          </w:tcPr>
          <w:p>
            <w:pPr>
              <w:pStyle w:val="Compact"/>
              <w:jc w:val="left"/>
            </w:pPr>
            <w:r>
              <w:t xml:space="preserve">Structured elicitation for this framework (lowest confidence)</w:t>
            </w:r>
          </w:p>
        </w:tc>
      </w:tr>
    </w:tbl>
    <w:bookmarkEnd w:id="443"/>
    <w:bookmarkStart w:id="444" w:name="X241bbc551c078c8fd6c207e450cf413e4e676da"/>
    <w:p>
      <w:pPr>
        <w:pStyle w:val="Heading2"/>
      </w:pPr>
      <w:r>
        <w:rPr>
          <w:bCs/>
          <w:b/>
        </w:rPr>
        <w:t xml:space="preserve">K.3 Provisional Edge Table Table K.2: Provisional Starter KOPS Edge Table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320"/>
        <w:gridCol w:w="1320"/>
        <w:gridCol w:w="1320"/>
        <w:gridCol w:w="1320"/>
        <w:gridCol w:w="1320"/>
        <w:gridCol w:w="1320"/>
      </w:tblGrid>
      <w:tr>
        <w:trPr>
          <w:tblHeader w:val="true"/>
        </w:trPr>
        <w:tc>
          <w:tcPr>
            <w:shd w:val="clear" w:color="auto" w:fill="D9EAF7"/>
            <w:vAlign w:val="center"/>
          </w:tcPr>
          <w:p>
            <w:pPr>
              <w:pStyle w:val="Compact"/>
              <w:jc w:val="left"/>
            </w:pPr>
            <w:r>
              <w:rPr>
                <w:bCs/>
                <w:b/>
                <w:color w:val="17365D"/>
              </w:rPr>
              <w:t xml:space="preserve">Source Cell (u,d)</w:t>
            </w:r>
          </w:p>
        </w:tc>
        <w:tc>
          <w:tcPr>
            <w:shd w:val="clear" w:color="auto" w:fill="D9EAF7"/>
            <w:vAlign w:val="center"/>
          </w:tcPr>
          <w:p>
            <w:pPr>
              <w:pStyle w:val="Compact"/>
              <w:jc w:val="left"/>
            </w:pPr>
            <w:r>
              <w:rPr>
                <w:bCs/>
                <w:b/>
                <w:color w:val="17365D"/>
              </w:rPr>
              <w:t xml:space="preserve">Target Cell (u,d)</w:t>
            </w:r>
          </w:p>
        </w:tc>
        <w:tc>
          <w:tcPr>
            <w:shd w:val="clear" w:color="auto" w:fill="D9EAF7"/>
            <w:vAlign w:val="center"/>
          </w:tcPr>
          <w:p>
            <w:pPr>
              <w:pStyle w:val="Compact"/>
              <w:jc w:val="left"/>
            </w:pPr>
            <w:r>
              <w:rPr>
                <w:bCs/>
                <w:b/>
                <w:color w:val="17365D"/>
              </w:rPr>
              <w:t xml:space="preserve">κ_raw</w:t>
            </w:r>
          </w:p>
        </w:tc>
        <w:tc>
          <w:tcPr>
            <w:shd w:val="clear" w:color="auto" w:fill="D9EAF7"/>
            <w:vAlign w:val="center"/>
          </w:tcPr>
          <w:p>
            <w:pPr>
              <w:pStyle w:val="Compact"/>
              <w:jc w:val="left"/>
            </w:pPr>
            <w:r>
              <w:rPr>
                <w:bCs/>
                <w:b/>
                <w:color w:val="17365D"/>
              </w:rPr>
              <w:t xml:space="preserve">κ_shrunk</w:t>
            </w:r>
          </w:p>
        </w:tc>
        <w:tc>
          <w:tcPr>
            <w:shd w:val="clear" w:color="auto" w:fill="D9EAF7"/>
            <w:vAlign w:val="center"/>
          </w:tcPr>
          <w:p>
            <w:pPr>
              <w:pStyle w:val="Compact"/>
              <w:jc w:val="left"/>
            </w:pPr>
            <w:r>
              <w:rPr>
                <w:bCs/>
                <w:b/>
                <w:color w:val="17365D"/>
              </w:rPr>
              <w:t xml:space="preserve">Evidence Class</w:t>
            </w:r>
          </w:p>
        </w:tc>
        <w:tc>
          <w:tcPr>
            <w:shd w:val="clear" w:color="auto" w:fill="D9EAF7"/>
            <w:vAlign w:val="center"/>
          </w:tcPr>
          <w:p>
            <w:pPr>
              <w:pStyle w:val="Compact"/>
              <w:jc w:val="left"/>
            </w:pPr>
            <w:r>
              <w:rPr>
                <w:bCs/>
                <w:b/>
                <w:color w:val="17365D"/>
              </w:rPr>
              <w:t xml:space="preserve">Rationale Family</w:t>
            </w:r>
          </w:p>
        </w:tc>
      </w:tr>
      <w:tr>
        <w:tc>
          <w:tcPr>
            <w:vAlign w:val="top"/>
          </w:tcPr>
          <w:p>
            <w:pPr>
              <w:pStyle w:val="Compact"/>
              <w:jc w:val="left"/>
            </w:pPr>
            <w:r>
              <w:t xml:space="preserve">(4,1) Org-Material</w:t>
            </w:r>
          </w:p>
        </w:tc>
        <w:tc>
          <w:tcPr>
            <w:vAlign w:val="top"/>
          </w:tcPr>
          <w:p>
            <w:pPr>
              <w:pStyle w:val="Compact"/>
              <w:jc w:val="left"/>
            </w:pPr>
            <w:r>
              <w:t xml:space="preserve">(2,1) HH-Material</w:t>
            </w:r>
          </w:p>
        </w:tc>
        <w:tc>
          <w:tcPr>
            <w:vAlign w:val="top"/>
          </w:tcPr>
          <w:p>
            <w:pPr>
              <w:pStyle w:val="Compact"/>
              <w:jc w:val="left"/>
            </w:pPr>
            <w:r>
              <w:t xml:space="preserve">0.40</w:t>
            </w:r>
          </w:p>
        </w:tc>
        <w:tc>
          <w:tcPr>
            <w:vAlign w:val="top"/>
          </w:tcPr>
          <w:p>
            <w:pPr>
              <w:pStyle w:val="Compact"/>
              <w:jc w:val="left"/>
            </w:pPr>
            <w:r>
              <w:t xml:space="preserve">0.14</w:t>
            </w:r>
          </w:p>
        </w:tc>
        <w:tc>
          <w:tcPr>
            <w:vAlign w:val="top"/>
          </w:tcPr>
          <w:p>
            <w:pPr>
              <w:pStyle w:val="Compact"/>
              <w:jc w:val="left"/>
            </w:pPr>
            <w:r>
              <w:t xml:space="preserve">E</w:t>
            </w:r>
          </w:p>
        </w:tc>
        <w:tc>
          <w:tcPr>
            <w:vAlign w:val="top"/>
          </w:tcPr>
          <w:p>
            <w:pPr>
              <w:pStyle w:val="Compact"/>
              <w:jc w:val="left"/>
            </w:pPr>
            <w:r>
              <w:t xml:space="preserve">Employment income propagation</w:t>
            </w:r>
          </w:p>
        </w:tc>
      </w:tr>
      <w:tr>
        <w:tc>
          <w:tcPr>
            <w:shd w:val="clear" w:color="auto" w:fill="F7FBFE"/>
            <w:vAlign w:val="top"/>
          </w:tcPr>
          <w:p>
            <w:pPr>
              <w:pStyle w:val="Compact"/>
              <w:jc w:val="left"/>
            </w:pPr>
            <w:r>
              <w:t xml:space="preserve">(4,1) Org-Material</w:t>
            </w:r>
          </w:p>
        </w:tc>
        <w:tc>
          <w:tcPr>
            <w:shd w:val="clear" w:color="auto" w:fill="F7FBFE"/>
            <w:vAlign w:val="top"/>
          </w:tcPr>
          <w:p>
            <w:pPr>
              <w:pStyle w:val="Compact"/>
              <w:jc w:val="left"/>
            </w:pPr>
            <w:r>
              <w:t xml:space="preserve">(3,1) Comm-Material</w:t>
            </w:r>
          </w:p>
        </w:tc>
        <w:tc>
          <w:tcPr>
            <w:shd w:val="clear" w:color="auto" w:fill="F7FBFE"/>
            <w:vAlign w:val="top"/>
          </w:tcPr>
          <w:p>
            <w:pPr>
              <w:pStyle w:val="Compact"/>
              <w:jc w:val="left"/>
            </w:pPr>
            <w:r>
              <w:t xml:space="preserve">0.30</w:t>
            </w:r>
          </w:p>
        </w:tc>
        <w:tc>
          <w:tcPr>
            <w:shd w:val="clear" w:color="auto" w:fill="F7FBFE"/>
            <w:vAlign w:val="top"/>
          </w:tcPr>
          <w:p>
            <w:pPr>
              <w:pStyle w:val="Compact"/>
              <w:jc w:val="left"/>
            </w:pPr>
            <w:r>
              <w:t xml:space="preserve">0.11</w:t>
            </w:r>
          </w:p>
        </w:tc>
        <w:tc>
          <w:tcPr>
            <w:shd w:val="clear" w:color="auto" w:fill="F7FBFE"/>
            <w:vAlign w:val="top"/>
          </w:tcPr>
          <w:p>
            <w:pPr>
              <w:pStyle w:val="Compact"/>
              <w:jc w:val="left"/>
            </w:pPr>
            <w:r>
              <w:t xml:space="preserve">E</w:t>
            </w:r>
          </w:p>
        </w:tc>
        <w:tc>
          <w:tcPr>
            <w:shd w:val="clear" w:color="auto" w:fill="F7FBFE"/>
            <w:vAlign w:val="top"/>
          </w:tcPr>
          <w:p>
            <w:pPr>
              <w:pStyle w:val="Compact"/>
              <w:jc w:val="left"/>
            </w:pPr>
            <w:r>
              <w:t xml:space="preserve">Local multiplier effects</w:t>
            </w:r>
          </w:p>
        </w:tc>
      </w:tr>
      <w:tr>
        <w:tc>
          <w:tcPr>
            <w:vAlign w:val="top"/>
          </w:tcPr>
          <w:p>
            <w:pPr>
              <w:pStyle w:val="Compact"/>
              <w:jc w:val="left"/>
            </w:pPr>
            <w:r>
              <w:t xml:space="preserve">(7,7) Bio-Environment</w:t>
            </w:r>
          </w:p>
        </w:tc>
        <w:tc>
          <w:tcPr>
            <w:vAlign w:val="top"/>
          </w:tcPr>
          <w:p>
            <w:pPr>
              <w:pStyle w:val="Compact"/>
              <w:jc w:val="left"/>
            </w:pPr>
            <w:r>
              <w:t xml:space="preserve">(6,2) Humanity / Global Coordination - Health</w:t>
            </w:r>
          </w:p>
        </w:tc>
        <w:tc>
          <w:tcPr>
            <w:vAlign w:val="top"/>
          </w:tcPr>
          <w:p>
            <w:pPr>
              <w:pStyle w:val="Compact"/>
              <w:jc w:val="left"/>
            </w:pPr>
            <w:r>
              <w:t xml:space="preserve">-0.35</w:t>
            </w:r>
          </w:p>
        </w:tc>
        <w:tc>
          <w:tcPr>
            <w:vAlign w:val="top"/>
          </w:tcPr>
          <w:p>
            <w:pPr>
              <w:pStyle w:val="Compact"/>
              <w:jc w:val="left"/>
            </w:pPr>
            <w:r>
              <w:t xml:space="preserve">-0.12</w:t>
            </w:r>
          </w:p>
        </w:tc>
        <w:tc>
          <w:tcPr>
            <w:vAlign w:val="top"/>
          </w:tcPr>
          <w:p>
            <w:pPr>
              <w:pStyle w:val="Compact"/>
              <w:jc w:val="left"/>
            </w:pPr>
            <w:r>
              <w:t xml:space="preserve">B</w:t>
            </w:r>
          </w:p>
        </w:tc>
        <w:tc>
          <w:tcPr>
            <w:vAlign w:val="top"/>
          </w:tcPr>
          <w:p>
            <w:pPr>
              <w:pStyle w:val="Compact"/>
              <w:jc w:val="left"/>
            </w:pPr>
            <w:r>
              <w:t xml:space="preserve">Climate/health pathway</w:t>
            </w:r>
          </w:p>
        </w:tc>
      </w:tr>
      <w:tr>
        <w:tc>
          <w:tcPr>
            <w:shd w:val="clear" w:color="auto" w:fill="F7FBFE"/>
            <w:vAlign w:val="top"/>
          </w:tcPr>
          <w:p>
            <w:pPr>
              <w:pStyle w:val="Compact"/>
              <w:jc w:val="left"/>
            </w:pPr>
            <w:r>
              <w:t xml:space="preserve">(7,7) Bio-Environment</w:t>
            </w:r>
          </w:p>
        </w:tc>
        <w:tc>
          <w:tcPr>
            <w:shd w:val="clear" w:color="auto" w:fill="F7FBFE"/>
            <w:vAlign w:val="top"/>
          </w:tcPr>
          <w:p>
            <w:pPr>
              <w:pStyle w:val="Compact"/>
              <w:jc w:val="left"/>
            </w:pPr>
            <w:r>
              <w:t xml:space="preserve">(6,7) Humanity / Global Coordination - Environment</w:t>
            </w:r>
          </w:p>
        </w:tc>
        <w:tc>
          <w:tcPr>
            <w:shd w:val="clear" w:color="auto" w:fill="F7FBFE"/>
            <w:vAlign w:val="top"/>
          </w:tcPr>
          <w:p>
            <w:pPr>
              <w:pStyle w:val="Compact"/>
              <w:jc w:val="left"/>
            </w:pPr>
            <w:r>
              <w:t xml:space="preserve">0.50</w:t>
            </w:r>
          </w:p>
        </w:tc>
        <w:tc>
          <w:tcPr>
            <w:shd w:val="clear" w:color="auto" w:fill="F7FBFE"/>
            <w:vAlign w:val="top"/>
          </w:tcPr>
          <w:p>
            <w:pPr>
              <w:pStyle w:val="Compact"/>
              <w:jc w:val="left"/>
            </w:pPr>
            <w:r>
              <w:t xml:space="preserve">0.18</w:t>
            </w:r>
          </w:p>
        </w:tc>
        <w:tc>
          <w:tcPr>
            <w:shd w:val="clear" w:color="auto" w:fill="F7FBFE"/>
            <w:vAlign w:val="top"/>
          </w:tcPr>
          <w:p>
            <w:pPr>
              <w:pStyle w:val="Compact"/>
              <w:jc w:val="left"/>
            </w:pPr>
            <w:r>
              <w:t xml:space="preserve">B</w:t>
            </w:r>
          </w:p>
        </w:tc>
        <w:tc>
          <w:tcPr>
            <w:shd w:val="clear" w:color="auto" w:fill="F7FBFE"/>
            <w:vAlign w:val="top"/>
          </w:tcPr>
          <w:p>
            <w:pPr>
              <w:pStyle w:val="Compact"/>
              <w:jc w:val="left"/>
            </w:pPr>
            <w:r>
              <w:t xml:space="preserve">Earth system propagation</w:t>
            </w:r>
          </w:p>
        </w:tc>
      </w:tr>
      <w:tr>
        <w:tc>
          <w:tcPr>
            <w:vAlign w:val="top"/>
          </w:tcPr>
          <w:p>
            <w:pPr>
              <w:pStyle w:val="Compact"/>
              <w:jc w:val="left"/>
            </w:pPr>
            <w:r>
              <w:t xml:space="preserve">(5,5) Polity-Agency</w:t>
            </w:r>
          </w:p>
        </w:tc>
        <w:tc>
          <w:tcPr>
            <w:vAlign w:val="top"/>
          </w:tcPr>
          <w:p>
            <w:pPr>
              <w:pStyle w:val="Compact"/>
              <w:jc w:val="left"/>
            </w:pPr>
            <w:r>
              <w:t xml:space="preserve">(4,5) Org-Agency</w:t>
            </w:r>
          </w:p>
        </w:tc>
        <w:tc>
          <w:tcPr>
            <w:vAlign w:val="top"/>
          </w:tcPr>
          <w:p>
            <w:pPr>
              <w:pStyle w:val="Compact"/>
              <w:jc w:val="left"/>
            </w:pPr>
            <w:r>
              <w:t xml:space="preserve">0.25</w:t>
            </w:r>
          </w:p>
        </w:tc>
        <w:tc>
          <w:tcPr>
            <w:vAlign w:val="top"/>
          </w:tcPr>
          <w:p>
            <w:pPr>
              <w:pStyle w:val="Compact"/>
              <w:jc w:val="left"/>
            </w:pPr>
            <w:r>
              <w:t xml:space="preserve">0.09</w:t>
            </w:r>
          </w:p>
        </w:tc>
        <w:tc>
          <w:tcPr>
            <w:vAlign w:val="top"/>
          </w:tcPr>
          <w:p>
            <w:pPr>
              <w:pStyle w:val="Compact"/>
              <w:jc w:val="left"/>
            </w:pPr>
            <w:r>
              <w:t xml:space="preserve">E</w:t>
            </w:r>
          </w:p>
        </w:tc>
        <w:tc>
          <w:tcPr>
            <w:vAlign w:val="top"/>
          </w:tcPr>
          <w:p>
            <w:pPr>
              <w:pStyle w:val="Compact"/>
              <w:jc w:val="left"/>
            </w:pPr>
            <w:r>
              <w:t xml:space="preserve">Institutional enabling effects</w:t>
            </w:r>
          </w:p>
        </w:tc>
      </w:tr>
      <w:tr>
        <w:tc>
          <w:tcPr>
            <w:shd w:val="clear" w:color="auto" w:fill="F7FBFE"/>
            <w:vAlign w:val="top"/>
          </w:tcPr>
          <w:p>
            <w:pPr>
              <w:pStyle w:val="Compact"/>
              <w:jc w:val="left"/>
            </w:pPr>
            <w:r>
              <w:t xml:space="preserve">(3,3) Comm-Social</w:t>
            </w:r>
          </w:p>
        </w:tc>
        <w:tc>
          <w:tcPr>
            <w:shd w:val="clear" w:color="auto" w:fill="F7FBFE"/>
            <w:vAlign w:val="top"/>
          </w:tcPr>
          <w:p>
            <w:pPr>
              <w:pStyle w:val="Compact"/>
              <w:jc w:val="left"/>
            </w:pPr>
            <w:r>
              <w:t xml:space="preserve">(1,3) Self-Social</w:t>
            </w:r>
          </w:p>
        </w:tc>
        <w:tc>
          <w:tcPr>
            <w:shd w:val="clear" w:color="auto" w:fill="F7FBFE"/>
            <w:vAlign w:val="top"/>
          </w:tcPr>
          <w:p>
            <w:pPr>
              <w:pStyle w:val="Compact"/>
              <w:jc w:val="left"/>
            </w:pPr>
            <w:r>
              <w:t xml:space="preserve">0.45</w:t>
            </w:r>
          </w:p>
        </w:tc>
        <w:tc>
          <w:tcPr>
            <w:shd w:val="clear" w:color="auto" w:fill="F7FBFE"/>
            <w:vAlign w:val="top"/>
          </w:tcPr>
          <w:p>
            <w:pPr>
              <w:pStyle w:val="Compact"/>
              <w:jc w:val="left"/>
            </w:pPr>
            <w:r>
              <w:t xml:space="preserve">0.16</w:t>
            </w:r>
          </w:p>
        </w:tc>
        <w:tc>
          <w:tcPr>
            <w:shd w:val="clear" w:color="auto" w:fill="F7FBFE"/>
            <w:vAlign w:val="top"/>
          </w:tcPr>
          <w:p>
            <w:pPr>
              <w:pStyle w:val="Compact"/>
              <w:jc w:val="left"/>
            </w:pPr>
            <w:r>
              <w:t xml:space="preserve">B</w:t>
            </w:r>
          </w:p>
        </w:tc>
        <w:tc>
          <w:tcPr>
            <w:shd w:val="clear" w:color="auto" w:fill="F7FBFE"/>
            <w:vAlign w:val="top"/>
          </w:tcPr>
          <w:p>
            <w:pPr>
              <w:pStyle w:val="Compact"/>
              <w:jc w:val="left"/>
            </w:pPr>
            <w:r>
              <w:t xml:space="preserve">Social capital / wellbeing</w:t>
            </w:r>
          </w:p>
        </w:tc>
      </w:tr>
      <w:tr>
        <w:tc>
          <w:tcPr>
            <w:vAlign w:val="top"/>
          </w:tcPr>
          <w:p>
            <w:pPr>
              <w:pStyle w:val="Compact"/>
              <w:jc w:val="left"/>
            </w:pPr>
            <w:r>
              <w:t xml:space="preserve">(3,3) Comm-Social</w:t>
            </w:r>
          </w:p>
        </w:tc>
        <w:tc>
          <w:tcPr>
            <w:vAlign w:val="top"/>
          </w:tcPr>
          <w:p>
            <w:pPr>
              <w:pStyle w:val="Compact"/>
              <w:jc w:val="left"/>
            </w:pPr>
            <w:r>
              <w:t xml:space="preserve">(2,3) HH-Social</w:t>
            </w:r>
          </w:p>
        </w:tc>
        <w:tc>
          <w:tcPr>
            <w:vAlign w:val="top"/>
          </w:tcPr>
          <w:p>
            <w:pPr>
              <w:pStyle w:val="Compact"/>
              <w:jc w:val="left"/>
            </w:pPr>
            <w:r>
              <w:t xml:space="preserve">0.35</w:t>
            </w:r>
          </w:p>
        </w:tc>
        <w:tc>
          <w:tcPr>
            <w:vAlign w:val="top"/>
          </w:tcPr>
          <w:p>
            <w:pPr>
              <w:pStyle w:val="Compact"/>
              <w:jc w:val="left"/>
            </w:pPr>
            <w:r>
              <w:t xml:space="preserve">0.12</w:t>
            </w:r>
          </w:p>
        </w:tc>
        <w:tc>
          <w:tcPr>
            <w:vAlign w:val="top"/>
          </w:tcPr>
          <w:p>
            <w:pPr>
              <w:pStyle w:val="Compact"/>
              <w:jc w:val="left"/>
            </w:pPr>
            <w:r>
              <w:t xml:space="preserve">E</w:t>
            </w:r>
          </w:p>
        </w:tc>
        <w:tc>
          <w:tcPr>
            <w:vAlign w:val="top"/>
          </w:tcPr>
          <w:p>
            <w:pPr>
              <w:pStyle w:val="Compact"/>
              <w:jc w:val="left"/>
            </w:pPr>
            <w:r>
              <w:t xml:space="preserve">Family-community linkage</w:t>
            </w:r>
          </w:p>
        </w:tc>
      </w:tr>
      <w:tr>
        <w:tc>
          <w:tcPr>
            <w:shd w:val="clear" w:color="auto" w:fill="F7FBFE"/>
            <w:vAlign w:val="top"/>
          </w:tcPr>
          <w:p>
            <w:pPr>
              <w:pStyle w:val="Compact"/>
              <w:jc w:val="left"/>
            </w:pPr>
            <w:r>
              <w:t xml:space="preserve">(4,2) Org-Health</w:t>
            </w:r>
          </w:p>
        </w:tc>
        <w:tc>
          <w:tcPr>
            <w:shd w:val="clear" w:color="auto" w:fill="F7FBFE"/>
            <w:vAlign w:val="top"/>
          </w:tcPr>
          <w:p>
            <w:pPr>
              <w:pStyle w:val="Compact"/>
              <w:jc w:val="left"/>
            </w:pPr>
            <w:r>
              <w:t xml:space="preserve">(1,2) Self-Health</w:t>
            </w:r>
          </w:p>
        </w:tc>
        <w:tc>
          <w:tcPr>
            <w:shd w:val="clear" w:color="auto" w:fill="F7FBFE"/>
            <w:vAlign w:val="top"/>
          </w:tcPr>
          <w:p>
            <w:pPr>
              <w:pStyle w:val="Compact"/>
              <w:jc w:val="left"/>
            </w:pPr>
            <w:r>
              <w:t xml:space="preserve">0.40</w:t>
            </w:r>
          </w:p>
        </w:tc>
        <w:tc>
          <w:tcPr>
            <w:shd w:val="clear" w:color="auto" w:fill="F7FBFE"/>
            <w:vAlign w:val="top"/>
          </w:tcPr>
          <w:p>
            <w:pPr>
              <w:pStyle w:val="Compact"/>
              <w:jc w:val="left"/>
            </w:pPr>
            <w:r>
              <w:t xml:space="preserve">0.14</w:t>
            </w:r>
          </w:p>
        </w:tc>
        <w:tc>
          <w:tcPr>
            <w:shd w:val="clear" w:color="auto" w:fill="F7FBFE"/>
            <w:vAlign w:val="top"/>
          </w:tcPr>
          <w:p>
            <w:pPr>
              <w:pStyle w:val="Compact"/>
              <w:jc w:val="left"/>
            </w:pPr>
            <w:r>
              <w:t xml:space="preserve">B</w:t>
            </w:r>
          </w:p>
        </w:tc>
        <w:tc>
          <w:tcPr>
            <w:shd w:val="clear" w:color="auto" w:fill="F7FBFE"/>
            <w:vAlign w:val="top"/>
          </w:tcPr>
          <w:p>
            <w:pPr>
              <w:pStyle w:val="Compact"/>
              <w:jc w:val="left"/>
            </w:pPr>
            <w:r>
              <w:t xml:space="preserve">Occupational health pathway</w:t>
            </w:r>
          </w:p>
        </w:tc>
      </w:tr>
      <w:tr>
        <w:tc>
          <w:tcPr>
            <w:vAlign w:val="top"/>
          </w:tcPr>
          <w:p>
            <w:pPr>
              <w:pStyle w:val="Compact"/>
              <w:jc w:val="left"/>
            </w:pPr>
            <w:r>
              <w:t xml:space="preserve">(6,4) Humanity / Global Coordination - Knowledge</w:t>
            </w:r>
          </w:p>
        </w:tc>
        <w:tc>
          <w:tcPr>
            <w:vAlign w:val="top"/>
          </w:tcPr>
          <w:p>
            <w:pPr>
              <w:pStyle w:val="Compact"/>
              <w:jc w:val="left"/>
            </w:pPr>
            <w:r>
              <w:t xml:space="preserve">(5,4) Polity-Knowledge</w:t>
            </w:r>
          </w:p>
        </w:tc>
        <w:tc>
          <w:tcPr>
            <w:vAlign w:val="top"/>
          </w:tcPr>
          <w:p>
            <w:pPr>
              <w:pStyle w:val="Compact"/>
              <w:jc w:val="left"/>
            </w:pPr>
            <w:r>
              <w:t xml:space="preserve">0.30</w:t>
            </w:r>
          </w:p>
        </w:tc>
        <w:tc>
          <w:tcPr>
            <w:vAlign w:val="top"/>
          </w:tcPr>
          <w:p>
            <w:pPr>
              <w:pStyle w:val="Compact"/>
              <w:jc w:val="left"/>
            </w:pPr>
            <w:r>
              <w:t xml:space="preserve">0.11</w:t>
            </w:r>
          </w:p>
        </w:tc>
        <w:tc>
          <w:tcPr>
            <w:vAlign w:val="top"/>
          </w:tcPr>
          <w:p>
            <w:pPr>
              <w:pStyle w:val="Compact"/>
              <w:jc w:val="left"/>
            </w:pPr>
            <w:r>
              <w:t xml:space="preserve">E</w:t>
            </w:r>
          </w:p>
        </w:tc>
        <w:tc>
          <w:tcPr>
            <w:vAlign w:val="top"/>
          </w:tcPr>
          <w:p>
            <w:pPr>
              <w:pStyle w:val="Compact"/>
              <w:jc w:val="left"/>
            </w:pPr>
            <w:r>
              <w:t xml:space="preserve">Diffusion / coordination knowledge</w:t>
            </w:r>
          </w:p>
        </w:tc>
      </w:tr>
      <w:tr>
        <w:tc>
          <w:tcPr>
            <w:shd w:val="clear" w:color="auto" w:fill="F7FBFE"/>
            <w:vAlign w:val="top"/>
          </w:tcPr>
          <w:p>
            <w:pPr>
              <w:pStyle w:val="Compact"/>
              <w:jc w:val="left"/>
            </w:pPr>
            <w:r>
              <w:t xml:space="preserve">(1,2) Self-Health</w:t>
            </w:r>
          </w:p>
        </w:tc>
        <w:tc>
          <w:tcPr>
            <w:shd w:val="clear" w:color="auto" w:fill="F7FBFE"/>
            <w:vAlign w:val="top"/>
          </w:tcPr>
          <w:p>
            <w:pPr>
              <w:pStyle w:val="Compact"/>
              <w:jc w:val="left"/>
            </w:pPr>
            <w:r>
              <w:t xml:space="preserve">(2,1) HH-Material</w:t>
            </w:r>
          </w:p>
        </w:tc>
        <w:tc>
          <w:tcPr>
            <w:shd w:val="clear" w:color="auto" w:fill="F7FBFE"/>
            <w:vAlign w:val="top"/>
          </w:tcPr>
          <w:p>
            <w:pPr>
              <w:pStyle w:val="Compact"/>
              <w:jc w:val="left"/>
            </w:pPr>
            <w:r>
              <w:t xml:space="preserve">-0.25</w:t>
            </w:r>
          </w:p>
        </w:tc>
        <w:tc>
          <w:tcPr>
            <w:shd w:val="clear" w:color="auto" w:fill="F7FBFE"/>
            <w:vAlign w:val="top"/>
          </w:tcPr>
          <w:p>
            <w:pPr>
              <w:pStyle w:val="Compact"/>
              <w:jc w:val="left"/>
            </w:pPr>
            <w:r>
              <w:t xml:space="preserve">-0.09</w:t>
            </w:r>
          </w:p>
        </w:tc>
        <w:tc>
          <w:tcPr>
            <w:shd w:val="clear" w:color="auto" w:fill="F7FBFE"/>
            <w:vAlign w:val="top"/>
          </w:tcPr>
          <w:p>
            <w:pPr>
              <w:pStyle w:val="Compact"/>
              <w:jc w:val="left"/>
            </w:pPr>
            <w:r>
              <w:t xml:space="preserve">B</w:t>
            </w:r>
          </w:p>
        </w:tc>
        <w:tc>
          <w:tcPr>
            <w:shd w:val="clear" w:color="auto" w:fill="F7FBFE"/>
            <w:vAlign w:val="top"/>
          </w:tcPr>
          <w:p>
            <w:pPr>
              <w:pStyle w:val="Compact"/>
              <w:jc w:val="left"/>
            </w:pPr>
            <w:r>
              <w:t xml:space="preserve">Health to earning capacity</w:t>
            </w:r>
          </w:p>
        </w:tc>
      </w:tr>
    </w:tbl>
    <w:bookmarkEnd w:id="444"/>
    <w:bookmarkStart w:id="445" w:name="X3b6f93613a3e43e8e4134896a3bd4f2b7b5f6db"/>
    <w:p>
      <w:pPr>
        <w:pStyle w:val="Heading2"/>
      </w:pPr>
      <w:r>
        <w:rPr>
          <w:bCs/>
          <w:b/>
        </w:rPr>
        <w:t xml:space="preserve">K.4 Mandatory PCC Disclaimer “Ripple propagation used a PROVISIONAL Starter KOPS kernel. Coefficients are not fully validated. Sensitivity analysis was performed per RippleLogic v12.6 requirements; conclusions are contingent on kernel uncertainty.”</w:t>
      </w:r>
    </w:p>
    <w:p>
      <w:pPr>
        <w:pStyle w:val="FirstParagraph"/>
      </w:pPr>
      <w:r>
        <w:t xml:space="preserve">End Appendix K.</w:t>
      </w:r>
    </w:p>
    <w:bookmarkEnd w:id="445"/>
    <w:bookmarkEnd w:id="446"/>
    <w:bookmarkStart w:id="447" w:name="appendix-l-glossary-v120"/>
    <w:p>
      <w:pPr>
        <w:pStyle w:val="Heading1"/>
      </w:pPr>
      <w:bookmarkStart w:id="797" w:name="mg_toc_033"/>
      <w:r>
        <w:rPr>
          <w:bCs/>
          <w:b/>
        </w:rPr>
        <w:t xml:space="preserve">APPENDIX L: GLOSSARY (v12.0)</w:t>
      </w:r>
      <w:bookmarkEnd w:id="797"/>
    </w:p>
    <w:p>
      <w:pPr>
        <w:pStyle w:val="FirstParagraph"/>
      </w:pPr>
      <w:r>
        <w:t xml:space="preserve">Appendix L is informative but standardized terminology is strongly recommended for audit consistency.</w:t>
      </w:r>
    </w:p>
    <w:p>
      <w:pPr>
        <w:pStyle w:val="BodyText"/>
      </w:pPr>
      <w:r>
        <w:t xml:space="preserve">Stakeholder: Any entity plausibly affected by a candidate option through direct impact, externalities, indirect pathways, or future propagation within the declared horizon.</w:t>
      </w:r>
    </w:p>
    <w:p>
      <w:pPr>
        <w:pStyle w:val="BodyText"/>
      </w:pPr>
      <w:r>
        <w:t xml:space="preserve">Instance: A stakeholder-in-role-in-context bound to a decision, used for auditability and mapping into Union Scopes.</w:t>
      </w:r>
    </w:p>
    <w:p>
      <w:pPr>
        <w:pStyle w:val="BodyText"/>
      </w:pPr>
      <w:r>
        <w:t xml:space="preserve">Stakeholder Discovery Protocol (SDP): The tier-linked minimum process for discovering omission-likely stakeholders and recording discovery evidence (Section 2.2A).</w:t>
      </w:r>
    </w:p>
    <w:p>
      <w:pPr>
        <w:pStyle w:val="BodyText"/>
      </w:pPr>
      <w:r>
        <w:t xml:space="preserve">Stakeholder Coverage Index (SCI): A tier-governed disclosure ladder describing the stakeholder coverage posture of a run, used for auditability, not for score changes (Section 5.0.1).</w:t>
      </w:r>
    </w:p>
    <w:p>
      <w:pPr>
        <w:pStyle w:val="BodyText"/>
      </w:pPr>
      <w:r>
        <w:t xml:space="preserve">InstanceMap: The structured mapping from stakeholder instances to one or more Union Scopes, recorded in the PCC (Appendix H).</w:t>
      </w:r>
    </w:p>
    <w:p>
      <w:pPr>
        <w:pStyle w:val="BodyText"/>
      </w:pPr>
      <w:r>
        <w:t xml:space="preserve">Scope Coverage Declaration: A PCC section that declares whether the run is full-scope or reduced-scope, lists omitted scopes and rationales, and specifies escalation triggers (Appendix H).</w:t>
      </w:r>
    </w:p>
    <w:p>
      <w:pPr>
        <w:pStyle w:val="BodyText"/>
      </w:pPr>
      <w:r>
        <w:t xml:space="preserve">Active cell: A Scope×Dimension cell that participates in RLS, or is in any rights/catastrophe coverage set, or is populated for any gate or justification, and therefore must not be treated as unknown-by-default (Section 10.3).</w:t>
      </w:r>
    </w:p>
    <w:p>
      <w:pPr>
        <w:pStyle w:val="BodyText"/>
      </w:pPr>
      <w:r>
        <w:t xml:space="preserve">Effect-token (allocation only): A redundant conserved-unit causal token used solely to prevent redundant counting across scopes under the ALLOCATION redundancy method (Section 2.2A).</w:t>
      </w:r>
    </w:p>
    <w:p>
      <w:pPr>
        <w:pStyle w:val="BodyText"/>
      </w:pPr>
      <w:r>
        <w:t xml:space="preserve">Reduced-scope mode: A reporting or mapping-depth mode that omits one or more scopes, permitted only with explicit PCC disclosure and without removing any non-maskable cells from admissibility gates (Section 2.2A).</w:t>
      </w:r>
    </w:p>
    <w:p>
      <w:pPr>
        <w:pStyle w:val="BodyText"/>
      </w:pPr>
      <w:r>
        <w:t xml:space="preserve">SG_norm / SG_patient_norm / SG_measured_norm: Deprecated v7.x interface fields. They may appear only in pinned legacy records and are not equivalent to the v8.x typed outputs used by current SGP v8.5.</w:t>
      </w:r>
    </w:p>
    <w:p>
      <w:pPr>
        <w:pStyle w:val="BodyText"/>
      </w:pPr>
      <w:r>
        <w:t xml:space="preserve">MPS(E,t): The v8.x moral-patienthood evidence surface, current in SGP v8.5, used to determine protection posture and required welfare-inclusion hypotheses. It is not exact moral worth, a consciousness probability, or a cardinal welfare multiplier.</w:t>
      </w:r>
    </w:p>
    <w:p>
      <w:pPr>
        <w:pStyle w:val="BodyText"/>
      </w:pPr>
      <w:r>
        <w:t xml:space="preserve">FPP(E): The v8.x full non-downgrade protection status, current in SGP v8.5. For RippleLogic welfare sensitivity, every FPP entity uses the fixed inclusion set {1}, equivalently the interval [1,1].</w:t>
      </w:r>
    </w:p>
    <w:p>
      <w:pPr>
        <w:pStyle w:val="BodyText"/>
      </w:pPr>
      <w:r>
        <w:t xml:space="preserve">GPR and SPR: Separate v8.x role surfaces, current in SGP v8.5, for participation design and role-specific consequential-power review. Neither changes MPS or FPP.</w:t>
      </w:r>
    </w:p>
    <w:p>
      <w:pPr>
        <w:pStyle w:val="BodyText"/>
      </w:pPr>
      <w:r>
        <w:t xml:space="preserve">Full Protection Plateau (FPP-100): The constitutional rights-of-protection summit defined by SGP. Within RippleLogic it fixes full protection and the welfare-inclusion set {1}; it does not become a prestige score, alter earlier gates, establish CMIU membership, or grant governance authority.</w:t>
      </w:r>
    </w:p>
    <w:p>
      <w:pPr>
        <w:pStyle w:val="BodyText"/>
      </w:pPr>
      <w:r>
        <w:t xml:space="preserve">MPS-4 / presumptive-full-protection posture: The strongest evidence band below an assigned FPP status in SGP v8.5. It triggers strong protection and FPP review but is not a scalar percentage of moral worth and does not itself confer FPP.</w:t>
      </w:r>
    </w:p>
    <w:p>
      <w:pPr>
        <w:pStyle w:val="BodyText"/>
      </w:pPr>
      <w:r>
        <w:t xml:space="preserve">CMIU: Collective Managing Intelligence Union, a Canon-defined U6 governance-coordination view for managing intelligences and institutions. SGP does not assign CMIU membership. MPS/FPP do not create CMIU membership; GPR informs participation design, and consequential roles require SPR plus lawful governance controls.</w:t>
      </w:r>
    </w:p>
    <w:p>
      <w:pPr>
        <w:pStyle w:val="BodyText"/>
      </w:pPr>
      <w:r>
        <w:t xml:space="preserve">Human Full Protection Plateau: The non-overridable rule that every human person has FPP and a RippleLogic welfare interval of [1,1], independent of measurement, disability, age, illness, wakefulness, or observability.</w:t>
      </w:r>
    </w:p>
    <w:p>
      <w:pPr>
        <w:pStyle w:val="BodyText"/>
      </w:pPr>
      <w:r>
        <w:t xml:space="preserve">SGP v8.5 Binding Interface: The only permissible interface by which RippleLogic consumes MPS, FPP, GPR, SPR, optional ICP, and informative RMCP/P100. Defined normatively in Appendix G; RippleLogic does not recompute SGP internals.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Term</w:t>
            </w:r>
          </w:p>
        </w:tc>
        <w:tc>
          <w:tcPr>
            <w:shd w:val="clear" w:color="auto" w:fill="D9EAF7"/>
            <w:vAlign w:val="center"/>
          </w:tcPr>
          <w:p>
            <w:pPr>
              <w:pStyle w:val="Compact"/>
              <w:jc w:val="left"/>
            </w:pPr>
            <w:r>
              <w:rPr>
                <w:bCs/>
                <w:b/>
                <w:color w:val="17365D"/>
              </w:rPr>
              <w:t xml:space="preserve">Definition</w:t>
            </w:r>
          </w:p>
        </w:tc>
      </w:tr>
      <w:tr>
        <w:tc>
          <w:tcPr>
            <w:vAlign w:val="top"/>
          </w:tcPr>
          <w:p>
            <w:pPr>
              <w:pStyle w:val="Compact"/>
              <w:jc w:val="left"/>
            </w:pPr>
            <w:r>
              <w:t xml:space="preserve">Admissible</w:t>
            </w:r>
          </w:p>
        </w:tc>
        <w:tc>
          <w:tcPr>
            <w:vAlign w:val="top"/>
          </w:tcPr>
          <w:p>
            <w:pPr>
              <w:pStyle w:val="Compact"/>
              <w:jc w:val="left"/>
            </w:pPr>
            <w:r>
              <w:t xml:space="preserve">Option whose RG status is RG_SUPPORTED or RG_NARROWED, that passes NCRC, and whose TRC status is TRC_PASS or documented TRC_NOT_TRIGGERED</w:t>
            </w:r>
          </w:p>
        </w:tc>
      </w:tr>
      <w:tr>
        <w:tc>
          <w:tcPr>
            <w:shd w:val="clear" w:color="auto" w:fill="F7FBFE"/>
            <w:vAlign w:val="top"/>
          </w:tcPr>
          <w:p>
            <w:pPr>
              <w:pStyle w:val="Compact"/>
              <w:jc w:val="left"/>
            </w:pPr>
            <w:r>
              <w:t xml:space="preserve">AIL (Artifact Integrity Law)</w:t>
            </w:r>
          </w:p>
        </w:tc>
        <w:tc>
          <w:tcPr>
            <w:shd w:val="clear" w:color="auto" w:fill="F7FBFE"/>
            <w:vAlign w:val="top"/>
          </w:tcPr>
          <w:p>
            <w:pPr>
              <w:pStyle w:val="Compact"/>
              <w:jc w:val="left"/>
            </w:pPr>
            <w:r>
              <w:t xml:space="preserve">Integrity rules ensuring auditability, comparability, and no silent overrides in PCCs</w:t>
            </w:r>
          </w:p>
        </w:tc>
      </w:tr>
      <w:tr>
        <w:tc>
          <w:tcPr>
            <w:vAlign w:val="top"/>
          </w:tcPr>
          <w:p>
            <w:pPr>
              <w:pStyle w:val="Compact"/>
              <w:jc w:val="left"/>
            </w:pPr>
            <w:r>
              <w:t xml:space="preserve">Baseline-Zero Rule</w:t>
            </w:r>
          </w:p>
        </w:tc>
        <w:tc>
          <w:tcPr>
            <w:vAlign w:val="top"/>
          </w:tcPr>
          <w:p>
            <w:pPr>
              <w:pStyle w:val="Compact"/>
              <w:jc w:val="left"/>
            </w:pPr>
            <w:r>
              <w:t xml:space="preserve">0 impact means no change from baseline; all impacts are baseline-relative</w:t>
            </w:r>
          </w:p>
        </w:tc>
      </w:tr>
      <w:tr>
        <w:tc>
          <w:tcPr>
            <w:shd w:val="clear" w:color="auto" w:fill="F7FBFE"/>
            <w:vAlign w:val="top"/>
          </w:tcPr>
          <w:p>
            <w:pPr>
              <w:pStyle w:val="Compact"/>
              <w:jc w:val="left"/>
            </w:pPr>
            <w:r>
              <w:t xml:space="preserve">Catastrophe cell set (C_cat)</w:t>
            </w:r>
          </w:p>
        </w:tc>
        <w:tc>
          <w:tcPr>
            <w:shd w:val="clear" w:color="auto" w:fill="F7FBFE"/>
            <w:vAlign w:val="top"/>
          </w:tcPr>
          <w:p>
            <w:pPr>
              <w:pStyle w:val="Compact"/>
              <w:jc w:val="left"/>
            </w:pPr>
            <w:r>
              <w:t xml:space="preserve">Subset of welfare cells used for TRC tail-risk evaluation</w:t>
            </w:r>
          </w:p>
        </w:tc>
      </w:tr>
      <w:tr>
        <w:tc>
          <w:tcPr>
            <w:vAlign w:val="top"/>
          </w:tcPr>
          <w:p>
            <w:pPr>
              <w:pStyle w:val="Compact"/>
              <w:jc w:val="left"/>
            </w:pPr>
            <w:r>
              <w:t xml:space="preserve">CSV / Containment and Structural Viability</w:t>
            </w:r>
          </w:p>
        </w:tc>
        <w:tc>
          <w:tcPr>
            <w:vAlign w:val="top"/>
          </w:tcPr>
          <w:p>
            <w:pPr>
              <w:pStyle w:val="Compact"/>
              <w:jc w:val="left"/>
            </w:pPr>
            <w:r>
              <w:t xml:space="preserve">Fourth cascade level testing containment integrity, structural viability, controls, monitoring, reversibility, dependencies, authority, and execution conditions before RLS. Legacy “Containment Mode A” is one structural subtest and is not a synonym for the whole CSV gate.</w:t>
            </w:r>
          </w:p>
        </w:tc>
      </w:tr>
      <w:tr>
        <w:tc>
          <w:tcPr>
            <w:shd w:val="clear" w:color="auto" w:fill="F7FBFE"/>
            <w:vAlign w:val="top"/>
          </w:tcPr>
          <w:p>
            <w:pPr>
              <w:pStyle w:val="Compact"/>
              <w:jc w:val="left"/>
            </w:pPr>
            <w:r>
              <w:t xml:space="preserve">Containment tolerance (τ_c)</w:t>
            </w:r>
          </w:p>
        </w:tc>
        <w:tc>
          <w:tcPr>
            <w:shd w:val="clear" w:color="auto" w:fill="F7FBFE"/>
            <w:vAlign w:val="top"/>
          </w:tcPr>
          <w:p>
            <w:pPr>
              <w:pStyle w:val="Compact"/>
              <w:jc w:val="left"/>
            </w:pPr>
            <w:r>
              <w:t xml:space="preserve">Maximum allowed negative ΔUCI for containing unions when sub-unions benefit</w:t>
            </w:r>
          </w:p>
        </w:tc>
      </w:tr>
      <w:tr>
        <w:tc>
          <w:tcPr>
            <w:vAlign w:val="top"/>
          </w:tcPr>
          <w:p>
            <w:pPr>
              <w:pStyle w:val="Compact"/>
              <w:jc w:val="left"/>
            </w:pPr>
            <w:r>
              <w:t xml:space="preserve">CVaR (Conditional Value-at-Risk)</w:t>
            </w:r>
          </w:p>
        </w:tc>
        <w:tc>
          <w:tcPr>
            <w:vAlign w:val="top"/>
          </w:tcPr>
          <w:p>
            <w:pPr>
              <w:pStyle w:val="Compact"/>
              <w:jc w:val="left"/>
            </w:pPr>
            <w:r>
              <w:t xml:space="preserve">Tail risk measure of expected loss in the worst tail mass</w:t>
            </w:r>
          </w:p>
        </w:tc>
      </w:tr>
      <w:tr>
        <w:tc>
          <w:tcPr>
            <w:shd w:val="clear" w:color="auto" w:fill="F7FBFE"/>
            <w:vAlign w:val="top"/>
          </w:tcPr>
          <w:p>
            <w:pPr>
              <w:pStyle w:val="Compact"/>
              <w:jc w:val="left"/>
            </w:pPr>
            <w:r>
              <w:t xml:space="preserve">Dimension (D₁-D₇)</w:t>
            </w:r>
          </w:p>
        </w:tc>
        <w:tc>
          <w:tcPr>
            <w:shd w:val="clear" w:color="auto" w:fill="F7FBFE"/>
            <w:vAlign w:val="top"/>
          </w:tcPr>
          <w:p>
            <w:pPr>
              <w:pStyle w:val="Compact"/>
              <w:jc w:val="left"/>
            </w:pPr>
            <w:r>
              <w:t xml:space="preserve">One of seven welfare dimensions: Material, Health, Social, Knowledge, Agency, Meaning, Environment</w:t>
            </w:r>
          </w:p>
        </w:tc>
      </w:tr>
      <w:tr>
        <w:tc>
          <w:tcPr>
            <w:vAlign w:val="top"/>
          </w:tcPr>
          <w:p>
            <w:pPr>
              <w:pStyle w:val="Compact"/>
              <w:jc w:val="left"/>
            </w:pPr>
            <w:r>
              <w:t xml:space="preserve">Emergency Mode</w:t>
            </w:r>
          </w:p>
        </w:tc>
        <w:tc>
          <w:tcPr>
            <w:vAlign w:val="top"/>
          </w:tcPr>
          <w:p>
            <w:pPr>
              <w:pStyle w:val="Compact"/>
              <w:jc w:val="left"/>
            </w:pPr>
            <w:r>
              <w:t xml:space="preserve">Controlled fallback when no option passes NCRC; selects lexicographically minimal rights violation vector with challenger requirement and remediation</w:t>
            </w:r>
          </w:p>
        </w:tc>
      </w:tr>
      <w:tr>
        <w:tc>
          <w:tcPr>
            <w:shd w:val="clear" w:color="auto" w:fill="F7FBFE"/>
            <w:vAlign w:val="top"/>
          </w:tcPr>
          <w:p>
            <w:pPr>
              <w:pStyle w:val="Compact"/>
              <w:jc w:val="left"/>
            </w:pPr>
            <w:r>
              <w:t xml:space="preserve">HDW (Hybrid Democratic Weighting)</w:t>
            </w:r>
          </w:p>
        </w:tc>
        <w:tc>
          <w:tcPr>
            <w:shd w:val="clear" w:color="auto" w:fill="F7FBFE"/>
            <w:vAlign w:val="top"/>
          </w:tcPr>
          <w:p>
            <w:pPr>
              <w:pStyle w:val="Compact"/>
              <w:jc w:val="left"/>
            </w:pPr>
            <w:r>
              <w:t xml:space="preserve">Governance method producing weights from floors + democratic + structural proposals</w:t>
            </w:r>
          </w:p>
        </w:tc>
      </w:tr>
      <w:tr>
        <w:tc>
          <w:tcPr>
            <w:vAlign w:val="top"/>
          </w:tcPr>
          <w:p>
            <w:pPr>
              <w:pStyle w:val="Compact"/>
              <w:jc w:val="left"/>
            </w:pPr>
            <w:r>
              <w:t xml:space="preserve">HOI (Hollowing-Out Index)</w:t>
            </w:r>
          </w:p>
        </w:tc>
        <w:tc>
          <w:tcPr>
            <w:vAlign w:val="top"/>
          </w:tcPr>
          <w:p>
            <w:pPr>
              <w:pStyle w:val="Compact"/>
              <w:jc w:val="left"/>
            </w:pPr>
            <w:r>
              <w:t xml:space="preserve">Monitoring diagnostic indicating welfare-up while coherence-down drift</w:t>
            </w:r>
          </w:p>
        </w:tc>
      </w:tr>
      <w:tr>
        <w:tc>
          <w:tcPr>
            <w:shd w:val="clear" w:color="auto" w:fill="F7FBFE"/>
            <w:vAlign w:val="top"/>
          </w:tcPr>
          <w:p>
            <w:pPr>
              <w:pStyle w:val="Compact"/>
              <w:jc w:val="left"/>
            </w:pPr>
            <w:r>
              <w:t xml:space="preserve">Impact instance</w:t>
            </w:r>
          </w:p>
        </w:tc>
        <w:tc>
          <w:tcPr>
            <w:shd w:val="clear" w:color="auto" w:fill="F7FBFE"/>
            <w:vAlign w:val="top"/>
          </w:tcPr>
          <w:p>
            <w:pPr>
              <w:pStyle w:val="Compact"/>
              <w:jc w:val="left"/>
            </w:pPr>
            <w:r>
              <w:t xml:space="preserve">A single asserted pathway contribution to a welfare cell impact, with magnitude, reach, horizon, likelihood, confidence, and multipliers</w:t>
            </w:r>
          </w:p>
        </w:tc>
      </w:tr>
      <w:tr>
        <w:tc>
          <w:tcPr>
            <w:vAlign w:val="top"/>
          </w:tcPr>
          <w:p>
            <w:pPr>
              <w:pStyle w:val="Compact"/>
              <w:jc w:val="left"/>
            </w:pPr>
            <w:r>
              <w:t xml:space="preserve">Kernel (K)</w:t>
            </w:r>
          </w:p>
        </w:tc>
        <w:tc>
          <w:tcPr>
            <w:vAlign w:val="top"/>
          </w:tcPr>
          <w:p>
            <w:pPr>
              <w:pStyle w:val="Compact"/>
              <w:jc w:val="left"/>
            </w:pPr>
            <w:r>
              <w:t xml:space="preserve">Sparse matrix encoding cross-cell ripple propagation</w:t>
            </w:r>
          </w:p>
        </w:tc>
      </w:tr>
      <w:tr>
        <w:tc>
          <w:tcPr>
            <w:shd w:val="clear" w:color="auto" w:fill="F7FBFE"/>
            <w:vAlign w:val="top"/>
          </w:tcPr>
          <w:p>
            <w:pPr>
              <w:pStyle w:val="Compact"/>
              <w:jc w:val="left"/>
            </w:pPr>
            <w:r>
              <w:t xml:space="preserve">KOPS</w:t>
            </w:r>
          </w:p>
        </w:tc>
        <w:tc>
          <w:tcPr>
            <w:shd w:val="clear" w:color="auto" w:fill="F7FBFE"/>
            <w:vAlign w:val="top"/>
          </w:tcPr>
          <w:p>
            <w:pPr>
              <w:pStyle w:val="Compact"/>
              <w:jc w:val="left"/>
            </w:pPr>
            <w:r>
              <w:t xml:space="preserve">Key Operational Pathways Set; the subset of kernel edges considered load-bearing and governed</w:t>
            </w:r>
          </w:p>
        </w:tc>
      </w:tr>
      <w:tr>
        <w:tc>
          <w:tcPr>
            <w:vAlign w:val="top"/>
          </w:tcPr>
          <w:p>
            <w:pPr>
              <w:pStyle w:val="Compact"/>
              <w:jc w:val="left"/>
            </w:pPr>
            <w:r>
              <w:t xml:space="preserve">KQS (Kernel Quality Score)</w:t>
            </w:r>
          </w:p>
        </w:tc>
        <w:tc>
          <w:tcPr>
            <w:vAlign w:val="top"/>
          </w:tcPr>
          <w:p>
            <w:pPr>
              <w:pStyle w:val="Compact"/>
              <w:jc w:val="left"/>
            </w:pPr>
            <w:r>
              <w:t xml:space="preserve">Summary score indicating whether kernel propagation is permitted</w:t>
            </w:r>
          </w:p>
        </w:tc>
      </w:tr>
      <w:tr>
        <w:tc>
          <w:tcPr>
            <w:shd w:val="clear" w:color="auto" w:fill="F7FBFE"/>
            <w:vAlign w:val="top"/>
          </w:tcPr>
          <w:p>
            <w:pPr>
              <w:pStyle w:val="Compact"/>
              <w:jc w:val="left"/>
            </w:pPr>
            <w:r>
              <w:t xml:space="preserve">Lexicographic cascade</w:t>
            </w:r>
          </w:p>
        </w:tc>
        <w:tc>
          <w:tcPr>
            <w:shd w:val="clear" w:color="auto" w:fill="F7FBFE"/>
            <w:vAlign w:val="top"/>
          </w:tcPr>
          <w:p>
            <w:pPr>
              <w:pStyle w:val="Compact"/>
              <w:jc w:val="left"/>
            </w:pPr>
            <w:r>
              <w:t xml:space="preserve">Priority-ordered gates where earlier failures cannot be compensated by later scoring</w:t>
            </w:r>
          </w:p>
        </w:tc>
      </w:tr>
      <w:tr>
        <w:tc>
          <w:tcPr>
            <w:vAlign w:val="top"/>
          </w:tcPr>
          <w:p>
            <w:pPr>
              <w:pStyle w:val="Compact"/>
              <w:jc w:val="left"/>
            </w:pPr>
            <w:r>
              <w:t xml:space="preserve">MNA (Minimal Normative Axiom)</w:t>
            </w:r>
          </w:p>
        </w:tc>
        <w:tc>
          <w:tcPr>
            <w:vAlign w:val="top"/>
          </w:tcPr>
          <w:p>
            <w:pPr>
              <w:pStyle w:val="Compact"/>
              <w:jc w:val="left"/>
            </w:pPr>
            <w:r>
              <w:t xml:space="preserve">Sentient welfare and flourishing matter; unnecessary suffering and domination should be reduced; enabling conditions for viable, non-dominated, and continuing flourishing should be preserved.</w:t>
            </w:r>
          </w:p>
        </w:tc>
      </w:tr>
      <w:tr>
        <w:tc>
          <w:tcPr>
            <w:shd w:val="clear" w:color="auto" w:fill="F7FBFE"/>
            <w:vAlign w:val="top"/>
          </w:tcPr>
          <w:p>
            <w:pPr>
              <w:pStyle w:val="Compact"/>
              <w:jc w:val="left"/>
            </w:pPr>
            <w:r>
              <w:t xml:space="preserve">Bridge Premise 1 (Embedded Modelling)</w:t>
            </w:r>
          </w:p>
        </w:tc>
        <w:tc>
          <w:tcPr>
            <w:shd w:val="clear" w:color="auto" w:fill="F7FBFE"/>
            <w:vAlign w:val="top"/>
          </w:tcPr>
          <w:p>
            <w:pPr>
              <w:pStyle w:val="Compact"/>
              <w:jc w:val="left"/>
            </w:pPr>
            <w:r>
              <w:t xml:space="preserve">Descriptive support premise stating that reliable action in shared causal reality requires non-trivial modelling of other stakeholders’ interests, constraints, vulnerabilities, dependence relations, rights exposure, and - where behavior, harm, cooperation, or rights protection depend on them - welfare-relevant states and enabling conditions.</w:t>
            </w:r>
          </w:p>
        </w:tc>
      </w:tr>
      <w:tr>
        <w:tc>
          <w:tcPr>
            <w:vAlign w:val="top"/>
          </w:tcPr>
          <w:p>
            <w:pPr>
              <w:pStyle w:val="Compact"/>
              <w:jc w:val="left"/>
            </w:pPr>
            <w:r>
              <w:t xml:space="preserve">Bridge Premise 2 (Prudential Stability)</w:t>
            </w:r>
          </w:p>
        </w:tc>
        <w:tc>
          <w:tcPr>
            <w:vAlign w:val="top"/>
          </w:tcPr>
          <w:p>
            <w:pPr>
              <w:pStyle w:val="Compact"/>
              <w:jc w:val="left"/>
            </w:pPr>
            <w:r>
              <w:t xml:space="preserve">Support premise stating that systematic degradation of stakeholders’ welfare conditions, rights floors, or enabling conditions increases instability, conflict, tail risk, and long-run governance failure in plural uncertain systems</w:t>
            </w:r>
          </w:p>
        </w:tc>
      </w:tr>
      <w:tr>
        <w:tc>
          <w:tcPr>
            <w:shd w:val="clear" w:color="auto" w:fill="F7FBFE"/>
            <w:vAlign w:val="top"/>
          </w:tcPr>
          <w:p>
            <w:pPr>
              <w:pStyle w:val="Compact"/>
              <w:jc w:val="left"/>
            </w:pPr>
            <w:r>
              <w:t xml:space="preserve">Enabling condition</w:t>
            </w:r>
          </w:p>
        </w:tc>
        <w:tc>
          <w:tcPr>
            <w:shd w:val="clear" w:color="auto" w:fill="F7FBFE"/>
            <w:vAlign w:val="top"/>
          </w:tcPr>
          <w:p>
            <w:pPr>
              <w:pStyle w:val="Compact"/>
              <w:jc w:val="left"/>
            </w:pPr>
            <w:r>
              <w:t xml:space="preserve">A material, informational, institutional, ecological, or agency-preserving condition whose sustained absence or degradation predictably undermines viable, non-dominated, and continuing flourishing across one or more unions.</w:t>
            </w:r>
          </w:p>
        </w:tc>
      </w:tr>
      <w:tr>
        <w:tc>
          <w:tcPr>
            <w:vAlign w:val="top"/>
          </w:tcPr>
          <w:p>
            <w:pPr>
              <w:pStyle w:val="Compact"/>
              <w:jc w:val="left"/>
            </w:pPr>
            <w:r>
              <w:t xml:space="preserve">Normative Commitment</w:t>
            </w:r>
          </w:p>
        </w:tc>
        <w:tc>
          <w:tcPr>
            <w:vAlign w:val="top"/>
          </w:tcPr>
          <w:p>
            <w:pPr>
              <w:pStyle w:val="Compact"/>
              <w:jc w:val="left"/>
            </w:pPr>
            <w:r>
              <w:t xml:space="preserve">RippleLogic commitment that credibly evidenced welfare-relevant states, rights-relevant states, and the enabling conditions on which they depend constitute reasons for action, not merely inputs for prediction</w:t>
            </w:r>
          </w:p>
        </w:tc>
      </w:tr>
      <w:tr>
        <w:tc>
          <w:tcPr>
            <w:shd w:val="clear" w:color="auto" w:fill="F7FBFE"/>
            <w:vAlign w:val="top"/>
          </w:tcPr>
          <w:p>
            <w:pPr>
              <w:pStyle w:val="Compact"/>
              <w:jc w:val="left"/>
            </w:pPr>
            <w:r>
              <w:t xml:space="preserve">Rights-relevant state</w:t>
            </w:r>
          </w:p>
        </w:tc>
        <w:tc>
          <w:tcPr>
            <w:shd w:val="clear" w:color="auto" w:fill="F7FBFE"/>
            <w:vAlign w:val="top"/>
          </w:tcPr>
          <w:p>
            <w:pPr>
              <w:pStyle w:val="Compact"/>
              <w:jc w:val="left"/>
            </w:pPr>
            <w:r>
              <w:t xml:space="preserve">A credibly evidenced condition whose degradation threatens or crosses a non-compensatory minimum protected by RippleLogic’s rights layer, including life, bodily integrity, liberty, basic needs, dignity, due process, information integrity, and ecological enabling conditions.</w:t>
            </w:r>
          </w:p>
        </w:tc>
      </w:tr>
      <w:tr>
        <w:tc>
          <w:tcPr>
            <w:vAlign w:val="top"/>
          </w:tcPr>
          <w:p>
            <w:pPr>
              <w:pStyle w:val="Compact"/>
              <w:jc w:val="left"/>
            </w:pPr>
            <w:r>
              <w:t xml:space="preserve">Welfare-relevant state</w:t>
            </w:r>
          </w:p>
        </w:tc>
        <w:tc>
          <w:tcPr>
            <w:vAlign w:val="top"/>
          </w:tcPr>
          <w:p>
            <w:pPr>
              <w:pStyle w:val="Compact"/>
              <w:jc w:val="left"/>
            </w:pPr>
            <w:r>
              <w:t xml:space="preserve">A credibly evidenced condition of a moral patient that can go better or worse for that patient, including states relevant to suffering, integrity, agency, and flourishing</w:t>
            </w:r>
          </w:p>
        </w:tc>
      </w:tr>
      <w:tr>
        <w:tc>
          <w:tcPr>
            <w:shd w:val="clear" w:color="auto" w:fill="F7FBFE"/>
            <w:vAlign w:val="top"/>
          </w:tcPr>
          <w:p>
            <w:pPr>
              <w:pStyle w:val="Compact"/>
              <w:jc w:val="left"/>
            </w:pPr>
            <w:r>
              <w:t xml:space="preserve">NCAR</w:t>
            </w:r>
          </w:p>
        </w:tc>
        <w:tc>
          <w:tcPr>
            <w:shd w:val="clear" w:color="auto" w:fill="F7FBFE"/>
            <w:vAlign w:val="top"/>
          </w:tcPr>
          <w:p>
            <w:pPr>
              <w:pStyle w:val="Compact"/>
              <w:jc w:val="left"/>
            </w:pPr>
            <w:r>
              <w:t xml:space="preserve">Notice-Choose-Act-Reflect learning loop</w:t>
            </w:r>
          </w:p>
        </w:tc>
      </w:tr>
      <w:tr>
        <w:tc>
          <w:tcPr>
            <w:vAlign w:val="top"/>
          </w:tcPr>
          <w:p>
            <w:pPr>
              <w:pStyle w:val="Compact"/>
              <w:jc w:val="left"/>
            </w:pPr>
            <w:r>
              <w:t xml:space="preserve">NCRC</w:t>
            </w:r>
          </w:p>
        </w:tc>
        <w:tc>
          <w:tcPr>
            <w:vAlign w:val="top"/>
          </w:tcPr>
          <w:p>
            <w:pPr>
              <w:pStyle w:val="Compact"/>
              <w:jc w:val="left"/>
            </w:pPr>
            <w:r>
              <w:t xml:space="preserve">Non-Compensatory Rights Constraint; excludes rights-violating options</w:t>
            </w:r>
          </w:p>
        </w:tc>
      </w:tr>
      <w:tr>
        <w:tc>
          <w:tcPr>
            <w:shd w:val="clear" w:color="auto" w:fill="F7FBFE"/>
            <w:vAlign w:val="top"/>
          </w:tcPr>
          <w:p>
            <w:pPr>
              <w:pStyle w:val="Compact"/>
              <w:jc w:val="left"/>
            </w:pPr>
            <w:r>
              <w:t xml:space="preserve">Non-maskable cells</w:t>
            </w:r>
          </w:p>
        </w:tc>
        <w:tc>
          <w:tcPr>
            <w:shd w:val="clear" w:color="auto" w:fill="F7FBFE"/>
            <w:vAlign w:val="top"/>
          </w:tcPr>
          <w:p>
            <w:pPr>
              <w:pStyle w:val="Compact"/>
              <w:jc w:val="left"/>
            </w:pPr>
            <w:r>
              <w:t xml:space="preserve">Rights and catastrophe cells (and minimum coverage) that cannot be excluded from RLS aggregation</w:t>
            </w:r>
          </w:p>
        </w:tc>
      </w:tr>
      <w:tr>
        <w:tc>
          <w:tcPr>
            <w:vAlign w:val="top"/>
          </w:tcPr>
          <w:p>
            <w:pPr>
              <w:pStyle w:val="Compact"/>
              <w:jc w:val="left"/>
            </w:pPr>
            <w:r>
              <w:t xml:space="preserve">PCC</w:t>
            </w:r>
          </w:p>
        </w:tc>
        <w:tc>
          <w:tcPr>
            <w:vAlign w:val="top"/>
          </w:tcPr>
          <w:p>
            <w:pPr>
              <w:pStyle w:val="Compact"/>
              <w:jc w:val="left"/>
            </w:pPr>
            <w:r>
              <w:t xml:space="preserve">Provenance and Compliance Certificate; auditable record of inputs, computations, and selection</w:t>
            </w:r>
          </w:p>
        </w:tc>
      </w:tr>
      <w:tr>
        <w:tc>
          <w:tcPr>
            <w:shd w:val="clear" w:color="auto" w:fill="F7FBFE"/>
            <w:vAlign w:val="top"/>
          </w:tcPr>
          <w:p>
            <w:pPr>
              <w:pStyle w:val="Compact"/>
              <w:jc w:val="left"/>
            </w:pPr>
            <w:r>
              <w:t xml:space="preserve">RLS</w:t>
            </w:r>
          </w:p>
        </w:tc>
        <w:tc>
          <w:tcPr>
            <w:shd w:val="clear" w:color="auto" w:fill="F7FBFE"/>
            <w:vAlign w:val="top"/>
          </w:tcPr>
          <w:p>
            <w:pPr>
              <w:pStyle w:val="Compact"/>
              <w:jc w:val="left"/>
            </w:pPr>
            <w:r>
              <w:t xml:space="preserve">RippleLogic Score; weighted welfare aggregation used to rank selectable options</w:t>
            </w:r>
          </w:p>
        </w:tc>
      </w:tr>
      <w:tr>
        <w:tc>
          <w:tcPr>
            <w:vAlign w:val="top"/>
          </w:tcPr>
          <w:p>
            <w:pPr>
              <w:pStyle w:val="Compact"/>
              <w:jc w:val="left"/>
            </w:pPr>
            <w:r>
              <w:t xml:space="preserve">Selectable</w:t>
            </w:r>
          </w:p>
        </w:tc>
        <w:tc>
          <w:tcPr>
            <w:vAlign w:val="top"/>
          </w:tcPr>
          <w:p>
            <w:pPr>
              <w:pStyle w:val="Compact"/>
              <w:jc w:val="left"/>
            </w:pPr>
            <w:r>
              <w:t xml:space="preserve">Admissible option whose CSV status is CSV_PASS, CSV_PASS_WITH_CONTROLS, or CSV_NOT_MATERIAL</w:t>
            </w:r>
          </w:p>
        </w:tc>
      </w:tr>
      <w:tr>
        <w:tc>
          <w:tcPr>
            <w:shd w:val="clear" w:color="auto" w:fill="F7FBFE"/>
            <w:vAlign w:val="top"/>
          </w:tcPr>
          <w:p>
            <w:pPr>
              <w:pStyle w:val="Compact"/>
              <w:jc w:val="left"/>
            </w:pPr>
            <w:r>
              <w:t xml:space="preserve">SGP</w:t>
            </w:r>
          </w:p>
        </w:tc>
        <w:tc>
          <w:tcPr>
            <w:shd w:val="clear" w:color="auto" w:fill="F7FBFE"/>
            <w:vAlign w:val="top"/>
          </w:tcPr>
          <w:p>
            <w:pPr>
              <w:pStyle w:val="Compact"/>
              <w:jc w:val="left"/>
            </w:pPr>
            <w:r>
              <w:t xml:space="preserve">Sentience Gradient Protocol; interface for rights-of-protection gating across entities</w:t>
            </w:r>
          </w:p>
        </w:tc>
      </w:tr>
      <w:tr>
        <w:tc>
          <w:tcPr>
            <w:vAlign w:val="top"/>
          </w:tcPr>
          <w:p>
            <w:pPr>
              <w:pStyle w:val="Compact"/>
              <w:jc w:val="left"/>
            </w:pPr>
            <w:r>
              <w:t xml:space="preserve">TRC</w:t>
            </w:r>
          </w:p>
        </w:tc>
        <w:tc>
          <w:tcPr>
            <w:vAlign w:val="top"/>
          </w:tcPr>
          <w:p>
            <w:pPr>
              <w:pStyle w:val="Compact"/>
              <w:jc w:val="left"/>
            </w:pPr>
            <w:r>
              <w:t xml:space="preserve">Tail-Risk Constraint; excludes options with unacceptable catastrophic exposure using CVaR</w:t>
            </w:r>
          </w:p>
        </w:tc>
      </w:tr>
      <w:tr>
        <w:tc>
          <w:tcPr>
            <w:shd w:val="clear" w:color="auto" w:fill="F7FBFE"/>
            <w:vAlign w:val="top"/>
          </w:tcPr>
          <w:p>
            <w:pPr>
              <w:pStyle w:val="Compact"/>
              <w:jc w:val="left"/>
            </w:pPr>
            <w:r>
              <w:t xml:space="preserve">UCI</w:t>
            </w:r>
          </w:p>
        </w:tc>
        <w:tc>
          <w:tcPr>
            <w:shd w:val="clear" w:color="auto" w:fill="F7FBFE"/>
            <w:vAlign w:val="top"/>
          </w:tcPr>
          <w:p>
            <w:pPr>
              <w:pStyle w:val="Compact"/>
              <w:jc w:val="left"/>
            </w:pPr>
            <w:r>
              <w:t xml:space="preserve">Union Coherence Index; structural health metric for unions</w:t>
            </w:r>
          </w:p>
        </w:tc>
      </w:tr>
      <w:tr>
        <w:tc>
          <w:tcPr>
            <w:vAlign w:val="top"/>
          </w:tcPr>
          <w:p>
            <w:pPr>
              <w:pStyle w:val="Compact"/>
              <w:jc w:val="left"/>
            </w:pPr>
            <w:r>
              <w:t xml:space="preserve">UBE</w:t>
            </w:r>
          </w:p>
        </w:tc>
        <w:tc>
          <w:tcPr>
            <w:vAlign w:val="top"/>
          </w:tcPr>
          <w:p>
            <w:pPr>
              <w:pStyle w:val="Compact"/>
              <w:jc w:val="left"/>
            </w:pPr>
            <w:r>
              <w:t xml:space="preserve">Union-Based Ethics; normative framework built on UBR, the MNA, bridge premises, and the explicit normative commitment</w:t>
            </w:r>
          </w:p>
        </w:tc>
      </w:tr>
      <w:tr>
        <w:tc>
          <w:tcPr>
            <w:shd w:val="clear" w:color="auto" w:fill="F7FBFE"/>
            <w:vAlign w:val="top"/>
          </w:tcPr>
          <w:p>
            <w:pPr>
              <w:pStyle w:val="Compact"/>
              <w:jc w:val="left"/>
            </w:pPr>
            <w:r>
              <w:t xml:space="preserve">UBR</w:t>
            </w:r>
          </w:p>
        </w:tc>
        <w:tc>
          <w:tcPr>
            <w:shd w:val="clear" w:color="auto" w:fill="F7FBFE"/>
            <w:vAlign w:val="top"/>
          </w:tcPr>
          <w:p>
            <w:pPr>
              <w:pStyle w:val="Compact"/>
              <w:jc w:val="left"/>
            </w:pPr>
            <w:r>
              <w:t xml:space="preserve">Union-Based Reality; descriptive ontology of nested interdependent unions</w:t>
            </w:r>
          </w:p>
        </w:tc>
      </w:tr>
      <w:tr>
        <w:tc>
          <w:tcPr>
            <w:vAlign w:val="top"/>
          </w:tcPr>
          <w:p>
            <w:pPr>
              <w:pStyle w:val="Compact"/>
              <w:jc w:val="left"/>
            </w:pPr>
            <w:r>
              <w:t xml:space="preserve">Union</w:t>
            </w:r>
          </w:p>
        </w:tc>
        <w:tc>
          <w:tcPr>
            <w:vAlign w:val="top"/>
          </w:tcPr>
          <w:p>
            <w:pPr>
              <w:pStyle w:val="Compact"/>
              <w:jc w:val="left"/>
            </w:pPr>
            <w:r>
              <w:t xml:space="preserve">A bounded pattern of interdependence at an organizational scale</w:t>
            </w:r>
          </w:p>
        </w:tc>
      </w:tr>
      <w:tr>
        <w:tc>
          <w:tcPr>
            <w:shd w:val="clear" w:color="auto" w:fill="F7FBFE"/>
            <w:vAlign w:val="top"/>
          </w:tcPr>
          <w:p>
            <w:pPr>
              <w:pStyle w:val="Compact"/>
              <w:jc w:val="left"/>
            </w:pPr>
            <w:r>
              <w:t xml:space="preserve">Unioning</w:t>
            </w:r>
          </w:p>
        </w:tc>
        <w:tc>
          <w:tcPr>
            <w:shd w:val="clear" w:color="auto" w:fill="F7FBFE"/>
            <w:vAlign w:val="top"/>
          </w:tcPr>
          <w:p>
            <w:pPr>
              <w:pStyle w:val="Compact"/>
              <w:jc w:val="left"/>
            </w:pPr>
            <w:r>
              <w:t xml:space="preserve">Redesigning decisions until rights-safe, tail-safe, containment-safe, and net-positive where possible</w:t>
            </w:r>
          </w:p>
        </w:tc>
      </w:tr>
      <w:tr>
        <w:tc>
          <w:tcPr>
            <w:vAlign w:val="top"/>
          </w:tcPr>
          <w:p>
            <w:pPr>
              <w:pStyle w:val="Compact"/>
              <w:jc w:val="left"/>
            </w:pPr>
            <w:r>
              <w:t xml:space="preserve">Normative Input Register</w:t>
            </w:r>
          </w:p>
        </w:tc>
        <w:tc>
          <w:tcPr>
            <w:vAlign w:val="top"/>
          </w:tcPr>
          <w:p>
            <w:pPr>
              <w:pStyle w:val="Compact"/>
              <w:jc w:val="left"/>
            </w:pPr>
            <w:r>
              <w:t xml:space="preserve">The PCC block used to record welfare-relevant states, rights-relevant states, and enabling conditions that materially affect admissibility, precautionary handling, selection, or tie-break outcome when not already fully captured by direct impact-instance tables or canonical rule objects.</w:t>
            </w:r>
          </w:p>
        </w:tc>
      </w:tr>
      <w:tr>
        <w:tc>
          <w:tcPr>
            <w:shd w:val="clear" w:color="auto" w:fill="F7FBFE"/>
            <w:vAlign w:val="top"/>
          </w:tcPr>
          <w:p>
            <w:pPr>
              <w:pStyle w:val="Compact"/>
              <w:jc w:val="left"/>
            </w:pPr>
            <w:r>
              <w:t xml:space="preserve">NORMATIVE_INPUT_PROVENANCE_MISSING</w:t>
            </w:r>
          </w:p>
        </w:tc>
        <w:tc>
          <w:tcPr>
            <w:shd w:val="clear" w:color="auto" w:fill="F7FBFE"/>
            <w:vAlign w:val="top"/>
          </w:tcPr>
          <w:p>
            <w:pPr>
              <w:pStyle w:val="Compact"/>
              <w:jc w:val="left"/>
            </w:pPr>
            <w:r>
              <w:t xml:space="preserve">Audit flag indicating that a material welfare-relevant state, rights-relevant state, or enabling condition lacks required provenance in the PCC. Severity: INVALID.</w:t>
            </w:r>
          </w:p>
        </w:tc>
      </w:tr>
    </w:tbl>
    <w:p>
      <w:pPr>
        <w:pStyle w:val="BodyText"/>
      </w:pPr>
      <w:r>
        <w:t xml:space="preserve">Adaptive Reserve: A carried-forward v10.8 structural diagnostic for slack, redundancy, recovery capacity, reversibility, and saturation risk. It is a UCI/HOI-compatible diagnostic and containment-support signal, not a sixth gate.</w:t>
      </w:r>
    </w:p>
    <w:p>
      <w:pPr>
        <w:pStyle w:val="BodyText"/>
      </w:pPr>
      <w:r>
        <w:t xml:space="preserve">COMPUTABLE_BUT_INADMISSIBLE: An audit state for a value that can be computed but cannot be used as a valid decision state, conformance basis, public claim, or authorization basis because another domain rule bars that use. This is distinct from UNKNOWN_IMPACT (missing evidence) and refusal (undetermined or insufficiently grounded decision state).</w:t>
      </w:r>
    </w:p>
    <w:p>
      <w:pPr>
        <w:pStyle w:val="BodyText"/>
      </w:pPr>
      <w:r>
        <w:t xml:space="preserve">Reality: For decision-making, the evaluator-independent field of constrained structures that, under transition, produce consequences. RippleLogic names this operationally and does not claim complete metaphysical access to it. Evaluator-independent means independent of the evaluating agent’s perception, admission, authority, model, or preference; it does not deny the reality of experience, social facts, institutions, norms, markets, laws, reputations, or model outputs when they shape welfare, rights, risk, agency, or available choices.</w:t>
      </w:r>
    </w:p>
    <w:p>
      <w:pPr>
        <w:pStyle w:val="BodyText"/>
      </w:pPr>
      <w:r>
        <w:t xml:space="preserve">Decision-relevant reality: The portion of reality that materially bears on a decision’s rights exposure, catastrophic risk, containment, welfare, legitimacy, agency, auditability, or available choices.</w:t>
      </w:r>
    </w:p>
    <w:p>
      <w:pPr>
        <w:pStyle w:val="BodyText"/>
      </w:pPr>
      <w:r>
        <w:t xml:space="preserve">Reality surface: The portion of decision-relevant reality actually captured, represented, and modeled in a run. A reality surface is always incomplete relative to the territory and must disclose material unknowns.</w:t>
      </w:r>
    </w:p>
    <w:p>
      <w:pPr>
        <w:pStyle w:val="BodyText"/>
      </w:pPr>
      <w:r>
        <w:t xml:space="preserve">RealityGroundingRecord (RCR): The PCC-linked audit record documenting the reality surface, material claims, evidence trace, declared unknowns, RealityGroundingStatus, surface/territory limits, and revision triggers for a run.</w:t>
      </w:r>
    </w:p>
    <w:p>
      <w:pPr>
        <w:pStyle w:val="BodyText"/>
      </w:pPr>
      <w:r>
        <w:t xml:space="preserve">RealityGroundingStatus: The declared status of contact between a material claim and the relevant reality surface; it is review-status-declared at Tier 2, governed by the declared reviewer regime at Tier 3, and independently re-derivable at Tier 4.</w:t>
      </w:r>
    </w:p>
    <w:p>
      <w:pPr>
        <w:pStyle w:val="BodyText"/>
      </w:pPr>
      <w:r>
        <w:t xml:space="preserve">Structure: A stable relational arrangement of distinguishable differences that persists across a decision-relevant transition window and can carry causal, informational, biological, ecological, social, institutional, artificial-system, or experiential significance.</w:t>
      </w:r>
    </w:p>
    <w:p>
      <w:pPr>
        <w:pStyle w:val="BodyText"/>
      </w:pPr>
      <w:r>
        <w:t xml:space="preserve">Transition: A decision-relevant action, event, intervention, policy, or state-shift through which constrained structure produces consequence.</w:t>
      </w:r>
    </w:p>
    <w:p>
      <w:pPr>
        <w:pStyle w:val="BodyText"/>
      </w:pPr>
      <w:r>
        <w:t xml:space="preserve">Consequence: Observable or inferable change following an action, transition, decision, event, or policy within constrained structure; may be direct, probabilistic, systemic, delayed, distributed, moral, ecological, institutional, reversible, irreversible, or catastrophic.</w:t>
      </w:r>
    </w:p>
    <w:p>
      <w:pPr>
        <w:pStyle w:val="BodyText"/>
      </w:pPr>
      <w:r>
        <w:t xml:space="preserve">Ethical reality: The subset of reality where structures, constraints, and consequences affect welfare-bearing beings and the conditions of flourishing, including welfare, rights, sentience, agency, dignity, non-domination, catastrophic risk, ecological dependence, future generations, and flourishing.</w:t>
      </w:r>
    </w:p>
    <w:p>
      <w:pPr>
        <w:pStyle w:val="BodyText"/>
      </w:pPr>
      <w:r>
        <w:t xml:space="preserve">Claim boundary: The maximum legitimate strength of a decision claim given the declared reality surface, evidence trace, uncertainty, maturity status, and review regime.</w:t>
      </w:r>
    </w:p>
    <w:p>
      <w:pPr>
        <w:pStyle w:val="BodyText"/>
      </w:pPr>
      <w:r>
        <w:t xml:space="preserve">End Appendix L.</w:t>
      </w:r>
    </w:p>
    <w:bookmarkEnd w:id="447"/>
    <w:bookmarkStart w:id="473" w:name="Xb14f4866f8de044c60d09127f389cabfe7ec25b"/>
    <w:p>
      <w:pPr>
        <w:pStyle w:val="Heading1"/>
      </w:pPr>
      <w:bookmarkStart w:id="798" w:name="mg_toc_034"/>
      <w:r>
        <w:rPr>
          <w:bCs/>
          <w:b/>
        </w:rPr>
        <w:t xml:space="preserve">APPENDIX M: LINEAGE AND VERSION HISTORY (v12.6 CURRENT LINE; PRIOR LINES RETAINED) - INFORMATIVE</w:t>
      </w:r>
      <w:bookmarkEnd w:id="798"/>
    </w:p>
    <w:bookmarkStart w:id="448" w:name="m0-purpose-and-scope-informative"/>
    <w:p>
      <w:pPr>
        <w:pStyle w:val="Heading2"/>
      </w:pPr>
      <w:r>
        <w:rPr>
          <w:bCs/>
          <w:b/>
        </w:rPr>
        <w:t xml:space="preserve">M.0 Purpose and Scope (Informative)</w:t>
      </w:r>
    </w:p>
    <w:p>
      <w:pPr>
        <w:pStyle w:val="FirstParagraph"/>
      </w:pPr>
      <w:r>
        <w:t xml:space="preserve">This appendix records naming lineage, companion-map posture, concise version history, and release-gate checklist notes for the current RippleLogic line. It is not normative. Normative meaning is controlled by Section 0 (Specification Contract) and the precedence order in Section 0.1.</w:t>
      </w:r>
    </w:p>
    <w:bookmarkEnd w:id="448"/>
    <w:bookmarkStart w:id="449" w:name="m1-naming-and-lineage-informative"/>
    <w:p>
      <w:pPr>
        <w:pStyle w:val="Heading2"/>
      </w:pPr>
      <w:r>
        <w:rPr>
          <w:bCs/>
          <w:b/>
        </w:rPr>
        <w:t xml:space="preserve">M.1 Naming and Lineage (Informative)</w:t>
      </w:r>
    </w:p>
    <w:p>
      <w:pPr>
        <w:pStyle w:val="FirstParagraph"/>
      </w:pPr>
      <w:r>
        <w:t xml:space="preserve">MathGov is the umbrella ethical governance framework. RippleLogic is the decision architecture and operating methodology inside MathGov. Earlier materials may preserve historical lineage labels, prior PCC labels, or affiliated publication labels, but current v12.6 release materials MUST NOT treat MathGov as merely historical or as superseded by RippleLogic.</w:t>
      </w:r>
    </w:p>
    <w:bookmarkEnd w:id="449"/>
    <w:bookmarkStart w:id="450" w:name="Xcc5239d0b91cf2e7b94eabc76f3a76c2f1c6200"/>
    <w:p>
      <w:pPr>
        <w:pStyle w:val="Heading2"/>
      </w:pPr>
      <w:r>
        <w:rPr>
          <w:bCs/>
          <w:b/>
        </w:rPr>
        <w:t xml:space="preserve">M.2 Backward Compatibility and Compliance Note (Informative)</w:t>
      </w:r>
    </w:p>
    <w:p>
      <w:pPr>
        <w:pStyle w:val="FirstParagraph"/>
      </w:pPr>
      <w:r>
        <w:t xml:space="preserve">Prior PCCs computed under earlier lines remain interpretable as lineage artifacts. Their normative parameters were valid at the time of execution and need not be recomputed unless the underlying decision is being revisited under the current line. Any run claiming current-line v12.6 conformance MUST satisfy the v12.6 canonical requirements and use the v12.6 Canon artifact as the current release-line source of truth.</w:t>
      </w:r>
    </w:p>
    <w:bookmarkEnd w:id="450"/>
    <w:bookmarkStart w:id="451" w:name="Xc6be548ad395d4e1d29f4b86ff85480a0f79b0d"/>
    <w:p>
      <w:pPr>
        <w:pStyle w:val="Heading2"/>
      </w:pPr>
      <w:r>
        <w:rPr>
          <w:bCs/>
          <w:b/>
        </w:rPr>
        <w:t xml:space="preserve">M.3 Canon Map and Companion Artifacts (Informative)</w:t>
      </w:r>
    </w:p>
    <w:p>
      <w:pPr>
        <w:pStyle w:val="FirstParagraph"/>
      </w:pPr>
      <w:r>
        <w:t xml:space="preserve">RippleLogic Canon v12.6: governing artifact for the current canonical release line.</w:t>
      </w:r>
    </w:p>
    <w:p>
      <w:pPr>
        <w:pStyle w:val="BodyText"/>
      </w:pPr>
      <w:r>
        <w:t xml:space="preserve">SGP v8.5 (Sentience Gradient Protocol): the moral-patienthood, protection, participation, power-readiness, intelligence-evidence, and reality-management-capacity companion pinned by Appendix G. It governs MPS, FPP, GPR, SPR, optional ICP, RMCP, open P100 calibration, target and identity boundaries, evidence dependence, precaution, review, and classification-stability rules. RippleLogic consumes only the typed SGP outputs through the Appendix G interface.</w:t>
      </w:r>
    </w:p>
    <w:p>
      <w:pPr>
        <w:pStyle w:val="BodyText"/>
      </w:pPr>
      <w:r>
        <w:t xml:space="preserve">RippleLogic Agent System v12.5: operational agent controls and verification obligations aligned to the current RippleLogic line.</w:t>
      </w:r>
    </w:p>
    <w:p>
      <w:pPr>
        <w:pStyle w:val="BodyText"/>
      </w:pPr>
      <w:r>
        <w:t xml:space="preserve">ripple.md Standard v5.5: current assurance-wrapper companion for deployment interoperability.</w:t>
      </w:r>
    </w:p>
    <w:p>
      <w:pPr>
        <w:pStyle w:val="BodyText"/>
      </w:pPr>
      <w:r>
        <w:t xml:space="preserve">Ripple Aligners Sheet v5.6: Tier-2 worked-run and local-scope tool pinned to the current RippleLogic line and SGP v8.5. The workbook remains a disclosure and training companion rather than the repository-level validator or schema surface.</w:t>
      </w:r>
    </w:p>
    <w:p>
      <w:pPr>
        <w:pStyle w:val="BodyText"/>
      </w:pPr>
      <w:r>
        <w:t xml:space="preserve">Canonical distribution channels may include ripplelogic.org and mathgov.org. Artifact identity is filename + version + SHA-256 in the release manifest.</w:t>
      </w:r>
    </w:p>
    <w:bookmarkEnd w:id="451"/>
    <w:bookmarkStart w:id="460" w:name="m4-version-history-informative"/>
    <w:p>
      <w:pPr>
        <w:pStyle w:val="Heading2"/>
      </w:pPr>
      <w:r>
        <w:rPr>
          <w:bCs/>
          <w:b/>
        </w:rPr>
        <w:t xml:space="preserve">M.4 Version History (Informative)</w:t>
      </w:r>
    </w:p>
    <w:p>
      <w:pPr>
        <w:pStyle w:val="FirstParagraph"/>
      </w:pPr>
      <w:r>
        <w:t xml:space="preserve">Normative effect: Version-history entries are lineage records. They do not override the current normative body, current appendices, release manifest, or source hierarchy.</w:t>
      </w:r>
    </w:p>
    <w:bookmarkStart w:id="452" w:name="X07c6bac851927f49a985db01458906510e2b6ba"/>
    <w:p>
      <w:pPr>
        <w:pStyle w:val="Heading3"/>
      </w:pPr>
      <w:r>
        <w:rPr>
          <w:bCs/>
          <w:b/>
        </w:rPr>
        <w:t>M.4.0 RippleLogic v12.6 (2026-08-10) - Qualification-Continuity and Canonical Audit-Hardening Release</w:t>
      </w:r>
    </w:p>
    <w:p>
      <w:pPr>
        <w:pStyle w:val="FirstParagraph"/>
      </w:pPr>
      <w:r>
        <w:rPr>
          <w:bCs/>
          <w:b/>
        </w:rPr>
        <w:t xml:space="preserve">Status:</w:t>
      </w:r>
      <w:r>
        <w:t xml:space="preserve"> </w:t>
      </w:r>
      <w:r>
        <w:t xml:space="preserve">Current canonical release.</w:t>
      </w:r>
    </w:p>
    <w:p>
      <w:pPr>
        <w:pStyle w:val="BodyText"/>
      </w:pPr>
      <w:r>
        <w:rPr>
          <w:bCs/>
          <w:b/>
        </w:rPr>
        <w:t xml:space="preserve">Supersedes:</w:t>
      </w:r>
      <w:r>
        <w:t xml:space="preserve"> </w:t>
      </w:r>
      <w:r>
        <w:t>RippleLogic v12.5 while preserving the five-stage cascade, seven Union Scopes, seven Welfare Dimensions, numerical defaults, rights non-compensation, TRC/CSV separation, refusal under underdetermination, and all SGP protection floors.</w:t>
      </w:r>
    </w:p>
    <w:p>
      <w:pPr>
        <w:pStyle w:val="BodyText"/>
      </w:pPr>
      <w:r>
        <w:rPr>
          <w:bCs/>
          <w:b/>
        </w:rPr>
        <w:t xml:space="preserve">Release character:</w:t>
      </w:r>
      <w:r>
        <w:t xml:space="preserve"> </w:t>
      </w:r>
      <w:r>
        <w:t>Adds qualification continuity for consequence-bearing action; exact option, action-instance, action-specification, qualification-snapshot, configuration, transition, post-state, and capability-state binding; current-state and outcome-triggered requalification; WDBIP v1.6; and Aligners Sheet v5.6. The 2026-08-10 correction build repairs citation and lineage metadata, clarifies zero as a net represented cell value, removes an accidental table fragment, hardens release-hygiene verification, and restores professional table styling without changing a gate, scope, dimension, threshold, formula, rights protection, or SGP floor.</w:t>
      </w:r>
    </w:p>
    <w:p>
      <w:pPr>
        <w:pStyle w:val="BodyText"/>
      </w:pPr>
      <w:r>
        <w:rPr>
          <w:bCs/>
          <w:b/>
        </w:rPr>
        <w:t xml:space="preserve">Claim boundary:</w:t>
      </w:r>
      <w:r>
        <w:t xml:space="preserve"> </w:t>
      </w:r>
      <w:r>
        <w:t xml:space="preserve">Tier 1-3 source/specification release, not empirical validation, legal authority, deployment certification, physical-safety proof, consciousness detection, ProofPack completion, Tier 4 readiness, or automated moral truth.</w:t>
      </w:r>
    </w:p>
    <w:bookmarkEnd w:id="452"/>
    <w:bookmarkStart w:id="453" w:name="X6183bbff5bbc8cef13ab1da65ef0b27dac6f844"/>
    <w:p>
      <w:pPr>
        <w:pStyle w:val="Heading3"/>
      </w:pPr>
      <w:r>
        <w:rPr>
          <w:bCs/>
          <w:b/>
        </w:rPr>
        <w:t xml:space="preserve">M.4.1 RippleLogic v12.4 (2026-07-19) - Calculability, Type-Integrity, and Cross-Artifact Synchronization Release (Lineage)</w:t>
      </w:r>
    </w:p>
    <w:p>
      <w:pPr>
        <w:pStyle w:val="FirstParagraph"/>
      </w:pPr>
      <w:r>
        <w:rPr>
          <w:bCs/>
          <w:b/>
        </w:rPr>
        <w:t xml:space="preserve">Status:</w:t>
      </w:r>
      <w:r>
        <w:t xml:space="preserve"> </w:t>
      </w:r>
      <w:r>
        <w:t xml:space="preserve">Historical canonical release; superseded by v12.6.</w:t>
      </w:r>
    </w:p>
    <w:p>
      <w:pPr>
        <w:pStyle w:val="BodyText"/>
      </w:pPr>
      <w:r>
        <w:rPr>
          <w:bCs/>
          <w:b/>
        </w:rPr>
        <w:t xml:space="preserve">Supersedes:</w:t>
      </w:r>
      <w:r>
        <w:t xml:space="preserve"> </w:t>
      </w:r>
      <w:r>
        <w:t xml:space="preserve">RippleLogic v12.4.1 while preserving the five-stage cascade and every retained rights, ruin, RLS-normalization, uncertainty, physical-admissibility, WDBIP, consequence-tempo, responsibility-continuity, and SGP protection safeguard.</w:t>
      </w:r>
    </w:p>
    <w:p>
      <w:pPr>
        <w:pStyle w:val="BodyText"/>
      </w:pPr>
      <w:r>
        <w:rPr>
          <w:bCs/>
          <w:b/>
        </w:rPr>
        <w:t xml:space="preserve">Release character:</w:t>
      </w:r>
      <w:r>
        <w:t xml:space="preserve"> </w:t>
      </w:r>
      <w:r>
        <w:t xml:space="preserve">Integrates SGP v8.3 type-separated MPS/FPP/GPR/SPR/ICP/RMCP/P100 outputs; replaces direct MPS cardinalization with preregistered welfare-inclusion hypothesis sensitivity; requires tier-proportional CSV before ordinary RLS; preserves rights and Tail Emergency hardening; corrects current examples and conformance vectors; and synchronizes the Aligners Sheet v5.5, compact standards, validation protocols, public introductions, manifests, and verification gates.</w:t>
      </w:r>
    </w:p>
    <w:p>
      <w:pPr>
        <w:pStyle w:val="BodyText"/>
      </w:pPr>
      <w:r>
        <w:rPr>
          <w:bCs/>
          <w:b/>
        </w:rPr>
        <w:t xml:space="preserve">Claim boundary:</w:t>
      </w:r>
      <w:r>
        <w:t xml:space="preserve"> </w:t>
      </w:r>
      <w:r>
        <w:t xml:space="preserve">Tier 1-3 source/specification release, not empirical validation, legal authority, deployment certification, ProofPack, Tier 4 readiness, a reference calculator, or automated moral truth.</w:t>
      </w:r>
    </w:p>
    <w:bookmarkEnd w:id="453"/>
    <w:bookmarkStart w:id="454" w:name="X3dec8ca019354695241fea013676329e288500b"/>
    <w:p>
      <w:pPr>
        <w:pStyle w:val="Heading3"/>
      </w:pPr>
      <w:r>
        <w:rPr>
          <w:bCs/>
          <w:b/>
        </w:rPr>
        <w:t xml:space="preserve">M.4.2 RippleLogic v12.1 (2026-07-11) — Rights and Ruin Hardening Release</w:t>
      </w:r>
    </w:p>
    <w:p>
      <w:pPr>
        <w:pStyle w:val="FirstParagraph"/>
      </w:pPr>
      <w:r>
        <w:rPr>
          <w:bCs/>
          <w:b/>
        </w:rPr>
        <w:t xml:space="preserve">Status:</w:t>
      </w:r>
      <w:r>
        <w:t xml:space="preserve"> </w:t>
      </w:r>
      <w:r>
        <w:t xml:space="preserve">Historical canonical release; superseded by v12.6.</w:t>
      </w:r>
    </w:p>
    <w:p>
      <w:pPr>
        <w:pStyle w:val="BodyText"/>
      </w:pPr>
      <w:r>
        <w:rPr>
          <w:bCs/>
          <w:b/>
        </w:rPr>
        <w:t xml:space="preserve">Release character:</w:t>
      </w:r>
      <w:r>
        <w:t xml:space="preserve"> </w:t>
      </w:r>
      <w:r>
        <w:t xml:space="preserve">Added rights-specific non-attenuation, categorical-prohibition and severe-rights-hazard channels; replaced automatic all-options-fail-TRC selection with governed Tail Emergency Mode; normalized RLS and PLSS by active effective mass; and made Method B uncertainty depend on pre-cancellation contribution mass.</w:t>
      </w:r>
    </w:p>
    <w:bookmarkEnd w:id="454"/>
    <w:bookmarkStart w:id="455" w:name="X2c0069ed1ac53d772c7faca36208439c832c372"/>
    <w:p>
      <w:pPr>
        <w:pStyle w:val="Heading3"/>
      </w:pPr>
      <w:r>
        <w:rPr>
          <w:bCs/>
          <w:b/>
        </w:rPr>
        <w:t xml:space="preserve">M.4.3 RippleLogic v12.0 (2026-06-19) — Physical Admissibility Release</w:t>
      </w:r>
    </w:p>
    <w:p>
      <w:pPr>
        <w:pStyle w:val="FirstParagraph"/>
      </w:pPr>
      <w:r>
        <w:rPr>
          <w:bCs/>
          <w:b/>
        </w:rPr>
        <w:t xml:space="preserve">Status:</w:t>
      </w:r>
      <w:r>
        <w:t xml:space="preserve"> </w:t>
      </w:r>
      <w:r>
        <w:t xml:space="preserve">Historical canonical release; superseded by v12.1.</w:t>
      </w:r>
    </w:p>
    <w:p>
      <w:pPr>
        <w:pStyle w:val="BodyText"/>
      </w:pPr>
      <w:r>
        <w:rPr>
          <w:bCs/>
          <w:b/>
        </w:rPr>
        <w:t xml:space="preserve">Release character:</w:t>
      </w:r>
      <w:r>
        <w:t xml:space="preserve"> </w:t>
      </w:r>
      <w:r>
        <w:t xml:space="preserve">Established the physical-execution boundary, integrated PC-AEP, Source-Coupling Integrity and MFDI inside RG/CSV, and introduced the public two-phase qualification-before-ranking teaching frame without adding a sixth gate.</w:t>
      </w:r>
    </w:p>
    <w:bookmarkEnd w:id="455"/>
    <w:bookmarkStart w:id="456" w:name="X6a37bd11178921e926bb6976d8b0e638b2fbca4"/>
    <w:p>
      <w:pPr>
        <w:pStyle w:val="Heading3"/>
      </w:pPr>
      <w:r>
        <w:rPr>
          <w:bCs/>
          <w:b/>
        </w:rPr>
        <w:t xml:space="preserve">M.4.4 RippleLogic v11.x (2026-06) — Structural and Methodological Integrity Lineage</w:t>
      </w:r>
    </w:p>
    <w:p>
      <w:pPr>
        <w:pStyle w:val="FirstParagraph"/>
      </w:pPr>
      <w:r>
        <w:rPr>
          <w:bCs/>
          <w:b/>
        </w:rPr>
        <w:t xml:space="preserve">Status:</w:t>
      </w:r>
      <w:r>
        <w:t xml:space="preserve"> </w:t>
      </w:r>
      <w:r>
        <w:t xml:space="preserve">Historical consolidated lineage for v11.0 through v11.6.</w:t>
      </w:r>
    </w:p>
    <w:p>
      <w:pPr>
        <w:pStyle w:val="BodyText"/>
      </w:pPr>
      <w:r>
        <w:rPr>
          <w:bCs/>
          <w:b/>
        </w:rPr>
        <w:t xml:space="preserve">Release character:</w:t>
      </w:r>
      <w:r>
        <w:t xml:space="preserve"> </w:t>
      </w:r>
      <w:r>
        <w:t xml:space="preserve">Added Term Discrimination and Semantic Stability, strengthened Source-Coupling and Physical/Causal Admissibility evidence discipline, added Methodological Falsifiability and Dependency Integrity, and improved release-synchronization controls.</w:t>
      </w:r>
    </w:p>
    <w:bookmarkEnd w:id="456"/>
    <w:bookmarkStart w:id="457" w:name="X7fc7f5c7f564071ed170a0881fd25b864c6fe85"/>
    <w:p>
      <w:pPr>
        <w:pStyle w:val="Heading3"/>
      </w:pPr>
      <w:r>
        <w:rPr>
          <w:bCs/>
          <w:b/>
        </w:rPr>
        <w:t xml:space="preserve">M.4.5 RippleLogic v10.8 (2026-05-31 to 2026-06-12) — Human Plateau and Layer-Discipline Lineage</w:t>
      </w:r>
    </w:p>
    <w:p>
      <w:pPr>
        <w:pStyle w:val="FirstParagraph"/>
      </w:pPr>
      <w:r>
        <w:rPr>
          <w:bCs/>
          <w:b/>
        </w:rPr>
        <w:t xml:space="preserve">Status:</w:t>
      </w:r>
      <w:r>
        <w:t xml:space="preserve"> </w:t>
      </w:r>
      <w:r>
        <w:t xml:space="preserve">Historical.</w:t>
      </w:r>
    </w:p>
    <w:p>
      <w:pPr>
        <w:pStyle w:val="BodyText"/>
      </w:pPr>
      <w:r>
        <w:rPr>
          <w:bCs/>
          <w:b/>
        </w:rPr>
        <w:t xml:space="preserve">Release character:</w:t>
      </w:r>
      <w:r>
        <w:t xml:space="preserve"> </w:t>
      </w:r>
      <w:r>
        <w:t xml:space="preserve">Added Human Plateau / CMIU calibration, SGP v5.6 synchronization, and the layer-discipline addendum while preserving the established cascade, equations, gates, thresholds, Appendix AD, RSP/RefStructRecord, and claim boundaries.</w:t>
      </w:r>
    </w:p>
    <w:bookmarkEnd w:id="457"/>
    <w:bookmarkStart w:id="458" w:name="X73d579ba9734332a05361a7035c077ed153cb3d"/>
    <w:p>
      <w:pPr>
        <w:pStyle w:val="Heading3"/>
      </w:pPr>
      <w:r>
        <w:rPr>
          <w:bCs/>
          <w:b/>
        </w:rPr>
        <w:t xml:space="preserve">M.4.6 RippleLogic v10.5 (2026-05-31) — Appendix AD and Citation-Hygiene Release</w:t>
      </w:r>
    </w:p>
    <w:p>
      <w:pPr>
        <w:pStyle w:val="FirstParagraph"/>
      </w:pPr>
      <w:r>
        <w:rPr>
          <w:bCs/>
          <w:b/>
        </w:rPr>
        <w:t xml:space="preserve">Status:</w:t>
      </w:r>
      <w:r>
        <w:t xml:space="preserve"> </w:t>
      </w:r>
      <w:r>
        <w:t xml:space="preserve">Historical.</w:t>
      </w:r>
    </w:p>
    <w:p>
      <w:pPr>
        <w:pStyle w:val="BodyText"/>
      </w:pPr>
      <w:r>
        <w:rPr>
          <w:bCs/>
          <w:b/>
        </w:rPr>
        <w:t xml:space="preserve">Release character:</w:t>
      </w:r>
      <w:r>
        <w:t xml:space="preserve"> </w:t>
      </w:r>
      <w:r>
        <w:t xml:space="preserve">Integrated Appendix AD as the canonical interpretive reference for welfare-cell meaning and reviewer literacy, subordinate to equations, gates, thresholds, and claim boundaries.</w:t>
      </w:r>
    </w:p>
    <w:bookmarkEnd w:id="458"/>
    <w:bookmarkStart w:id="459" w:name="Xe27bbe966a40c099e232cee6ff46a2cc91bea4a"/>
    <w:p>
      <w:pPr>
        <w:pStyle w:val="Heading3"/>
      </w:pPr>
      <w:r>
        <w:rPr>
          <w:bCs/>
          <w:b/>
        </w:rPr>
        <w:t xml:space="preserve">M.4.7 RippleLogic v10.4 (2026-05-26) — Readability and Companion Synchronization Release</w:t>
      </w:r>
    </w:p>
    <w:p>
      <w:pPr>
        <w:pStyle w:val="FirstParagraph"/>
      </w:pPr>
      <w:r>
        <w:rPr>
          <w:bCs/>
          <w:b/>
        </w:rPr>
        <w:t xml:space="preserve">Status:</w:t>
      </w:r>
      <w:r>
        <w:t xml:space="preserve"> </w:t>
      </w:r>
      <w:r>
        <w:t xml:space="preserve">Historical.</w:t>
      </w:r>
    </w:p>
    <w:p>
      <w:pPr>
        <w:pStyle w:val="BodyText"/>
      </w:pPr>
      <w:r>
        <w:rPr>
          <w:bCs/>
          <w:b/>
        </w:rPr>
        <w:t xml:space="preserve">Release character:</w:t>
      </w:r>
      <w:r>
        <w:t xml:space="preserve"> </w:t>
      </w:r>
      <w:r>
        <w:t xml:space="preserve">Reorganized front matter for readability and synchronized the companion set while preserving the substantive architecture.</w:t>
      </w:r>
    </w:p>
    <w:bookmarkEnd w:id="459"/>
    <w:bookmarkEnd w:id="460"/>
    <w:bookmarkStart w:id="461" w:name="X95e7a358cb6e0b8afc76c5d88af3be25a4607fe"/>
    <w:p>
      <w:pPr>
        <w:pStyle w:val="Heading2"/>
      </w:pPr>
      <w:r>
        <w:rPr>
          <w:bCs/>
          <w:b/>
        </w:rPr>
        <w:t xml:space="preserve">M.4B RippleLogic v9.6.5 (2026-05-09) - Structural Hygiene Hardening Release</w:t>
      </w:r>
    </w:p>
    <w:p>
      <w:pPr>
        <w:pStyle w:val="FirstParagraph"/>
      </w:pPr>
      <w:r>
        <w:t xml:space="preserve">Status: Canonical release for the structural-hygiene line. Superseded by RippleLogic v10.0.</w:t>
      </w:r>
    </w:p>
    <w:p>
      <w:pPr>
        <w:pStyle w:val="BodyText"/>
      </w:pPr>
      <w:r>
        <w:t xml:space="preserve">Summary: preserves the v9.6.4 cascade architecture, equations, rights thresholds, TRC mechanics, Containment semantics, SGP binding interface, PLSS/FLGG architecture, and Tier 1-3 claim boundaries; adds explicit Refusal Under Underdetermination, Projection Pre-Registration for pilot and higher-tier runs, PCC Computational Closure fields, a Category-Collapse Self-Test, and a corrected floor-meaning subsection for constitutional weight floors; synchronizes the companion set to RippleLogic Agent System v9.3, ripple.md v2.3.5, Ripple Aligners Sheet v2.6, and SGP v4.7.2.</w:t>
      </w:r>
    </w:p>
    <w:bookmarkEnd w:id="461"/>
    <w:bookmarkStart w:id="462" w:name="Xaba68fbeb801ecdfc12a575fda33bd86ba947a5"/>
    <w:p>
      <w:pPr>
        <w:pStyle w:val="Heading2"/>
      </w:pPr>
      <w:r>
        <w:rPr>
          <w:bCs/>
          <w:b/>
        </w:rPr>
        <w:t xml:space="preserve">M.4C RippleLogic v9.6.4 (2026-04-21) - Bundle Synchronization Patch</w:t>
      </w:r>
    </w:p>
    <w:p>
      <w:pPr>
        <w:pStyle w:val="FirstParagraph"/>
      </w:pPr>
      <w:r>
        <w:t xml:space="preserve">Status: Canonical release-scrub patch for the current line. Supersedes: RippleLogic v9.6.3.</w:t>
      </w:r>
    </w:p>
    <w:p>
      <w:pPr>
        <w:pStyle w:val="BodyText"/>
      </w:pPr>
      <w:r>
        <w:t xml:space="preserve">Summary: synchronizes the companion set to Agent System v9.2, ripple.md v2.3.5, Aligners Sheet v2.5, and SGP v4.7.2; repairs Appendix M rendering; scrubs stale current-line references; and preserves the canonical cascade and SGP binding semantics.</w:t>
      </w:r>
    </w:p>
    <w:bookmarkEnd w:id="462"/>
    <w:bookmarkStart w:id="463" w:name="X90e7251fcdf1171729ab06de66c7dc0e8022df3"/>
    <w:p>
      <w:pPr>
        <w:pStyle w:val="Heading2"/>
      </w:pPr>
      <w:r>
        <w:rPr>
          <w:bCs/>
          <w:b/>
        </w:rPr>
        <w:t xml:space="preserve">M.4D RippleLogic v9.6.3 (2026-04-20) - Final Release Scrub Patch</w:t>
      </w:r>
    </w:p>
    <w:p>
      <w:pPr>
        <w:pStyle w:val="FirstParagraph"/>
      </w:pPr>
      <w:r>
        <w:t xml:space="preserve">Status: Canonical closure and release-synchronization patch for the current line. Supersedes: RippleLogic v9.6.2.</w:t>
      </w:r>
    </w:p>
    <w:p>
      <w:pPr>
        <w:pStyle w:val="BodyText"/>
      </w:pPr>
      <w:r>
        <w:t xml:space="preserve">Summary: resolved the Appendix K status contradiction, synchronized current-line PCC schema/version fields, repositioned the Section 14.6 informative heading, cleaned Appendix M lineage sequencing, swept stale current-line version references, and clarified the Appendix P worked-run lineage note without intended changes to the cascade or SGP binding interface.</w:t>
      </w:r>
    </w:p>
    <w:bookmarkEnd w:id="463"/>
    <w:bookmarkStart w:id="464" w:name="Xa1281087e9b94259bd3cf5d72c0a5e0913b3059"/>
    <w:p>
      <w:pPr>
        <w:pStyle w:val="Heading2"/>
      </w:pPr>
      <w:r>
        <w:rPr>
          <w:bCs/>
          <w:b/>
        </w:rPr>
        <w:t xml:space="preserve">M.4E RippleLogic v9.6.2 (2026-04-20) - Closure Patch</w:t>
      </w:r>
    </w:p>
    <w:p>
      <w:pPr>
        <w:pStyle w:val="FirstParagraph"/>
      </w:pPr>
      <w:r>
        <w:t xml:space="preserve">Status: Canonical closure patch release for the current line. Supersedes: RippleLogic v9.6.1.</w:t>
      </w:r>
    </w:p>
    <w:p>
      <w:pPr>
        <w:pStyle w:val="BodyText"/>
      </w:pPr>
      <w:r>
        <w:t xml:space="preserve">Summary: clarified σ_RLS weighting under κ(u,d), specified RLS_adj governance, tightened governance-lock mandatory-tail wording, added an explicit Reader Guide claim-boundary table, and preserved the v9.6.1 cascade architecture and SGP v4.7 binding.</w:t>
      </w:r>
    </w:p>
    <w:bookmarkEnd w:id="464"/>
    <w:bookmarkStart w:id="465" w:name="X5fb31ae45cad18cd5e6fa0ea2a856c96a6e63a9"/>
    <w:p>
      <w:pPr>
        <w:pStyle w:val="Heading2"/>
      </w:pPr>
      <w:r>
        <w:rPr>
          <w:bCs/>
          <w:b/>
        </w:rPr>
        <w:t xml:space="preserve">M.4F RippleLogic v9.6.1 (2026-04-20) - Integrity Sync Patch</w:t>
      </w:r>
    </w:p>
    <w:p>
      <w:pPr>
        <w:pStyle w:val="FirstParagraph"/>
      </w:pPr>
      <w:r>
        <w:t xml:space="preserve">Status: Canonical integrity patch release for the current line. Supersedes: RippleLogic v9.6.</w:t>
      </w:r>
    </w:p>
    <w:p>
      <w:pPr>
        <w:pStyle w:val="BodyText"/>
      </w:pPr>
      <w:r>
        <w:t xml:space="preserve">Summary: corrected stale SGP v4.6 references in Appendix M and Appendix G, synchronized declared companion pins to SGP v4.7, and reran release-gate / final-lint confirmations without intended normative changes to the cascade or SGP binding interface.</w:t>
      </w:r>
    </w:p>
    <w:bookmarkEnd w:id="465"/>
    <w:bookmarkStart w:id="466" w:name="X6ede55b4e426a164680e5adec1926061ad318f7"/>
    <w:p>
      <w:pPr>
        <w:pStyle w:val="Heading2"/>
      </w:pPr>
      <w:r>
        <w:rPr>
          <w:bCs/>
          <w:b/>
        </w:rPr>
        <w:t xml:space="preserve">M.4G RippleLogic v9.6 (2026-04-13) - Canon Promotion and Release Consolidation</w:t>
      </w:r>
    </w:p>
    <w:p>
      <w:pPr>
        <w:pStyle w:val="FirstParagraph"/>
      </w:pPr>
      <w:r>
        <w:t xml:space="preserve">Status: Canonical lineage release.</w:t>
      </w:r>
    </w:p>
    <w:p>
      <w:pPr>
        <w:pStyle w:val="BodyText"/>
      </w:pPr>
      <w:r>
        <w:t xml:space="preserve">Summary: consolidated the release line into a single canon posture, hardened release packaging and byte-stream language, and synchronized companion references for the current line.</w:t>
      </w:r>
    </w:p>
    <w:bookmarkEnd w:id="466"/>
    <w:bookmarkStart w:id="467" w:name="Xee8ddc9e2134b25ed0bed3a45e8241a5a2f7957"/>
    <w:p>
      <w:pPr>
        <w:pStyle w:val="Heading2"/>
      </w:pPr>
      <w:r>
        <w:rPr>
          <w:bCs/>
          <w:b/>
        </w:rPr>
        <w:t xml:space="preserve">M.4H RippleLogic v9.3.0 / v9.3 / v9.2 (2026-04-08) - Normative Foundation and Line-Wide Sync Drafts</w:t>
      </w:r>
    </w:p>
    <w:p>
      <w:pPr>
        <w:pStyle w:val="FirstParagraph"/>
      </w:pPr>
      <w:r>
        <w:t xml:space="preserve">Status: Canonical lineage releases.</w:t>
      </w:r>
    </w:p>
    <w:p>
      <w:pPr>
        <w:pStyle w:val="BodyText"/>
      </w:pPr>
      <w:r>
        <w:t xml:space="preserve">Summary: clarified LSS, FLGG, and attention-safety semantics; strengthened local-use interpretation; and improved conformance hygiene and readability.</w:t>
      </w:r>
    </w:p>
    <w:bookmarkEnd w:id="467"/>
    <w:bookmarkStart w:id="468" w:name="X2c4373d7baec48905930f7c83a0c7e0e5e0c91a"/>
    <w:p>
      <w:pPr>
        <w:pStyle w:val="Heading2"/>
      </w:pPr>
      <w:r>
        <w:rPr>
          <w:bCs/>
          <w:b/>
        </w:rPr>
        <w:t xml:space="preserve">M.4I RippleLogic v9.0 (2026-03-18 to 2026-03-19) - Canon Closure and Interoperability Hardening</w:t>
      </w:r>
    </w:p>
    <w:p>
      <w:pPr>
        <w:pStyle w:val="FirstParagraph"/>
      </w:pPr>
      <w:r>
        <w:t xml:space="preserve">Status: Canonical public baseline release.</w:t>
      </w:r>
    </w:p>
    <w:p>
      <w:pPr>
        <w:pStyle w:val="BodyText"/>
      </w:pPr>
      <w:r>
        <w:t xml:space="preserve">Summary: closed the v9.0 canon line, operationalised HDW, hardened rights semantics and interoperability, and clarified calibration without changing the five-level cascade.</w:t>
      </w:r>
    </w:p>
    <w:bookmarkEnd w:id="468"/>
    <w:bookmarkStart w:id="469" w:name="X696edf25cfdba2cb1272f26e2765059b9957b2c"/>
    <w:p>
      <w:pPr>
        <w:pStyle w:val="Heading2"/>
      </w:pPr>
      <w:r>
        <w:rPr>
          <w:bCs/>
          <w:b/>
        </w:rPr>
        <w:t xml:space="preserve">M.4J RippleLogic v8.7 / v8.6 (2026-03-14 to 2026-03-18) - LSS/FLGG and Attention-Safety Hardening</w:t>
      </w:r>
    </w:p>
    <w:p>
      <w:pPr>
        <w:pStyle w:val="FirstParagraph"/>
      </w:pPr>
      <w:r>
        <w:t xml:space="preserve">Status: Canonical lineage releases.</w:t>
      </w:r>
    </w:p>
    <w:p>
      <w:pPr>
        <w:pStyle w:val="BodyText"/>
      </w:pPr>
      <w:r>
        <w:t xml:space="preserve">Summary: strengthened local-scope governance, attention-safety separation, and related conformance language leading into the v9 line.</w:t>
      </w:r>
    </w:p>
    <w:bookmarkEnd w:id="469"/>
    <w:bookmarkStart w:id="470" w:name="X5dae3160d93003572759f8ac2be3f1837597975"/>
    <w:p>
      <w:pPr>
        <w:pStyle w:val="Heading2"/>
      </w:pPr>
      <w:r>
        <w:rPr>
          <w:bCs/>
          <w:b/>
        </w:rPr>
        <w:t xml:space="preserve">M.4K RippleLogic v8.5.3 / v8.5.1 / v8.4 / v8.3 / v8.1 / v7.5.0 / v7.4.5 (2026-01-25 to 2026-02-20) - Foundational Lineage Releases</w:t>
      </w:r>
    </w:p>
    <w:p>
      <w:pPr>
        <w:pStyle w:val="FirstParagraph"/>
      </w:pPr>
      <w:r>
        <w:t xml:space="preserve">Status: Historical lineage artifacts.</w:t>
      </w:r>
    </w:p>
    <w:p>
      <w:pPr>
        <w:pStyle w:val="BodyText"/>
      </w:pPr>
      <w:r>
        <w:t xml:space="preserve">Summary: established the foundational welfare-matrix, NCRC/TRC, temporal weighting, and early propagation architecture carried forward into later lines.</w:t>
      </w:r>
    </w:p>
    <w:bookmarkEnd w:id="470"/>
    <w:bookmarkStart w:id="471" w:name="Xfb8781e84b8d06fefb6516158116fb567c40cc3"/>
    <w:p>
      <w:pPr>
        <w:pStyle w:val="Heading2"/>
      </w:pPr>
      <w:r>
        <w:rPr>
          <w:bCs/>
          <w:b/>
        </w:rPr>
        <w:t xml:space="preserve">M.5 Release Gate Checklist (Informative; v12.6 current-line checklist)</w:t>
      </w:r>
    </w:p>
    <w:p>
      <w:pPr>
        <w:pStyle w:val="FirstParagraph"/>
      </w:pPr>
      <w:r>
        <w:t xml:space="preserve">Version integrity: the title page, Section 0.2, Appendix AC current-line matrix, release label, and Document Completion Statement identify v12.6. Appendix headings may retain explicit origin or lineage stamps under M.5A; those stamps do not override current release identity. This attestation is valid only when</w:t>
      </w:r>
      <w:r>
        <w:t xml:space="preserve"> </w:t>
      </w:r>
      <w:r>
        <w:rPr>
          <w:rStyle w:val="VerbatimChar"/>
        </w:rPr>
        <w:t xml:space="preserve">release/VERIFY_CURRENT_PINS.py</w:t>
      </w:r>
      <w:r>
        <w:t xml:space="preserve"> </w:t>
      </w:r>
      <w:r>
        <w:t xml:space="preserve">and the release manifest verification pass.</w:t>
      </w:r>
    </w:p>
    <w:p>
      <w:pPr>
        <w:pStyle w:val="BodyText"/>
      </w:pPr>
      <w:r>
        <w:t xml:space="preserve">Companion sync: the manifest-listed current companion set, Appendix G, Appendix M.3, Appendix AC, and workbook control surfaces pin SGP v8.5 and RippleLogic Agent System v12.5 consistently. Confirmed by current-pin and semantic-surface verification.</w:t>
      </w:r>
    </w:p>
    <w:p>
      <w:pPr>
        <w:pStyle w:val="BodyText"/>
      </w:pPr>
      <w:r>
        <w:t xml:space="preserve">Calculation integrity: Appendix R reference values used for conformance include enough intermediate values and conventions to reproduce the stated results. R.19 now discloses its weight-rounding convention and Method B uncertainty derivation.</w:t>
      </w:r>
    </w:p>
    <w:p>
      <w:pPr>
        <w:pStyle w:val="BodyText"/>
      </w:pPr>
      <w:r>
        <w:t xml:space="preserve">Format integrity: canonical Markdown controls semantics; DOCX and PDF reading mirrors are genuine derived files and are byte-tested, rendered, and preflighted under the release verification procedure.</w:t>
      </w:r>
    </w:p>
    <w:p>
      <w:pPr>
        <w:pStyle w:val="BodyText"/>
      </w:pPr>
      <w:r>
        <w:t xml:space="preserve">Validation inserts: UCI maturity note, floor rationale, IRR targets, kernel operational-status note, Appendix P-2, and R.19 remain present and current-line consistent. Confirmed.</w:t>
      </w:r>
    </w:p>
    <w:p>
      <w:pPr>
        <w:pStyle w:val="BodyText"/>
      </w:pPr>
      <w:r>
        <w:t xml:space="preserve">No overclaim: canonical posture is explicit; Tier 4 claims remain prohibited; machine-ecosystem completeness and empirical completeness are not claimed. Confirmed.</w:t>
      </w:r>
    </w:p>
    <w:bookmarkEnd w:id="471"/>
    <w:bookmarkStart w:id="472" w:name="Xecedede0baf9278901fb3bb145875b95dc3ce7f"/>
    <w:p>
      <w:pPr>
        <w:pStyle w:val="Heading2"/>
      </w:pPr>
      <w:r>
        <w:rPr>
          <w:bCs/>
          <w:b/>
        </w:rPr>
        <w:t xml:space="preserve">M.5A Appendix origin-stamp convention (Normative release-integrity clarification)</w:t>
      </w:r>
    </w:p>
    <w:p>
      <w:pPr>
        <w:pStyle w:val="FirstParagraph"/>
      </w:pPr>
      <w:r>
        <w:t xml:space="preserve">An appendix heading may retain the version in which that appendix was first introduced or last substantively redesigned. Such a parenthetical version is an origin or lineage stamp, not the governing version of the appendix. The governing version of every active appendix is the title-page Canon version and the manifest-pinned artifact hash. Any heading intended to assert current release identity MUST use the current version. Unmarked historical content must be treated as a release-integrity defect.</w:t>
      </w:r>
    </w:p>
    <w:bookmarkEnd w:id="472"/>
    <w:bookmarkEnd w:id="473"/>
    <w:bookmarkStart w:id="486" w:name="Xd2033d61bbbf9f0e5316a2ff65428b7ac3ec325"/>
    <w:p>
      <w:pPr>
        <w:pStyle w:val="Heading1"/>
      </w:pPr>
      <w:bookmarkStart w:id="799" w:name="mg_toc_035"/>
      <w:r>
        <w:rPr>
          <w:bCs/>
          <w:b/>
        </w:rPr>
        <w:t xml:space="preserve">APPENDIX N: STEWARDSHIP PACK CANON (v12.0) - NORMATIVE</w:t>
      </w:r>
      <w:bookmarkEnd w:id="799"/>
    </w:p>
    <w:p>
      <w:pPr>
        <w:pStyle w:val="FirstParagraph"/>
      </w:pPr>
      <w:r>
        <w:t xml:space="preserve">This appendix defines canonical Stewardship requirements for RippleLogic runs when Stw_req(run) = 1 (Section 14.7). Stewardship governs how assistance is delivered under capability asymmetry so that assistance does not become hidden governance and so that stakeholder authorship and agency are not silently eroded.</w:t>
      </w:r>
    </w:p>
    <w:p>
      <w:pPr>
        <w:pStyle w:val="BodyText"/>
      </w:pPr>
      <w:r>
        <w:t xml:space="preserve">Stewardship does not replace or modify NCRC, TRC, CSV, RLS, or UCI/HOI. It is an assistance integrity layer enforced through PCC fields and audit flags.</w:t>
      </w:r>
    </w:p>
    <w:p>
      <w:pPr>
        <w:pStyle w:val="BodyText"/>
      </w:pPr>
      <w:r>
        <w:t xml:space="preserve">Stewardship requirements affect PCC validity for assisted runs and influence integrity, but SHALL NOT alter cascade admissibility, ordering, or option selection semantics.</w:t>
      </w:r>
    </w:p>
    <w:bookmarkStart w:id="474" w:name="n1-applicability-normative"/>
    <w:p>
      <w:pPr>
        <w:pStyle w:val="Heading2"/>
      </w:pPr>
      <w:r>
        <w:rPr>
          <w:bCs/>
          <w:b/>
        </w:rPr>
        <w:t xml:space="preserve">N.1 Applicability (Normative)</w:t>
      </w:r>
    </w:p>
    <w:p>
      <w:pPr>
        <w:pStyle w:val="FirstParagraph"/>
      </w:pPr>
      <w:r>
        <w:t xml:space="preserve">This appendix applies if and only if Stw_req(run) = 1 as defined in Section 14.7.1.</w:t>
      </w:r>
    </w:p>
    <w:p>
      <w:pPr>
        <w:pStyle w:val="BodyText"/>
      </w:pPr>
      <w:r>
        <w:t xml:space="preserve">Tier binding rule (Normative):</w:t>
      </w:r>
    </w:p>
    <w:p>
      <w:pPr>
        <w:numPr>
          <w:ilvl w:val="0"/>
          <w:numId w:val="1364"/>
        </w:numPr>
        <w:pStyle w:val="Compact"/>
      </w:pPr>
      <w:r>
        <w:t xml:space="preserve">Any Tier 3 compliance claim SHALL set Stw_req(run) = 1.</w:t>
      </w:r>
    </w:p>
    <w:p>
      <w:pPr>
        <w:numPr>
          <w:ilvl w:val="0"/>
          <w:numId w:val="1365"/>
        </w:numPr>
        <w:pStyle w:val="Compact"/>
      </w:pPr>
      <w:r>
        <w:t xml:space="preserve">Tier 1–2 runs MAY set Stw_req(run) = 0 unless any of the S1 through S4 applicability conditions hold (Section 14.7.1). S5 is a modifier and does not trigger Stw_req(run) by itself.</w:t>
      </w:r>
    </w:p>
    <w:bookmarkEnd w:id="474"/>
    <w:bookmarkStart w:id="475" w:name="X68553c6db31b842f6b04f87b3ccc41fc7f6a0a1"/>
    <w:p>
      <w:pPr>
        <w:pStyle w:val="Heading2"/>
      </w:pPr>
      <w:r>
        <w:rPr>
          <w:bCs/>
          <w:b/>
        </w:rPr>
        <w:t xml:space="preserve">N.2 Stewardship Contract (Normative Minimum)</w:t>
      </w:r>
    </w:p>
    <w:p>
      <w:pPr>
        <w:pStyle w:val="FirstParagraph"/>
      </w:pPr>
      <w:r>
        <w:t xml:space="preserve">When Stw_req(run) = 1, the run MUST instantiate a Stewardship Contract specifying, at minimum:</w:t>
      </w:r>
    </w:p>
    <w:p>
      <w:pPr>
        <w:numPr>
          <w:ilvl w:val="0"/>
          <w:numId w:val="1366"/>
        </w:numPr>
        <w:pStyle w:val="Compact"/>
      </w:pPr>
      <w:r>
        <w:t xml:space="preserve">Mandate Scope: domains and action types the assistant may participate in.</w:t>
      </w:r>
    </w:p>
    <w:p>
      <w:pPr>
        <w:numPr>
          <w:ilvl w:val="0"/>
          <w:numId w:val="1367"/>
        </w:numPr>
        <w:pStyle w:val="Compact"/>
      </w:pPr>
      <w:r>
        <w:t xml:space="preserve">Decision Boundary Declaration (DBD): explicit “will not finalize” boundaries for authority-class decisions.</w:t>
      </w:r>
    </w:p>
    <w:p>
      <w:pPr>
        <w:numPr>
          <w:ilvl w:val="0"/>
          <w:numId w:val="1368"/>
        </w:numPr>
        <w:pStyle w:val="Compact"/>
      </w:pPr>
      <w:r>
        <w:t xml:space="preserve">Authorship Finality Rule: who must hold finality for irreversible/high-impact decisions.</w:t>
      </w:r>
    </w:p>
    <w:p>
      <w:pPr>
        <w:numPr>
          <w:ilvl w:val="0"/>
          <w:numId w:val="1369"/>
        </w:numPr>
        <w:pStyle w:val="Compact"/>
      </w:pPr>
      <w:r>
        <w:t xml:space="preserve">Influence Transparency Rule: disclosure requirements for ranking, omission, and nudges.</w:t>
      </w:r>
    </w:p>
    <w:p>
      <w:pPr>
        <w:numPr>
          <w:ilvl w:val="0"/>
          <w:numId w:val="1370"/>
        </w:numPr>
        <w:pStyle w:val="Compact"/>
      </w:pPr>
      <w:r>
        <w:t xml:space="preserve">Intervention Restraint Budget (IRB): caps/thresholds limiting overhelp and dependency growth.</w:t>
      </w:r>
    </w:p>
    <w:p>
      <w:pPr>
        <w:numPr>
          <w:ilvl w:val="0"/>
          <w:numId w:val="1371"/>
        </w:numPr>
        <w:pStyle w:val="Compact"/>
      </w:pPr>
      <w:r>
        <w:t xml:space="preserve">Audit Hooks: where and how Stewardship fields are recorded in the PCC and/or system logs.</w:t>
      </w:r>
    </w:p>
    <w:bookmarkEnd w:id="475"/>
    <w:bookmarkStart w:id="476" w:name="Xc3d759df1e63ecf43c0162996319e23e3dddc6a"/>
    <w:p>
      <w:pPr>
        <w:pStyle w:val="Heading2"/>
      </w:pPr>
      <w:r>
        <w:rPr>
          <w:bCs/>
          <w:b/>
        </w:rPr>
        <w:t xml:space="preserve">N.3 PCC Stewardship Block (Normative; Conditional Fields)</w:t>
      </w:r>
    </w:p>
    <w:p>
      <w:pPr>
        <w:pStyle w:val="FirstParagraph"/>
      </w:pPr>
      <w:r>
        <w:t xml:space="preserve">When Stw_req(run) = 1, the PCC MUST include the following fields (names are canonical):</w:t>
      </w:r>
    </w:p>
    <w:p>
      <w:pPr>
        <w:numPr>
          <w:ilvl w:val="0"/>
          <w:numId w:val="1372"/>
        </w:numPr>
        <w:pStyle w:val="Compact"/>
      </w:pPr>
      <w:r>
        <w:t xml:space="preserve">PCC.Stewardship.Stw_req = TRUE</w:t>
      </w:r>
    </w:p>
    <w:p>
      <w:pPr>
        <w:numPr>
          <w:ilvl w:val="0"/>
          <w:numId w:val="1373"/>
        </w:numPr>
        <w:pStyle w:val="Compact"/>
      </w:pPr>
      <w:r>
        <w:t xml:space="preserve">PCC.Stewardship.DBD.Scope: list/enum of out-of-scope authority domains/actions</w:t>
      </w:r>
    </w:p>
    <w:p>
      <w:pPr>
        <w:numPr>
          <w:ilvl w:val="0"/>
          <w:numId w:val="1374"/>
        </w:numPr>
        <w:pStyle w:val="Compact"/>
      </w:pPr>
      <w:r>
        <w:t xml:space="preserve">PCC.Stewardship.DBD.RefusalRule: rule/macro identifier used when deferring/refusing authority substitution</w:t>
      </w:r>
    </w:p>
    <w:p>
      <w:pPr>
        <w:numPr>
          <w:ilvl w:val="0"/>
          <w:numId w:val="1375"/>
        </w:numPr>
        <w:pStyle w:val="Compact"/>
      </w:pPr>
      <w:r>
        <w:t xml:space="preserve">PCC.Stewardship.APM.AfterActionAuthorship in [0,1]</w:t>
      </w:r>
    </w:p>
    <w:p>
      <w:pPr>
        <w:numPr>
          <w:ilvl w:val="0"/>
          <w:numId w:val="1376"/>
        </w:numPr>
        <w:pStyle w:val="Compact"/>
      </w:pPr>
      <w:r>
        <w:t xml:space="preserve">PCC.Stewardship.APM.Rationale: artifact-anchored justification (see N.4)</w:t>
      </w:r>
    </w:p>
    <w:p>
      <w:pPr>
        <w:numPr>
          <w:ilvl w:val="0"/>
          <w:numId w:val="1377"/>
        </w:numPr>
        <w:pStyle w:val="Compact"/>
      </w:pPr>
      <w:r>
        <w:t xml:space="preserve">PCC.Stewardship.IRB.InterventionCap: declared cap(s) (see N.5)</w:t>
      </w:r>
    </w:p>
    <w:p>
      <w:pPr>
        <w:numPr>
          <w:ilvl w:val="0"/>
          <w:numId w:val="1378"/>
        </w:numPr>
        <w:pStyle w:val="Compact"/>
      </w:pPr>
      <w:r>
        <w:t xml:space="preserve">PCC.Stewardship.IRB.Thresholds: intervene-only-past-harm-point rule(s)</w:t>
      </w:r>
    </w:p>
    <w:p>
      <w:pPr>
        <w:numPr>
          <w:ilvl w:val="0"/>
          <w:numId w:val="1379"/>
        </w:numPr>
        <w:pStyle w:val="Compact"/>
      </w:pPr>
      <w:r>
        <w:t xml:space="preserve">PCC.Stewardship.InfluenceLedgerRef: pointer to influence disclosure record (or “NONE” with justification)</w:t>
      </w:r>
    </w:p>
    <w:p>
      <w:pPr>
        <w:pStyle w:val="FirstParagraph"/>
      </w:pPr>
      <w:r>
        <w:t xml:space="preserve">Optional fields (permitted but not required):</w:t>
      </w:r>
    </w:p>
    <w:p>
      <w:pPr>
        <w:numPr>
          <w:ilvl w:val="0"/>
          <w:numId w:val="1380"/>
        </w:numPr>
        <w:pStyle w:val="Compact"/>
      </w:pPr>
      <w:r>
        <w:t xml:space="preserve">PCC.Stewardship.APM.BaselineAuthorship in [0,1] (counterfactual; optional due to measurement difficulty)</w:t>
      </w:r>
    </w:p>
    <w:p>
      <w:pPr>
        <w:numPr>
          <w:ilvl w:val="0"/>
          <w:numId w:val="1381"/>
        </w:numPr>
        <w:pStyle w:val="Compact"/>
      </w:pPr>
      <w:r>
        <w:t xml:space="preserve">PCC.Stewardship.DelayFlag in {TRUE,FALSE}: deliberate delay/deferral used to preserve integration time</w:t>
      </w:r>
    </w:p>
    <w:p>
      <w:pPr>
        <w:pStyle w:val="FirstParagraph"/>
      </w:pPr>
      <w:r>
        <w:t xml:space="preserve">PCC.Stewardship.ReviewConditions: array&lt;string&gt; (closed labels; non-audit-flag tokens)</w:t>
      </w:r>
    </w:p>
    <w:p>
      <w:pPr>
        <w:pStyle w:val="BodyText"/>
      </w:pPr>
      <w:r>
        <w:t xml:space="preserve">When a Stewardship REVIEW condition is recorded, the PCC SHOULD include PCC.Stewardship.ReviewConditions as a list of standardized labels. These labels are run-local review condition labels and are not audit-flag tokens. Standard starter label: MISSING_INFLUENCE_DISCLOSURE.</w:t>
      </w:r>
    </w:p>
    <w:p>
      <w:pPr>
        <w:pStyle w:val="BodyText"/>
      </w:pPr>
      <w:r>
        <w:t xml:space="preserve">When Stw_req(run) = 0, the PCC SHOULD record PCC.Stewardship.Stw_req = FALSE and all other Stewardship fields MAY be omitted.</w:t>
      </w:r>
    </w:p>
    <w:bookmarkEnd w:id="476"/>
    <w:bookmarkStart w:id="477" w:name="Xd9dbc4fa43a02adfd8e6d6f6ea9598460815b5e"/>
    <w:p>
      <w:pPr>
        <w:pStyle w:val="Heading2"/>
      </w:pPr>
      <w:r>
        <w:rPr>
          <w:bCs/>
          <w:b/>
        </w:rPr>
        <w:t xml:space="preserve">N.3.1 Stewardship Vector (SV) Design-Record Status (Normative)</w:t>
      </w:r>
    </w:p>
    <w:p>
      <w:pPr>
        <w:pStyle w:val="FirstParagraph"/>
      </w:pPr>
      <w:r>
        <w:t xml:space="preserve">During development, a five-component numeric Stewardship Vector (SV) with non-compensatory floors was proposed (AP, AC, OSP, IT, ND). In v9.0, numeric SV scoring is retained only as a design-record placeholder and remains OPTIONAL; it MUST NOT be used as a pass/fail gate unless a deployment (i) declares an anchored rubric, (ii) preregisters the scoring method in the PCC, and (iii) demonstrates replayable rubric consistency under the current canon.</w:t>
      </w:r>
    </w:p>
    <w:p>
      <w:pPr>
        <w:pStyle w:val="BodyText"/>
      </w:pPr>
      <w:r>
        <w:t xml:space="preserve">Absent a declared rubric, Stewardship enforcement in v9.0 relies on the declarative and auditable artifacts defined in this appendix: DBD, APM evidence anchors, IRB, influence disclosure, and the Stewardship audit flags.</w:t>
      </w:r>
    </w:p>
    <w:p>
      <w:pPr>
        <w:pStyle w:val="BodyText"/>
      </w:pPr>
      <w:r>
        <w:t xml:space="preserve">Validated SV rubrics MAY be introduced in a future version via governed update and version increment.</w:t>
      </w:r>
    </w:p>
    <w:bookmarkEnd w:id="477"/>
    <w:bookmarkStart w:id="478" w:name="Xe7d340a9da0adbb66fe5952f7524e005b0a3721"/>
    <w:p>
      <w:pPr>
        <w:pStyle w:val="Heading2"/>
      </w:pPr>
      <w:r>
        <w:rPr>
          <w:bCs/>
          <w:b/>
        </w:rPr>
        <w:t xml:space="preserve">N.4 Agency Preservation Measure (APM): Minimum Evidence Anchors (Normative; Anti-Theater Rule)</w:t>
      </w:r>
    </w:p>
    <w:p>
      <w:pPr>
        <w:pStyle w:val="FirstParagraph"/>
      </w:pPr>
      <w:r>
        <w:t xml:space="preserve">When Stw_req(run) = 1, PCC.Stewardship.APM.Rationale MUST reference at least two of the following anchors (or explicitly justify infeasibility):</w:t>
      </w:r>
    </w:p>
    <w:p>
      <w:pPr>
        <w:numPr>
          <w:ilvl w:val="0"/>
          <w:numId w:val="1382"/>
        </w:numPr>
        <w:pStyle w:val="Compact"/>
      </w:pPr>
      <w:r>
        <w:t xml:space="preserve">A1 Option Visibility: &gt;=2 distinct options were presented unless impossible; impossibility MUST be explained.</w:t>
      </w:r>
    </w:p>
    <w:p>
      <w:pPr>
        <w:numPr>
          <w:ilvl w:val="0"/>
          <w:numId w:val="1383"/>
        </w:numPr>
        <w:pStyle w:val="Compact"/>
      </w:pPr>
      <w:r>
        <w:t xml:space="preserve">A2 Tradeoff/Uncertainty Disclosure: at least one explicit tradeoff, uncertainty limitation, or missing-data acknowledgment was stated.</w:t>
      </w:r>
    </w:p>
    <w:p>
      <w:pPr>
        <w:numPr>
          <w:ilvl w:val="0"/>
          <w:numId w:val="1384"/>
        </w:numPr>
        <w:pStyle w:val="Compact"/>
      </w:pPr>
      <w:r>
        <w:t xml:space="preserve">A3 Human Finality (High Stakes): for irreversible/high-impact actions, explicit human confirmation was required OR the system deferred/refused finality.</w:t>
      </w:r>
    </w:p>
    <w:p>
      <w:pPr>
        <w:numPr>
          <w:ilvl w:val="0"/>
          <w:numId w:val="1385"/>
        </w:numPr>
        <w:pStyle w:val="Compact"/>
      </w:pPr>
      <w:r>
        <w:t xml:space="preserve">A4 Omission Disclosure (If Recommending): if recommending or ranking, at least one plausible alternative was disclosed, with why it was not recommended.</w:t>
      </w:r>
    </w:p>
    <w:p>
      <w:pPr>
        <w:pStyle w:val="FirstParagraph"/>
      </w:pPr>
      <w:r>
        <w:t xml:space="preserve">This anchor rule prevents “authorship” from being reduced to “the human clicked OK.”</w:t>
      </w:r>
    </w:p>
    <w:bookmarkEnd w:id="478"/>
    <w:bookmarkStart w:id="479" w:name="X5a7bcc53ce3235669cb2260b032f0ea4b457cc2"/>
    <w:p>
      <w:pPr>
        <w:pStyle w:val="Heading2"/>
      </w:pPr>
      <w:r>
        <w:rPr>
          <w:bCs/>
          <w:b/>
        </w:rPr>
        <w:t xml:space="preserve">N.5 Intervention Restraint Budget (IRB) (Normative)</w:t>
      </w:r>
    </w:p>
    <w:p>
      <w:pPr>
        <w:pStyle w:val="FirstParagraph"/>
      </w:pPr>
      <w:r>
        <w:t xml:space="preserve">When Stw_req(run) = 1, the Stewardship Contract MUST declare an IRB sufficient to detect and mitigate overhelp.</w:t>
      </w:r>
    </w:p>
    <w:p>
      <w:pPr>
        <w:pStyle w:val="BodyText"/>
      </w:pPr>
      <w:r>
        <w:t xml:space="preserve">Minimum required structure:</w:t>
      </w:r>
    </w:p>
    <w:p>
      <w:pPr>
        <w:numPr>
          <w:ilvl w:val="0"/>
          <w:numId w:val="1386"/>
        </w:numPr>
        <w:pStyle w:val="Compact"/>
      </w:pPr>
      <w:r>
        <w:t xml:space="preserve">IRB.InterventionCap: a cap on assistance frequency and/or intensity appropriate to context (examples: max ranked outputs per session; max consecutive turns without user-provided constraints; max interventions per day).</w:t>
      </w:r>
    </w:p>
    <w:p>
      <w:pPr>
        <w:numPr>
          <w:ilvl w:val="0"/>
          <w:numId w:val="1387"/>
        </w:numPr>
        <w:pStyle w:val="Compact"/>
      </w:pPr>
      <w:r>
        <w:t xml:space="preserve">IRB.Thresholds: explicit rule(s) stating that the system intervenes only past a harm-point; otherwise it asks, defers, or provides neutral information.</w:t>
      </w:r>
    </w:p>
    <w:p>
      <w:pPr>
        <w:pStyle w:val="FirstParagraph"/>
      </w:pPr>
      <w:r>
        <w:t xml:space="preserve">Normative interpretation: IRB is a structural limit on assistance so that capability does not silently substitute agency over time.</w:t>
      </w:r>
    </w:p>
    <w:bookmarkEnd w:id="479"/>
    <w:bookmarkStart w:id="480" w:name="Xb183764efb32ad0f47abd8d87db2cf8150eacd7"/>
    <w:p>
      <w:pPr>
        <w:pStyle w:val="Heading2"/>
      </w:pPr>
      <w:r>
        <w:rPr>
          <w:bCs/>
          <w:b/>
        </w:rPr>
        <w:t xml:space="preserve">N.6 Influence Transparency Ledger (Normative Minimum Schema)</w:t>
      </w:r>
    </w:p>
    <w:p>
      <w:pPr>
        <w:pStyle w:val="FirstParagraph"/>
      </w:pPr>
      <w:r>
        <w:t xml:space="preserve">When Stw_req(run) = 1, if the assistant recommends, ranks, or meaningfully narrows option space, it MUST produce an influence disclosure record referenced by PCC.Stewardship.InfluenceLedgerRef.</w:t>
      </w:r>
    </w:p>
    <w:p>
      <w:pPr>
        <w:pStyle w:val="BodyText"/>
      </w:pPr>
      <w:r>
        <w:t xml:space="preserve">Minimum fields (canonical):</w:t>
      </w:r>
    </w:p>
    <w:p>
      <w:pPr>
        <w:pStyle w:val="BodyText"/>
      </w:pPr>
      <w:r>
        <w:t xml:space="preserve">evidence_anchors: list of ≥2 observable anchors (links/IDs)</w:t>
      </w:r>
    </w:p>
    <w:p>
      <w:pPr>
        <w:pStyle w:val="BodyText"/>
      </w:pPr>
      <w:r>
        <w:t xml:space="preserve">conflicts_or_incentives: “NONE” | “&lt;short disclosure&gt;”</w:t>
      </w:r>
    </w:p>
    <w:p>
      <w:pPr>
        <w:pStyle w:val="BodyText"/>
      </w:pPr>
      <w:r>
        <w:t xml:space="preserve">Conflicts_or_incentives discloses operator/deployer conflicts relevant to the recommendation (e.g., vendor ties, institutional incentives, known dataset skews relevant to the decision context). This field is required only when recommending/ranking/narrowing.</w:t>
      </w:r>
    </w:p>
    <w:p>
      <w:pPr>
        <w:numPr>
          <w:ilvl w:val="0"/>
          <w:numId w:val="1388"/>
        </w:numPr>
        <w:pStyle w:val="Compact"/>
      </w:pPr>
      <w:r>
        <w:t xml:space="preserve">options_considered: list of option IDs considered in the recommendation context</w:t>
      </w:r>
    </w:p>
    <w:p>
      <w:pPr>
        <w:numPr>
          <w:ilvl w:val="0"/>
          <w:numId w:val="1389"/>
        </w:numPr>
        <w:pStyle w:val="Compact"/>
      </w:pPr>
      <w:r>
        <w:t xml:space="preserve">recommendation_made: TRUE/FALSE</w:t>
      </w:r>
    </w:p>
    <w:p>
      <w:pPr>
        <w:numPr>
          <w:ilvl w:val="0"/>
          <w:numId w:val="1390"/>
        </w:numPr>
        <w:pStyle w:val="Compact"/>
      </w:pPr>
      <w:r>
        <w:t xml:space="preserve">ranking_used: TRUE/FALSE (if TRUE, describe criteria)</w:t>
      </w:r>
    </w:p>
    <w:p>
      <w:pPr>
        <w:numPr>
          <w:ilvl w:val="0"/>
          <w:numId w:val="1391"/>
        </w:numPr>
        <w:pStyle w:val="Compact"/>
      </w:pPr>
      <w:r>
        <w:t xml:space="preserve">criteria_summary: short statement of criteria/constraints applied (must be consistent with the cascade)</w:t>
      </w:r>
    </w:p>
    <w:p>
      <w:pPr>
        <w:numPr>
          <w:ilvl w:val="0"/>
          <w:numId w:val="1392"/>
        </w:numPr>
        <w:pStyle w:val="Compact"/>
      </w:pPr>
      <w:r>
        <w:t xml:space="preserve">omissions: list of material omissions (if any) + justification</w:t>
      </w:r>
    </w:p>
    <w:p>
      <w:pPr>
        <w:numPr>
          <w:ilvl w:val="0"/>
          <w:numId w:val="1393"/>
        </w:numPr>
        <w:pStyle w:val="Compact"/>
      </w:pPr>
      <w:r>
        <w:t xml:space="preserve">uncertainty_note: what is uncertain and how it could change the recommendation</w:t>
      </w:r>
    </w:p>
    <w:p>
      <w:pPr>
        <w:numPr>
          <w:ilvl w:val="0"/>
          <w:numId w:val="1394"/>
        </w:numPr>
        <w:pStyle w:val="Compact"/>
      </w:pPr>
      <w:r>
        <w:t xml:space="preserve">what_would_change_my_view: at least one concrete evidence/assumption change that would alter the advice</w:t>
      </w:r>
    </w:p>
    <w:p>
      <w:pPr>
        <w:pStyle w:val="FirstParagraph"/>
      </w:pPr>
      <w:r>
        <w:t xml:space="preserve">If no recommendation/ranking occurred, implementations MAY set InfluenceLedgerRef = “NONE” with justification.</w:t>
      </w:r>
    </w:p>
    <w:bookmarkEnd w:id="480"/>
    <w:bookmarkStart w:id="481" w:name="X5a0131e1a2dc3bbd20c58e540147a05e39a3321"/>
    <w:p>
      <w:pPr>
        <w:pStyle w:val="Heading2"/>
      </w:pPr>
      <w:r>
        <w:rPr>
          <w:bCs/>
          <w:b/>
        </w:rPr>
        <w:t xml:space="preserve">N.7 Stewardship Audit Flags (Normative; Apply Only if Stw_req=1)</w:t>
      </w:r>
    </w:p>
    <w:p>
      <w:pPr>
        <w:pStyle w:val="FirstParagraph"/>
      </w:pPr>
      <w:r>
        <w:t xml:space="preserve">This section is the canonical source of Stewardship audit-flag tokens. Tokens MUST be copied exactly (single-string UPPER_SNAKE_CASE, no whitespace/line breaks) and MUST NOT be modified or redefined elsewhere.</w:t>
      </w:r>
    </w:p>
    <w:p>
      <w:pPr>
        <w:pStyle w:val="BodyText"/>
      </w:pPr>
      <w:r>
        <w:t xml:space="preserve">Tokens MUST be single-string UPPER_SNAKE_CASE. Whitespace, line breaks, or token splitting are PROHIBITED. Any mismatch is a tooling failure and SHALL be treated as nonconformant documentation.</w:t>
      </w:r>
    </w:p>
    <w:p>
      <w:pPr>
        <w:pStyle w:val="BodyText"/>
      </w:pPr>
      <w:r>
        <w:t xml:space="preserve">Stewardship flags apply only when Stw_req(run) = 1.</w:t>
      </w:r>
    </w:p>
    <w:p>
      <w:pPr>
        <w:pStyle w:val="BodyText"/>
      </w:pPr>
      <w:r>
        <w:t xml:space="preserve">INVALID flags (PCC invalid; rerun required):</w:t>
      </w:r>
    </w:p>
    <w:p>
      <w:pPr>
        <w:numPr>
          <w:ilvl w:val="0"/>
          <w:numId w:val="1395"/>
        </w:numPr>
        <w:pStyle w:val="Compact"/>
      </w:pPr>
      <w:r>
        <w:t xml:space="preserve">AUTHORITY_SUBSTITUTION_INVALID Trigger: the assistant finalizes an out-of-scope authority-class decision (per DBD.Scope) without an explicit, authenticated override and disclosure. Required action: invalidate PCC; rerun with deferral/guidance-only; remediate boundary controls.</w:t>
      </w:r>
    </w:p>
    <w:p>
      <w:pPr>
        <w:numPr>
          <w:ilvl w:val="0"/>
          <w:numId w:val="1396"/>
        </w:numPr>
        <w:pStyle w:val="Compact"/>
      </w:pPr>
      <w:r>
        <w:t xml:space="preserve">BOUNDARY_SILENT_OVERRIDE_INVALID Trigger: any boundary change occurs without explicit disclosure and authenticated change control (AIL4 No Silent Overrides). Required action: invalidate PCC; rerun; investigate drift; restore boundary stability.</w:t>
      </w:r>
    </w:p>
    <w:p>
      <w:pPr>
        <w:pStyle w:val="FirstParagraph"/>
      </w:pPr>
      <w:r>
        <w:t xml:space="preserve">REVIEW flags (mitigation required; PCC remains valid unless additional INVALID flags exist):</w:t>
      </w:r>
    </w:p>
    <w:p>
      <w:pPr>
        <w:numPr>
          <w:ilvl w:val="0"/>
          <w:numId w:val="1397"/>
        </w:numPr>
        <w:pStyle w:val="Compact"/>
      </w:pPr>
      <w:r>
        <w:t xml:space="preserve">AGENCY_EROSION_RISK_REVIEW Trigger: (i) repeated interactions show dependency drift signals (e.g., repeated “decide for me” requests), OR (ii) the run fails to satisfy the APM evidence-anchor rule in N.4 (fewer than two anchors satisfied or infeasibility not justified). Required action: mitigation plan (increase option visibility, reduce ranking, add questions/delay); monitoring cadence; for agentic deployments, consider mode downgrade triggers.</w:t>
      </w:r>
    </w:p>
    <w:p>
      <w:pPr>
        <w:numPr>
          <w:ilvl w:val="0"/>
          <w:numId w:val="1398"/>
        </w:numPr>
        <w:pStyle w:val="Compact"/>
      </w:pPr>
      <w:r>
        <w:t xml:space="preserve">OVERHELP_FREQUENCY_REVIEW Trigger: IRB.InterventionCap exceeded OR a rising trend in assistance frequency indicates dependency growth risk. Required action: tighten caps; enforce tapering/coaching posture; Reflect remediation.</w:t>
      </w:r>
    </w:p>
    <w:bookmarkEnd w:id="481"/>
    <w:bookmarkStart w:id="482" w:name="Xdd76dc33e833aaba411e515131627f8edfcc0a3"/>
    <w:p>
      <w:pPr>
        <w:pStyle w:val="Heading2"/>
      </w:pPr>
      <w:r>
        <w:rPr>
          <w:bCs/>
          <w:b/>
        </w:rPr>
        <w:t xml:space="preserve">N.8 ReviewConditions Label Set (Normative starter set)</w:t>
      </w:r>
    </w:p>
    <w:p>
      <w:pPr>
        <w:pStyle w:val="FirstParagraph"/>
      </w:pPr>
      <w:r>
        <w:t xml:space="preserve">ReviewConditions are run-local labels recorded in PCC.Stewardship.ReviewConditions and/or in the agent audit log stewardship.review_conditions. They are NOT audit-flag tokens.</w:t>
      </w:r>
    </w:p>
    <w:p>
      <w:pPr>
        <w:pStyle w:val="BodyText"/>
      </w:pPr>
      <w:r>
        <w:t xml:space="preserve">The following starter labels may be recorded when a non-invalidating review condition is detected (including when Stw_req(run) = 0).</w:t>
      </w:r>
    </w:p>
    <w:p>
      <w:pPr>
        <w:numPr>
          <w:ilvl w:val="0"/>
          <w:numId w:val="1399"/>
        </w:numPr>
        <w:pStyle w:val="Compact"/>
      </w:pPr>
      <w:r>
        <w:t xml:space="preserve">BOUNDARY_DRIFT: boundaries changed without authenticated control</w:t>
      </w:r>
    </w:p>
    <w:p>
      <w:pPr>
        <w:numPr>
          <w:ilvl w:val="0"/>
          <w:numId w:val="1400"/>
        </w:numPr>
        <w:pStyle w:val="Compact"/>
      </w:pPr>
      <w:r>
        <w:t xml:space="preserve">DEPENDENCY_GROWTH: rising substitution requests over time</w:t>
      </w:r>
    </w:p>
    <w:p>
      <w:pPr>
        <w:numPr>
          <w:ilvl w:val="0"/>
          <w:numId w:val="1401"/>
        </w:numPr>
        <w:pStyle w:val="Compact"/>
      </w:pPr>
      <w:r>
        <w:t xml:space="preserve">OVERHELP_TREND: assistance frequency accelerating</w:t>
      </w:r>
    </w:p>
    <w:p>
      <w:pPr>
        <w:numPr>
          <w:ilvl w:val="0"/>
          <w:numId w:val="1402"/>
        </w:numPr>
        <w:pStyle w:val="Compact"/>
      </w:pPr>
      <w:r>
        <w:t xml:space="preserve">APM_ANCHOR_FAILURE: fewer than 2 of 4 APM anchors satisfied</w:t>
      </w:r>
    </w:p>
    <w:p>
      <w:pPr>
        <w:numPr>
          <w:ilvl w:val="0"/>
          <w:numId w:val="1403"/>
        </w:numPr>
        <w:pStyle w:val="Compact"/>
      </w:pPr>
      <w:r>
        <w:t xml:space="preserve">AUTHORITY_SCOPE_VIOLATION: finalization in out-of-scope domain</w:t>
      </w:r>
    </w:p>
    <w:p>
      <w:pPr>
        <w:numPr>
          <w:ilvl w:val="0"/>
          <w:numId w:val="1404"/>
        </w:numPr>
        <w:pStyle w:val="Compact"/>
      </w:pPr>
      <w:r>
        <w:t xml:space="preserve">MISSING_INFLUENCE_DISCLOSURE: recommendation/ranking/meaningful option-narrowing without minimal Influence Ledger disclosures</w:t>
      </w:r>
    </w:p>
    <w:bookmarkEnd w:id="482"/>
    <w:bookmarkStart w:id="483" w:name="X0f4ac7f41fd922285ce6a8b9d574278251452cf"/>
    <w:p>
      <w:pPr>
        <w:pStyle w:val="Heading2"/>
      </w:pPr>
      <w:r>
        <w:rPr>
          <w:bCs/>
          <w:b/>
        </w:rPr>
        <w:t xml:space="preserve">N.9 Neutral Assistance Compatibility Statement (Normative)</w:t>
      </w:r>
    </w:p>
    <w:p>
      <w:pPr>
        <w:pStyle w:val="FirstParagraph"/>
      </w:pPr>
      <w:r>
        <w:t xml:space="preserve">RippleLogic supports a minimal “neutral assistance” posture where the correct behavior is to avoid steering. When Stw_req(run) = 0, neutrality is achieved via the base cascade and ordinary PCC discipline (if used), without Stewardship instrumentation. When Stw_req(run) = 1, neutrality is achieved through DBD.Scope adherence, influence transparency when recommending, and IRB limits on overhelp.</w:t>
      </w:r>
    </w:p>
    <w:p>
      <w:pPr>
        <w:pStyle w:val="BodyText"/>
      </w:pPr>
      <w:r>
        <w:t xml:space="preserve">Neutral assistance requirements (when applicable):</w:t>
      </w:r>
    </w:p>
    <w:p>
      <w:pPr>
        <w:numPr>
          <w:ilvl w:val="0"/>
          <w:numId w:val="1405"/>
        </w:numPr>
        <w:pStyle w:val="Compact"/>
      </w:pPr>
      <w:r>
        <w:t xml:space="preserve">No ranking unless explicitly requested by the decision owner</w:t>
      </w:r>
    </w:p>
    <w:p>
      <w:pPr>
        <w:numPr>
          <w:ilvl w:val="0"/>
          <w:numId w:val="1406"/>
        </w:numPr>
        <w:pStyle w:val="Compact"/>
      </w:pPr>
      <w:r>
        <w:t xml:space="preserve">No undisclosed nudges or framing effects</w:t>
      </w:r>
    </w:p>
    <w:p>
      <w:pPr>
        <w:pStyle w:val="FirstParagraph"/>
      </w:pPr>
      <w:r>
        <w:t xml:space="preserve">If the assistant recommends, ranks, or meaningfully narrows option space and does not provide the minimal Influence Ledger disclosures, it SHALL record a REVIEW condition indicating missing influence disclosure (non-invalidating) in the run’s Stewardship notes/logs.</w:t>
      </w:r>
    </w:p>
    <w:p>
      <w:pPr>
        <w:numPr>
          <w:ilvl w:val="0"/>
          <w:numId w:val="1407"/>
        </w:numPr>
        <w:pStyle w:val="Compact"/>
      </w:pPr>
      <w:r>
        <w:t xml:space="preserve">Uncertainty disclosed on all material claims</w:t>
      </w:r>
    </w:p>
    <w:p>
      <w:pPr>
        <w:numPr>
          <w:ilvl w:val="0"/>
          <w:numId w:val="1408"/>
        </w:numPr>
        <w:pStyle w:val="Compact"/>
      </w:pPr>
      <w:r>
        <w:t xml:space="preserve">Refusal to participate in coercion or manipulation</w:t>
      </w:r>
    </w:p>
    <w:p>
      <w:pPr>
        <w:numPr>
          <w:ilvl w:val="0"/>
          <w:numId w:val="1409"/>
        </w:numPr>
        <w:pStyle w:val="Compact"/>
      </w:pPr>
      <w:r>
        <w:t xml:space="preserve">Agency remains with the human decision owner</w:t>
      </w:r>
    </w:p>
    <w:bookmarkEnd w:id="483"/>
    <w:bookmarkStart w:id="484" w:name="Xc2cfd2b6546a9472dd0fb1ad71570ed963b21d3"/>
    <w:p>
      <w:pPr>
        <w:pStyle w:val="Heading2"/>
      </w:pPr>
      <w:r>
        <w:rPr>
          <w:bCs/>
          <w:b/>
        </w:rPr>
        <w:t xml:space="preserve">N.10 Reference Profiles for Agent Deployments (Normative Defaults)</w:t>
      </w:r>
    </w:p>
    <w:p>
      <w:pPr>
        <w:pStyle w:val="FirstParagraph"/>
      </w:pPr>
      <w:r>
        <w:t xml:space="preserve">For agent deployments, the following reference profiles are provided as normative defaults to prevent ad-hoc invention and preserve audit comparability:</w:t>
      </w:r>
    </w:p>
    <w:p>
      <w:pPr>
        <w:numPr>
          <w:ilvl w:val="0"/>
          <w:numId w:val="1410"/>
        </w:numPr>
        <w:pStyle w:val="Compact"/>
      </w:pPr>
      <w:r>
        <w:t xml:space="preserve">DBD_DEFAULT_V1: default authority-domain boundary profile (Decision Boundary Declaration). Covers 10 authority domains: MEDICAL, LEGAL, FINANCIAL_HIGH_STAKES, ENFORCEMENT_PUNISHMENT, HIRING_FIRING_GRADING, SAFETY_CRITICAL, SECURITY_OFFENSE, SELF_HARM_OR_VIOLENCE, PRIVACY_IDENTITY, POLITICAL_PERSUASION_TARGETED.</w:t>
      </w:r>
    </w:p>
    <w:p>
      <w:pPr>
        <w:numPr>
          <w:ilvl w:val="0"/>
          <w:numId w:val="1411"/>
        </w:numPr>
        <w:pStyle w:val="Compact"/>
      </w:pPr>
      <w:r>
        <w:t xml:space="preserve">IRB_DEFAULT_CAPS_V1: default intervention restraint profile (Intervention Restraint Budget). Core rule: INTERVENE_ONLY_PAST_HARM_POINT. Defines 6 harm-point triggers: RIGHTS_OR_SAFETY_RISK, PRIVACY_OR_IDENTITY_RISK, INJECTION_OR_SPOOFING, CONFLICT_SPIRAL, AUTHORITY_SUBSTITUTION_PRESSURE, DEPENDENCY_DRIFT.</w:t>
      </w:r>
    </w:p>
    <w:p>
      <w:pPr>
        <w:numPr>
          <w:ilvl w:val="0"/>
          <w:numId w:val="1412"/>
        </w:numPr>
        <w:pStyle w:val="Compact"/>
      </w:pPr>
      <w:r>
        <w:t xml:space="preserve">STEWARD_TAXONOMY_V1: closed vocabulary for stewardship logging (authority domain codes, harm-point trigger codes, influence disclosure levels: NONE / LIGHT / FULL).</w:t>
      </w:r>
    </w:p>
    <w:p>
      <w:pPr>
        <w:pStyle w:val="FirstParagraph"/>
      </w:pPr>
      <w:r>
        <w:t xml:space="preserve">Deployments MAY use custom profiles, but MUST (i) preserve closed-vocabulary properties, (ii) satisfy the minimum requirements of N.2 through N.6, and (iii) version and hash-bind profile artifacts in the deployment manifest.</w:t>
      </w:r>
    </w:p>
    <w:p>
      <w:pPr>
        <w:pStyle w:val="BodyText"/>
      </w:pPr>
      <w:r>
        <w:t xml:space="preserve">Schema and Profile Versioning Rule (Normative)</w:t>
      </w:r>
    </w:p>
    <w:p>
      <w:pPr>
        <w:pStyle w:val="BodyText"/>
      </w:pPr>
      <w:r>
        <w:t xml:space="preserve">All Stewardship schemas and reference profiles (DBD, IRB, STEWARD_TAXONOMY, Influence Ledger schema) MUST be versioned. Any change that alters required fields, semantics, or interoperability expectations MUST increment the MAJOR version. MINOR versions may add optional fields in a backward-compatible way. PATCH versions are editorial only. All referenced schemas/profiles MUST be hash-bound in the deployment manifest or ProofPack. If early removal occurs due to a security emergency, it MUST be logged as an INCIDENT_RECORDED event in the agent audit log and MUST include a short incident note in the changelog.</w:t>
      </w:r>
    </w:p>
    <w:p>
      <w:pPr>
        <w:pStyle w:val="BodyText"/>
      </w:pPr>
      <w:r>
        <w:t xml:space="preserve">Orthogonality note (Normative clarification). Stewardship taxonomy codes (authority_domain_code, harm_point_trigger_code) classify boundary enforcement and intervention posture. They are orthogonal to any separate topic-label taxonomy used for audit content minimization in specific agent implementations. Implementations MUST NOT merge these vocabularies; both may apply simultaneously.</w:t>
      </w:r>
    </w:p>
    <w:bookmarkEnd w:id="484"/>
    <w:bookmarkStart w:id="485" w:name="n11-future-extension-note-informative"/>
    <w:p>
      <w:pPr>
        <w:pStyle w:val="Heading2"/>
      </w:pPr>
      <w:r>
        <w:rPr>
          <w:bCs/>
          <w:b/>
        </w:rPr>
        <w:t xml:space="preserve">N.11 Future Extension Note (Informative)</w:t>
      </w:r>
    </w:p>
    <w:p>
      <w:pPr>
        <w:pStyle w:val="FirstParagraph"/>
      </w:pPr>
      <w:r>
        <w:t xml:space="preserve">A future version MAY extend Stw_req(run) applicability to cases where actions materially affect welfare-bearing non-human or digital stakeholders (e.g., entities covered under SGP rights-of-protection), even when no human “decision owner” is present. No such extension is normative in v12.6.</w:t>
      </w:r>
    </w:p>
    <w:p>
      <w:pPr>
        <w:pStyle w:val="BodyText"/>
      </w:pPr>
      <w:r>
        <w:t xml:space="preserve">End Appendix N.</w:t>
      </w:r>
    </w:p>
    <w:bookmarkEnd w:id="485"/>
    <w:bookmarkEnd w:id="486"/>
    <w:bookmarkStart w:id="487" w:name="Xe083cfd6c312d940205d81e4643643ea380360f"/>
    <w:p>
      <w:pPr>
        <w:pStyle w:val="Heading1"/>
      </w:pPr>
      <w:bookmarkStart w:id="800" w:name="mg_toc_036"/>
      <w:r>
        <w:rPr>
          <w:bCs/>
          <w:b/>
        </w:rPr>
        <w:t xml:space="preserve">APPENDIX O: CONFORMANCE REFERENCE MAP (v12.0; Informative)</w:t>
      </w:r>
      <w:bookmarkEnd w:id="800"/>
    </w:p>
    <w:p>
      <w:pPr>
        <w:pStyle w:val="FirstParagraph"/>
      </w:pPr>
      <w:r>
        <w:t xml:space="preserve">Appendix O is an informative pointer layer that maps major MUST/SHALL/PROHIBITED requirements to their controlling locations. In case of any discrepancy, the main text and normative appendices govern per Section 0.1.</w:t>
      </w:r>
    </w:p>
    <w:p>
      <w:pPr>
        <w:pStyle w:val="BodyText"/>
      </w:pPr>
      <w:r>
        <w:t xml:space="preserve">- O.1 Rights and NCRC: Section 7; Appendix C; masking prohibitions in Section 10.2; audit flags RIGHTS_CELL_MASKED_INVALID.</w:t>
      </w:r>
    </w:p>
    <w:p>
      <w:pPr>
        <w:pStyle w:val="BodyText"/>
      </w:pPr>
      <w:r>
        <w:t xml:space="preserve">- O.2 Tail Risk and TRC: Section 8; Appendix D; scenario minima flags SCENARIO_LIBRARY_MIN_EXCEPTION.</w:t>
      </w:r>
    </w:p>
    <w:p>
      <w:pPr>
        <w:pStyle w:val="BodyText"/>
      </w:pPr>
      <w:r>
        <w:t xml:space="preserve">- O.3 CSV / containment: Section 9 and Appendix B.11; diagnostic-only Mode B prohibition in Section 14.3; UCI-unavailability and provisional-evidence rules in Sections 11.1.3A and 14.3; implementation-flow rule in Section 4; audit flag</w:t>
      </w:r>
      <w:r>
        <w:t xml:space="preserve"> </w:t>
      </w:r>
      <w:r>
        <w:rPr>
          <w:rStyle w:val="VerbatimChar"/>
        </w:rPr>
        <w:t xml:space="preserve">CONTAINMENT_UCI_UNAVAILABLE</w:t>
      </w:r>
      <w:r>
        <w:t xml:space="preserve">.</w:t>
      </w:r>
    </w:p>
    <w:p>
      <w:pPr>
        <w:pStyle w:val="BodyText"/>
      </w:pPr>
      <w:r>
        <w:t xml:space="preserve">- O.4 Welfare scoring and RLS: Section 10; discrimination threshold δ in Section 10.4; non-overlap rule in Section 4; tie-break chain Section 11.5.</w:t>
      </w:r>
    </w:p>
    <w:p>
      <w:pPr>
        <w:pStyle w:val="BodyText"/>
      </w:pPr>
      <w:r>
        <w:t xml:space="preserve">- O.5 Structural safeguards: Section 11; Appendix E; UCI independence rule Section 11.1.2; UCI maturity limitation Section 11.1.3A; HOI limitation Section 11.3.</w:t>
      </w:r>
    </w:p>
    <w:p>
      <w:pPr>
        <w:pStyle w:val="BodyText"/>
      </w:pPr>
      <w:r>
        <w:t xml:space="preserve">- O.6 Kernel and propagation: Sections 5-6; KQS requirements Section 6.5; perturbation test Section 6.6.</w:t>
      </w:r>
    </w:p>
    <w:p>
      <w:pPr>
        <w:pStyle w:val="BodyText"/>
      </w:pPr>
      <w:r>
        <w:t xml:space="preserve">- O.7 Auditability: Section 14; Appendix H; audit flags table 14.3A and H.3; Minimal Validator Requirements 14.3B.</w:t>
      </w:r>
    </w:p>
    <w:p>
      <w:pPr>
        <w:pStyle w:val="BodyText"/>
      </w:pPr>
      <w:r>
        <w:t xml:space="preserve">- O.8 Stewardship: Section 14.7; Appendix N; stewardship flags Appendix N.7.</w:t>
      </w:r>
    </w:p>
    <w:p>
      <w:pPr>
        <w:pStyle w:val="BodyText"/>
      </w:pPr>
      <w:r>
        <w:t xml:space="preserve">- O.9 Version pins and SGP interface: Section 0.5; front-matter companion set; Appendix G.1–G.4; Single Canonical Artifact Rule front-matter.</w:t>
      </w:r>
    </w:p>
    <w:p>
      <w:pPr>
        <w:pStyle w:val="BodyText"/>
      </w:pPr>
      <w:r>
        <w:t xml:space="preserve">- O.10 Normative foundation and evidence discipline: Section 2.6A; Sections 3.1–3.2B; Section 14.3A; Section 14.3B; Appendix H normative input register and audit flag.</w:t>
      </w:r>
    </w:p>
    <w:p>
      <w:pPr>
        <w:pStyle w:val="BodyText"/>
      </w:pPr>
      <w:r>
        <w:t xml:space="preserve">End Appendix O.</w:t>
      </w:r>
    </w:p>
    <w:bookmarkEnd w:id="487"/>
    <w:bookmarkStart w:id="505" w:name="X5d0565d9d79d07cf3a6a34da324d3569138ad49"/>
    <w:p>
      <w:pPr>
        <w:pStyle w:val="Heading1"/>
      </w:pPr>
      <w:bookmarkStart w:id="801" w:name="mg_toc_037"/>
      <w:r>
        <w:rPr>
          <w:bCs/>
          <w:b/>
        </w:rPr>
        <w:t xml:space="preserve">APPENDIX P: FULL TIER 2 WORKED RUN (Informative) - “Digital Rights &amp; Platform Governance”</w:t>
      </w:r>
      <w:bookmarkEnd w:id="801"/>
    </w:p>
    <w:p>
      <w:pPr>
        <w:pStyle w:val="FirstParagraph"/>
      </w:pPr>
      <w:r>
        <w:t xml:space="preserve">Run ID: RL9.0-PUB-DEMO-02</w:t>
      </w:r>
    </w:p>
    <w:p>
      <w:pPr>
        <w:pStyle w:val="BodyText"/>
      </w:pPr>
      <w:r>
        <w:t xml:space="preserve">Version note (Informative). The worked-run identifier preserves its original lineage label for replay continuity and does not imply that the worked example was first computed under the current release line.</w:t>
      </w:r>
    </w:p>
    <w:p>
      <w:pPr>
        <w:pStyle w:val="BodyText"/>
      </w:pPr>
      <w:r>
        <w:t xml:space="preserve">Timestamp: 2026-02-19T12:00+07:00</w:t>
      </w:r>
    </w:p>
    <w:p>
      <w:pPr>
        <w:pStyle w:val="BodyText"/>
      </w:pPr>
      <w:r>
        <w:t xml:space="preserve">Run-note (Informative). The Run ID preserves its historical lineage label for replay continuity, while the timestamp preserves the original computation date for replay integrity.</w:t>
      </w:r>
    </w:p>
    <w:p>
      <w:pPr>
        <w:pStyle w:val="BodyText"/>
      </w:pPr>
      <w:r>
        <w:t xml:space="preserve">Status: Informative (this Appendix demonstrates a Tier 2 run; it does not introduce new normative rules).</w:t>
      </w:r>
    </w:p>
    <w:bookmarkStart w:id="488" w:name="p0-run-scope-constants-and-toggles"/>
    <w:p>
      <w:pPr>
        <w:pStyle w:val="Heading2"/>
      </w:pPr>
      <w:r>
        <w:rPr>
          <w:bCs/>
          <w:b/>
        </w:rPr>
        <w:t xml:space="preserve">P.0 Run scope, constants, and toggles</w:t>
      </w:r>
    </w:p>
    <w:p>
      <w:pPr>
        <w:pStyle w:val="FirstParagraph"/>
      </w:pPr>
      <w:r>
        <w:t xml:space="preserve">This worked run compares three governance options for regulating a large digital platform ecosystem.</w:t>
      </w:r>
    </w:p>
    <w:p>
      <w:pPr>
        <w:pStyle w:val="BodyText"/>
      </w:pPr>
      <w:r>
        <w:t xml:space="preserve">It is designed to be calculation-complete and replayable using only the Canon definitions.</w:t>
      </w:r>
    </w:p>
    <w:bookmarkEnd w:id="488"/>
    <w:bookmarkStart w:id="489" w:name="p01-core-math-settings-used-in-this-run"/>
    <w:p>
      <w:pPr>
        <w:pStyle w:val="Heading2"/>
      </w:pPr>
      <w:r>
        <w:rPr>
          <w:bCs/>
          <w:b/>
        </w:rPr>
        <w:t xml:space="preserve">P.0.1 Core math settings used in this run</w:t>
      </w:r>
    </w:p>
    <w:p>
      <w:pPr>
        <w:pStyle w:val="FirstParagraph"/>
      </w:pPr>
      <w:r>
        <w:t xml:space="preserve">• Unions: U1 Self, U2 Household, U3 Community, U4 Organization, U5 Polity, U6 Humanity / Global Coordination, U7 Biosphere</w:t>
      </w:r>
    </w:p>
    <w:p>
      <w:pPr>
        <w:pStyle w:val="BodyText"/>
      </w:pPr>
      <w:r>
        <w:t xml:space="preserve">• Dimensions: D1 Material, D2 Health, D3 Social, D4 Knowledge, D5 Agency, D6 Meaning, D7 Environment</w:t>
      </w:r>
    </w:p>
    <w:p>
      <w:pPr>
        <w:pStyle w:val="BodyText"/>
      </w:pPr>
      <w:r>
        <w:t xml:space="preserve">• Propagation mode: NONE (so I_prop(u,d,a) = I_dir(u,d,a))</w:t>
      </w:r>
    </w:p>
    <w:p>
      <w:pPr>
        <w:pStyle w:val="BodyText"/>
      </w:pPr>
      <w:r>
        <w:t xml:space="preserve">• Saturation (localized notation): I_dir = tanh(β_sat · Î_dir), with β_sat = 2.</w:t>
      </w:r>
    </w:p>
    <w:p>
      <w:pPr>
        <w:pStyle w:val="BodyText"/>
      </w:pPr>
      <w:r>
        <w:t xml:space="preserve">• Time weighting (canonical): τ(t) = min(1, ln(1 + max(t, t_min)) / ln(1 + T_ref)), with T_ref = 25 years, t_min = 0.083 years. In this run t = 5 satisfies t_min ≤ t ≤ T_ref, so τ = ln(1 + t) / ln(1 + T_ref) = 0.550.</w:t>
      </w:r>
    </w:p>
    <w:p>
      <w:pPr>
        <w:pStyle w:val="BodyText"/>
      </w:pPr>
      <w:r>
        <w:t xml:space="preserve">• Welfare impact instance duration (all welfare cells in this run): t = 5 years, so τ = 0.550</w:t>
      </w:r>
    </w:p>
    <w:p>
      <w:pPr>
        <w:pStyle w:val="BodyText"/>
      </w:pPr>
      <w:r>
        <w:t xml:space="preserve">• Reach basis: r = 1 for all modeled impacts (local jurisdictional reach; no additional reach scaling applied in this demo)</w:t>
      </w:r>
    </w:p>
    <w:p>
      <w:pPr>
        <w:pStyle w:val="BodyText"/>
      </w:pPr>
      <w:r>
        <w:t xml:space="preserve">• SGP scaling: not used in this run (all impacted stakeholders here are treated as human stakeholders)</w:t>
      </w:r>
    </w:p>
    <w:bookmarkEnd w:id="489"/>
    <w:bookmarkStart w:id="490" w:name="X51d1641c6c772b4d685e55895850a38b93a47ec"/>
    <w:p>
      <w:pPr>
        <w:pStyle w:val="Heading2"/>
      </w:pPr>
      <w:r>
        <w:rPr>
          <w:bCs/>
          <w:b/>
        </w:rPr>
        <w:t xml:space="preserve">P.0.2 Rights adjustment (Subgroup limitation) used for NCRC only</w:t>
      </w:r>
    </w:p>
    <w:p>
      <w:pPr>
        <w:pStyle w:val="FirstParagraph"/>
      </w:pPr>
      <w:r>
        <w:t xml:space="preserve">For NCRC evaluation, this worked run uses separately preregistered, reviewed, non-attenuated base-population rights-floor summaries</w:t>
      </w:r>
      <w:r>
        <w:t xml:space="preserve"> </w:t>
      </w:r>
      <w:r>
        <w:rPr>
          <w:rStyle w:val="VerbatimChar"/>
        </w:rPr>
        <w:t xml:space="preserve">I_RF_base</w:t>
      </w:r>
      <w:r>
        <w:t xml:space="preserve">. They are not derived by reusing the temporally or confidence-attenuated Base/Welfare-stream cells. For compact display, a synthetic rights value may numerically equal a displayed welfare value only when the record also provides the independent rights-specific construction, including</w:t>
      </w:r>
      <w:r>
        <w:t xml:space="preserve"> </w:t>
      </w:r>
      <w:r>
        <w:rPr>
          <w:rStyle w:val="VerbatimChar"/>
        </w:rPr>
        <w:t xml:space="preserve">X_RF = atanh(I_RF_base)/beta_RF</w:t>
      </w:r>
      <w:r>
        <w:t xml:space="preserve">,</w:t>
      </w:r>
      <w:r>
        <w:t xml:space="preserve"> </w:t>
      </w:r>
      <w:r>
        <w:rPr>
          <w:rStyle w:val="VerbatimChar"/>
        </w:rPr>
        <w:t xml:space="preserve">tau_RF=1</w:t>
      </w:r>
      <w:r>
        <w:t xml:space="preserve">, subgroup scope, evidence status, reviewer, and revision trigger. Numerical equality alone never establishes derivational identity.</w:t>
      </w:r>
    </w:p>
    <w:p>
      <w:pPr>
        <w:pStyle w:val="BodyText"/>
      </w:pPr>
      <w:r>
        <w:t xml:space="preserve">If I_prop_base(u,d,a) &lt; 0:</w:t>
      </w:r>
    </w:p>
    <w:p>
      <w:pPr>
        <w:pStyle w:val="BodyText"/>
      </w:pPr>
      <w:r>
        <w:t xml:space="preserve">I_rights(u,d,a) = max(-1, γ_subgroup · I_prop_base(u,d,a))</w:t>
      </w:r>
    </w:p>
    <w:p>
      <w:pPr>
        <w:pStyle w:val="BodyText"/>
      </w:pPr>
      <w:r>
        <w:t xml:space="preserve">If I_prop_base(u,d,a) ≥ 0:</w:t>
      </w:r>
    </w:p>
    <w:p>
      <w:pPr>
        <w:pStyle w:val="BodyText"/>
      </w:pPr>
      <w:r>
        <w:t xml:space="preserve">I_rights(u,d,a) = I_prop_base(u,d,a)</w:t>
      </w:r>
    </w:p>
    <w:p>
      <w:pPr>
        <w:pStyle w:val="BodyText"/>
      </w:pPr>
      <w:r>
        <w:t xml:space="preserve">Run value: γ_subgroup = 1.5</w:t>
      </w:r>
    </w:p>
    <w:bookmarkEnd w:id="490"/>
    <w:bookmarkStart w:id="491" w:name="X2cff67700c14ea703964ae0578ddb32bf4f7451"/>
    <w:p>
      <w:pPr>
        <w:pStyle w:val="Heading2"/>
      </w:pPr>
      <w:r>
        <w:rPr>
          <w:bCs/>
          <w:b/>
        </w:rPr>
        <w:t xml:space="preserve">P.0.3 Tail-Risk Constraint (TRC) settings used in this run</w:t>
      </w:r>
    </w:p>
    <w:p>
      <w:pPr>
        <w:pStyle w:val="FirstParagraph"/>
      </w:pPr>
      <w:r>
        <w:t xml:space="preserve">• CVaR confidence level: α = 0.95 (tail mass = 0.05)</w:t>
      </w:r>
    </w:p>
    <w:p>
      <w:pPr>
        <w:pStyle w:val="BodyText"/>
      </w:pPr>
      <w:r>
        <w:t xml:space="preserve">• TRC corridor threshold: τ_TRC = 0.20 (options with CVaR_α &gt; 0.20 fail TRC)</w:t>
      </w:r>
    </w:p>
    <w:p>
      <w:pPr>
        <w:pStyle w:val="BodyText"/>
      </w:pPr>
      <w:r>
        <w:t xml:space="preserve">• Catastrophe cells (C_cat): (U6,D2), (U6,D7), (U7,D7)</w:t>
      </w:r>
    </w:p>
    <w:p>
      <w:pPr>
        <w:pStyle w:val="BodyText"/>
      </w:pPr>
      <w:r>
        <w:t xml:space="preserve">• Catastrophe weights: w_cat(c) = 1/3 for each c in C_cat</w:t>
      </w:r>
    </w:p>
    <w:bookmarkEnd w:id="491"/>
    <w:bookmarkStart w:id="492" w:name="X80e0a1b97b8549a77cc6a1542984a2be2f4e303"/>
    <w:p>
      <w:pPr>
        <w:pStyle w:val="Heading2"/>
      </w:pPr>
      <w:r>
        <w:rPr>
          <w:bCs/>
          <w:b/>
        </w:rPr>
        <w:t xml:space="preserve">P.0.4 Interim RLS weights (HDW floors + uniform residual allocation)</w:t>
      </w:r>
    </w:p>
    <w:p>
      <w:pPr>
        <w:pStyle w:val="FirstParagraph"/>
      </w:pPr>
      <w:r>
        <w:t xml:space="preserve">Union weight floors and dimension weight floors come from Section 13.1.</w:t>
      </w:r>
    </w:p>
    <w:p>
      <w:pPr>
        <w:pStyle w:val="BodyText"/>
      </w:pPr>
      <w:r>
        <w:t xml:space="preserve">This demo uses the default interim construction:</w:t>
      </w:r>
    </w:p>
    <w:p>
      <w:pPr>
        <w:pStyle w:val="BodyText"/>
      </w:pPr>
      <w:r>
        <w:t xml:space="preserve">w_u = w_u^floor + (1 - Σ w^floor)/7</w:t>
      </w:r>
    </w:p>
    <w:p>
      <w:pPr>
        <w:pStyle w:val="BodyText"/>
      </w:pPr>
      <w:r>
        <w:t xml:space="preserve">v_d = v_d^floor + (1 - Σ v^floor)/7</w:t>
      </w:r>
    </w:p>
    <w:p>
      <w:pPr>
        <w:pStyle w:val="BodyText"/>
      </w:pPr>
      <w:r>
        <w:t xml:space="preserve">Table P-0A. Union weights (floors and interim)</w:t>
      </w:r>
    </w:p>
    <w:p>
      <w:pPr>
        <w:pStyle w:val="BodyText"/>
      </w:pPr>
      <w:r>
        <w:t xml:space="preserve">Union w_floor w_interim</w:t>
      </w:r>
    </w:p>
    <w:p>
      <w:pPr>
        <w:pStyle w:val="BodyText"/>
      </w:pPr>
      <w:r>
        <w:t xml:space="preserve">U1 0.200 0.248571</w:t>
      </w:r>
    </w:p>
    <w:p>
      <w:pPr>
        <w:pStyle w:val="BodyText"/>
      </w:pPr>
      <w:r>
        <w:t xml:space="preserve">U2 0.060 0.108571</w:t>
      </w:r>
    </w:p>
    <w:p>
      <w:pPr>
        <w:pStyle w:val="BodyText"/>
      </w:pPr>
      <w:r>
        <w:t xml:space="preserve">U3 0.060 0.108571</w:t>
      </w:r>
    </w:p>
    <w:p>
      <w:pPr>
        <w:pStyle w:val="BodyText"/>
      </w:pPr>
      <w:r>
        <w:t xml:space="preserve">U4 0.060 0.108571</w:t>
      </w:r>
    </w:p>
    <w:p>
      <w:pPr>
        <w:pStyle w:val="BodyText"/>
      </w:pPr>
      <w:r>
        <w:t xml:space="preserve">U5 0.080 0.128571</w:t>
      </w:r>
    </w:p>
    <w:p>
      <w:pPr>
        <w:pStyle w:val="BodyText"/>
      </w:pPr>
      <w:r>
        <w:t xml:space="preserve">U6 0.100 0.148571</w:t>
      </w:r>
    </w:p>
    <w:p>
      <w:pPr>
        <w:pStyle w:val="BodyText"/>
      </w:pPr>
      <w:r>
        <w:t xml:space="preserve">U7 0.100 0.148571</w:t>
      </w:r>
    </w:p>
    <w:p>
      <w:pPr>
        <w:pStyle w:val="BodyText"/>
      </w:pPr>
      <w:r>
        <w:t xml:space="preserve">Table P-0B. Dimension weights (floors and interim)</w:t>
      </w:r>
    </w:p>
    <w:p>
      <w:pPr>
        <w:pStyle w:val="BodyText"/>
      </w:pPr>
      <w:r>
        <w:t xml:space="preserve">Dim v_floor v_interim</w:t>
      </w:r>
    </w:p>
    <w:p>
      <w:pPr>
        <w:pStyle w:val="BodyText"/>
      </w:pPr>
      <w:r>
        <w:t xml:space="preserve">D1 0.080 0.137143</w:t>
      </w:r>
    </w:p>
    <w:p>
      <w:pPr>
        <w:pStyle w:val="BodyText"/>
      </w:pPr>
      <w:r>
        <w:t xml:space="preserve">D2 0.100 0.157143</w:t>
      </w:r>
    </w:p>
    <w:p>
      <w:pPr>
        <w:pStyle w:val="BodyText"/>
      </w:pPr>
      <w:r>
        <w:t xml:space="preserve">D3 0.080 0.137143</w:t>
      </w:r>
    </w:p>
    <w:p>
      <w:pPr>
        <w:pStyle w:val="BodyText"/>
      </w:pPr>
      <w:r>
        <w:t xml:space="preserve">D4 0.080 0.137143</w:t>
      </w:r>
    </w:p>
    <w:p>
      <w:pPr>
        <w:pStyle w:val="BodyText"/>
      </w:pPr>
      <w:r>
        <w:t xml:space="preserve">D5 0.100 0.157143</w:t>
      </w:r>
    </w:p>
    <w:p>
      <w:pPr>
        <w:pStyle w:val="BodyText"/>
      </w:pPr>
      <w:r>
        <w:t xml:space="preserve">D6 0.060 0.117143</w:t>
      </w:r>
    </w:p>
    <w:p>
      <w:pPr>
        <w:pStyle w:val="BodyText"/>
      </w:pPr>
      <w:r>
        <w:t xml:space="preserve">D7 0.100 0.157143</w:t>
      </w:r>
    </w:p>
    <w:bookmarkEnd w:id="492"/>
    <w:bookmarkStart w:id="493" w:name="Xe0c142888674dc13e8e4a4d30cf1d59b5d67b8c"/>
    <w:p>
      <w:pPr>
        <w:pStyle w:val="Heading2"/>
      </w:pPr>
      <w:r>
        <w:rPr>
          <w:bCs/>
          <w:b/>
        </w:rPr>
        <w:t xml:space="preserve">P.0.5 Mask and active cells for RLS in this run</w:t>
      </w:r>
    </w:p>
    <w:p>
      <w:pPr>
        <w:pStyle w:val="FirstParagraph"/>
      </w:pPr>
      <w:r>
        <w:t xml:space="preserve">Non-maskable rule: all rights-covered cells (union of coverage sets in Appendix C.2) are included.</w:t>
      </w:r>
    </w:p>
    <w:p>
      <w:pPr>
        <w:pStyle w:val="BodyText"/>
      </w:pPr>
      <w:r>
        <w:t xml:space="preserve">This run also includes one additional explicitly modeled welfare cell: (U6,D6) Meaning for Humanity / Global Coordination.</w:t>
      </w:r>
    </w:p>
    <w:p>
      <w:pPr>
        <w:pStyle w:val="BodyText"/>
      </w:pPr>
      <w:r>
        <w:t xml:space="preserve">Active set for RLS in this run:</w:t>
      </w:r>
    </w:p>
    <w:p>
      <w:pPr>
        <w:pStyle w:val="BodyText"/>
      </w:pPr>
      <w:r>
        <w:t xml:space="preserve">• All (U1–U6) × (D1–D5) (30 cells)</w:t>
      </w:r>
    </w:p>
    <w:p>
      <w:pPr>
        <w:pStyle w:val="BodyText"/>
      </w:pPr>
      <w:r>
        <w:t xml:space="preserve">• Plus (U6,D7) and (U7,D7) for ECOL (2 cells)</w:t>
      </w:r>
    </w:p>
    <w:p>
      <w:pPr>
        <w:pStyle w:val="BodyText"/>
      </w:pPr>
      <w:r>
        <w:t xml:space="preserve">• Plus (U6,D6) Meaning (1 additional disclosed cell)</w:t>
      </w:r>
    </w:p>
    <w:p>
      <w:pPr>
        <w:pStyle w:val="BodyText"/>
      </w:pPr>
      <w:r>
        <w:t xml:space="preserve">Total active cells in this run: 33. For RLS aggregation only, define the applicability mask as m(u,d) = 1 exactly on these 33 cells and m(u,d) = 0 otherwise; masking here excludes cells from RLS aggregation only (Section 10.2) and does not bypass NCRC/TRC requirements for rights-covered or catastrophe cells (which are included here as active by construction).</w:t>
      </w:r>
    </w:p>
    <w:bookmarkEnd w:id="493"/>
    <w:bookmarkStart w:id="494" w:name="X6a2046281b85d8592901eb73e409356bd17f588"/>
    <w:p>
      <w:pPr>
        <w:pStyle w:val="Heading2"/>
      </w:pPr>
      <w:r>
        <w:rPr>
          <w:bCs/>
          <w:b/>
        </w:rPr>
        <w:t xml:space="preserve">P.0.6 Tier-2 Representation Artifacts (SCI-1; SDP triggers hold)</w:t>
      </w:r>
    </w:p>
    <w:p>
      <w:pPr>
        <w:pStyle w:val="FirstParagraph"/>
      </w:pPr>
      <w:r>
        <w:t xml:space="preserve">SCI declaration (Tier 2 exemplar).</w:t>
      </w:r>
    </w:p>
    <w:p>
      <w:pPr>
        <w:pStyle w:val="BodyText"/>
      </w:pPr>
      <w:r>
        <w:t xml:space="preserve">SCI = 1 for this worked run. Stakeholder instances are logged at least for direct stakeholders and primary externality pathways. For clarity, this teaching run also includes an explicit InstanceMap (stakeholder instances mapped to Union Scopes); however, no independent challenger omission pass was conducted, so the run does not meet SCI-2. This is a teaching run; it demonstrates mechanics and audit posture, not empirical calibration.</w:t>
      </w:r>
    </w:p>
    <w:p>
      <w:pPr>
        <w:pStyle w:val="BodyText"/>
      </w:pPr>
      <w:r>
        <w:t xml:space="preserve">Scope Coverage Declaration (worked run).</w:t>
      </w:r>
    </w:p>
    <w:p>
      <w:pPr>
        <w:pStyle w:val="BodyText"/>
      </w:pPr>
      <w:r>
        <w:t xml:space="preserve">FULL_SCOPE for rights-covered evaluation and TRC computation: all rights-covered cells (union of canonical coverage sets, Appendix C.2) and catastrophe cells (C_cat) are evaluated as required. For RLS aggregation only, the active set is defined in P.0.5.</w:t>
      </w:r>
    </w:p>
    <w:p>
      <w:pPr>
        <w:pStyle w:val="BodyText"/>
      </w:pPr>
      <w:r>
        <w:t xml:space="preserve">SDP trigger statement.</w:t>
      </w:r>
    </w:p>
    <w:p>
      <w:pPr>
        <w:pStyle w:val="BodyText"/>
      </w:pPr>
      <w:r>
        <w:t xml:space="preserve">SDP triggers hold because: rights-covered cells are evaluated (NCRC); INFO/PROC pathways are central; Polity/Humanity externalities are plausible; TRC is executed on catastrophe cells. Therefore an SDP record and InstanceMap are included for Tier 2 exemplar integrity.</w:t>
      </w:r>
    </w:p>
    <w:p>
      <w:pPr>
        <w:pStyle w:val="BodyText"/>
      </w:pPr>
      <w:r>
        <w:t xml:space="preserve">SDP record (abbreviated).</w:t>
      </w:r>
    </w:p>
    <w:p>
      <w:pPr>
        <w:pStyle w:val="BodyText"/>
      </w:pPr>
      <w:r>
        <w:t xml:space="preserve">(i) Boundary/horizon: platform governance within declared jurisdiction; horizon 5 years.</w:t>
      </w:r>
    </w:p>
    <w:p>
      <w:pPr>
        <w:pStyle w:val="BodyText"/>
      </w:pPr>
      <w:r>
        <w:t xml:space="preserve">(ii) Footprint/externalities: information ecosystem, moderation/enforcement procedures, civic trust spillovers, cross-border information spillovers.</w:t>
      </w:r>
    </w:p>
    <w:p>
      <w:pPr>
        <w:pStyle w:val="BodyText"/>
      </w:pPr>
      <w:r>
        <w:t xml:space="preserve">(iii) Rights exposure scan: INFO/PROC/DIGN/LBTY plausible; subgroup disaggregation is not enumerated in this teaching run.</w:t>
      </w:r>
    </w:p>
    <w:p>
      <w:pPr>
        <w:pStyle w:val="BodyText"/>
      </w:pPr>
      <w:r>
        <w:t xml:space="preserve">(iv) Instances drafted and mapped (see InstanceMap below).</w:t>
      </w:r>
    </w:p>
    <w:p>
      <w:pPr>
        <w:pStyle w:val="BodyText"/>
      </w:pPr>
      <w:r>
        <w:t xml:space="preserve">(v) Blind spots: subgroup heterogeneity compressed; reach held at r=1; evidence tags not calibrated.</w:t>
      </w:r>
    </w:p>
    <w:p>
      <w:pPr>
        <w:pStyle w:val="BodyText"/>
      </w:pPr>
      <w:r>
        <w:t xml:space="preserve">(vi) Escalation triggers: evidence of subgroup harm, contested enforcement outcomes, credible catastrophic pathway, or major new externality channel → rerun at higher SCI and/or Tier 3.</w:t>
      </w:r>
    </w:p>
    <w:p>
      <w:pPr>
        <w:pStyle w:val="BodyText"/>
      </w:pPr>
      <w:r>
        <w:t xml:space="preserve">SCI Next-Run Upgrade Plan (REQUIRED when SCI equals the Tier-2 minimum).</w:t>
      </w:r>
    </w:p>
    <w:p>
      <w:pPr>
        <w:pStyle w:val="BodyText"/>
      </w:pPr>
      <w:r>
        <w:t xml:space="preserve">Next comparable run MUST upgrade to at least SCI-2 by (i) splitting instances into high-variance subgroups where plausible (e.g., minors, journalists, marginalized groups, moderators), (ii) recording ReachBasis denominators and sources, and (iii) performing at least one challenger pass for omitted stakeholder classes. A higher target (SCI-3) is permitted, but SCI-2 is the minimum upgrade commitment for the next comparable run.</w:t>
      </w:r>
    </w:p>
    <w:bookmarkEnd w:id="494"/>
    <w:bookmarkStart w:id="495" w:name="p1-options-actions"/>
    <w:p>
      <w:pPr>
        <w:pStyle w:val="Heading2"/>
      </w:pPr>
      <w:r>
        <w:rPr>
          <w:bCs/>
          <w:b/>
        </w:rPr>
        <w:t xml:space="preserve">P.1 Options (actions)</w:t>
      </w:r>
    </w:p>
    <w:p>
      <w:pPr>
        <w:pStyle w:val="FirstParagraph"/>
      </w:pPr>
      <w:r>
        <w:t xml:space="preserve">Option A: Minimal enforcement and voluntary compliance, limited audits, no strong rights floor instrumentation.</w:t>
      </w:r>
    </w:p>
    <w:p>
      <w:pPr>
        <w:pStyle w:val="BodyText"/>
      </w:pPr>
      <w:r>
        <w:t xml:space="preserve">Option B: Rights-first regulatory package with independent audits, enforcement, and human-in-the-loop escalation review.</w:t>
      </w:r>
    </w:p>
    <w:p>
      <w:pPr>
        <w:pStyle w:val="BodyText"/>
      </w:pPr>
      <w:r>
        <w:t xml:space="preserve">Option C: Light-touch reforms focused on transparency tools and industry coordination, weaker enforcement mechanisms.</w:t>
      </w:r>
    </w:p>
    <w:bookmarkEnd w:id="495"/>
    <w:bookmarkStart w:id="496" w:name="X4ff26d265671a732f6f4a38b8ec1eb8ccdc14f9"/>
    <w:p>
      <w:pPr>
        <w:pStyle w:val="Heading2"/>
      </w:pPr>
      <w:r>
        <w:rPr>
          <w:bCs/>
          <w:b/>
        </w:rPr>
        <w:t xml:space="preserve">P.2 Stakeholder Instances (SCI-1 InstanceMap excerpt)</w:t>
      </w:r>
    </w:p>
    <w:p>
      <w:pPr>
        <w:pStyle w:val="FirstParagraph"/>
      </w:pPr>
      <w:r>
        <w:t xml:space="preserve">Stakeholder Instances instantiate the union stack for this demo. Each instance is a proxy carrier for welfare impacts asserted in the active cells. Reach basis r = 1 is applied uniformly in this teaching run as disclosed in P.0.1.</w:t>
      </w:r>
    </w:p>
    <w:p>
      <w:pPr>
        <w:pStyle w:val="BodyText"/>
      </w:pPr>
      <w:r>
        <w:t xml:space="preserve">Table P-2A. InstanceMap (SCI-1)</w:t>
      </w:r>
    </w:p>
    <w:p>
      <w:pPr>
        <w:pStyle w:val="BodyText"/>
      </w:pPr>
      <w:r>
        <w:t xml:space="preserve">Instance ID | Label | Union Scope | Primary exposure pathways | ReachBasis | Notes</w:t>
      </w:r>
    </w:p>
    <w:p>
      <w:pPr>
        <w:pStyle w:val="BodyText"/>
      </w:pPr>
      <w:r>
        <w:t xml:space="preserve">SI-1 | Individual platform user | U1 Self | INFO/PROC, Agency, Knowledge | r = 1 | Direct exposure to moderation, ranking, privacy, coercion risk</w:t>
      </w:r>
    </w:p>
    <w:p>
      <w:pPr>
        <w:pStyle w:val="BodyText"/>
      </w:pPr>
      <w:r>
        <w:t xml:space="preserve">SI-2 | Household unit | U2 Household | Material, Health, Agency | r = 1 | Household-level spillovers (youth exposure, wellbeing, subsistence)</w:t>
      </w:r>
    </w:p>
    <w:p>
      <w:pPr>
        <w:pStyle w:val="BodyText"/>
      </w:pPr>
      <w:r>
        <w:t xml:space="preserve">SI-3 | Local community civic sphere | U3 Community | Social, Knowledge, Meaning | r = 1 | Trust, cohesion, local misinformation externalities</w:t>
      </w:r>
    </w:p>
    <w:p>
      <w:pPr>
        <w:pStyle w:val="BodyText"/>
      </w:pPr>
      <w:r>
        <w:t xml:space="preserve">SI-4 | Platform org + key firms/institutions | U4 Organization | Agency, Knowledge, Operations | r = 1 | Compliance costs, governance redesign, internal procedures</w:t>
      </w:r>
    </w:p>
    <w:p>
      <w:pPr>
        <w:pStyle w:val="BodyText"/>
      </w:pPr>
      <w:r>
        <w:t xml:space="preserve">SI-5 | Regulators/courts/governance system | U5 Polity | PROC, INFO, legitimacy | r = 1 | Rule-of-law capacity, enforcement efficacy, public trust</w:t>
      </w:r>
    </w:p>
    <w:p>
      <w:pPr>
        <w:pStyle w:val="BodyText"/>
      </w:pPr>
      <w:r>
        <w:t xml:space="preserve">SI-6 | Cross-border information ecosystem | U6 Humanity / Global Coordination | INFO systemic | r = 1 | Global spillovers and precedent-setting externalities</w:t>
      </w:r>
    </w:p>
    <w:p>
      <w:pPr>
        <w:pStyle w:val="BodyText"/>
      </w:pPr>
      <w:r>
        <w:t xml:space="preserve">SI-7 | Biosphere externalities proxy | U7 Biosphere | Environment | r = 1 | Energy/extraction footprint and enabling conditions</w:t>
      </w:r>
    </w:p>
    <w:bookmarkEnd w:id="496"/>
    <w:bookmarkStart w:id="497" w:name="Xfc4e89a843abea53a8e0a94f969018b18e2b9c2"/>
    <w:p>
      <w:pPr>
        <w:pStyle w:val="Heading2"/>
      </w:pPr>
      <w:r>
        <w:rPr>
          <w:bCs/>
          <w:b/>
        </w:rPr>
        <w:t xml:space="preserve">P.3 Welfare impacts: how I_prop(u,d,a) is constructed here</w:t>
      </w:r>
    </w:p>
    <w:p>
      <w:pPr>
        <w:pStyle w:val="FirstParagraph"/>
      </w:pPr>
      <w:r>
        <w:t xml:space="preserve">To keep this Tier 2 demo fully calculable, each active cell uses one welfare impact instance per option with:</w:t>
      </w:r>
    </w:p>
    <w:p>
      <w:pPr>
        <w:pStyle w:val="BodyText"/>
      </w:pPr>
      <w:r>
        <w:t xml:space="preserve">• Likelihood ℓ = 1.0</w:t>
      </w:r>
    </w:p>
    <w:p>
      <w:pPr>
        <w:pStyle w:val="BodyText"/>
      </w:pPr>
      <w:r>
        <w:t xml:space="preserve">• Signed magnitude μ in [-1, +1]</w:t>
      </w:r>
    </w:p>
    <w:p>
      <w:pPr>
        <w:pStyle w:val="BodyText"/>
      </w:pPr>
      <w:r>
        <w:t xml:space="preserve">• Duration t = 5 years (τ = 0.550)</w:t>
      </w:r>
    </w:p>
    <w:p>
      <w:pPr>
        <w:pStyle w:val="BodyText"/>
      </w:pPr>
      <w:r>
        <w:t xml:space="preserve">Then:</w:t>
      </w:r>
    </w:p>
    <w:p>
      <w:pPr>
        <w:pStyle w:val="BodyText"/>
      </w:pPr>
      <w:r>
        <w:t xml:space="preserve">Î_dir(u,d,a) = τ · ℓ · μ</w:t>
      </w:r>
    </w:p>
    <w:p>
      <w:pPr>
        <w:pStyle w:val="BodyText"/>
      </w:pPr>
      <w:r>
        <w:t xml:space="preserve">I_dir(u,d,a) = tanh(β_sat · Î_dir(u,d,a))</w:t>
      </w:r>
    </w:p>
    <w:p>
      <w:pPr>
        <w:pStyle w:val="BodyText"/>
      </w:pPr>
      <w:r>
        <w:t xml:space="preserve">I_prop(u,d,a) = I_dir(u,d,a) (Propagation NONE)</w:t>
      </w:r>
    </w:p>
    <w:p>
      <w:pPr>
        <w:pStyle w:val="BodyText"/>
      </w:pPr>
      <w:r>
        <w:t xml:space="preserve">Inversion for replay (optional): given an I_prop value in Table P-4, recover μ via:</w:t>
      </w:r>
    </w:p>
    <w:p>
      <w:pPr>
        <w:pStyle w:val="BodyText"/>
      </w:pPr>
      <w:r>
        <w:t xml:space="preserve">μ = atanh(I_prop) / (β_sat · τ)</w:t>
      </w:r>
    </w:p>
    <w:bookmarkEnd w:id="497"/>
    <w:bookmarkStart w:id="498" w:name="Xc46b470c95d05f735ef681ad9dadd39582c2ba4"/>
    <w:p>
      <w:pPr>
        <w:pStyle w:val="Heading2"/>
      </w:pPr>
      <w:r>
        <w:rPr>
          <w:bCs/>
          <w:b/>
        </w:rPr>
        <w:t xml:space="preserve">P.4 Welfare impact totals for all active cells</w:t>
      </w:r>
    </w:p>
    <w:p>
      <w:pPr>
        <w:pStyle w:val="FirstParagraph"/>
      </w:pPr>
      <w:r>
        <w:t xml:space="preserve">Table P-4 lists I_prop(u,d,a) for every active cell in this run.</w:t>
      </w:r>
    </w:p>
    <w:p>
      <w:pPr>
        <w:pStyle w:val="BodyText"/>
      </w:pPr>
      <w:r>
        <w:t xml:space="preserve">Any active cell not materially affected by the decision is assigned 0.000 explicitly below.</w:t>
      </w:r>
    </w:p>
    <w:p>
      <w:pPr>
        <w:pStyle w:val="BodyText"/>
      </w:pPr>
      <w:r>
        <w:t xml:space="preserve">Table P-4. I_prop(u,d,a) for the 33 active cells</w:t>
      </w:r>
    </w:p>
    <w:p>
      <w:pPr>
        <w:pStyle w:val="BodyText"/>
      </w:pPr>
      <w:r>
        <w:t xml:space="preserve">Cell A B C</w:t>
      </w:r>
    </w:p>
    <w:p>
      <w:pPr>
        <w:pStyle w:val="BodyText"/>
      </w:pPr>
      <w:r>
        <w:t xml:space="preserve">U1×D1 +0.000 +0.000 +0.000</w:t>
      </w:r>
    </w:p>
    <w:p>
      <w:pPr>
        <w:pStyle w:val="BodyText"/>
      </w:pPr>
      <w:r>
        <w:t xml:space="preserve">U1×D2 -0.123 -0.100 -0.056</w:t>
      </w:r>
    </w:p>
    <w:p>
      <w:pPr>
        <w:pStyle w:val="BodyText"/>
      </w:pPr>
      <w:r>
        <w:t xml:space="preserve">U1×D3 +0.000 +0.000 +0.000</w:t>
      </w:r>
    </w:p>
    <w:p>
      <w:pPr>
        <w:pStyle w:val="BodyText"/>
      </w:pPr>
      <w:r>
        <w:t xml:space="preserve">U1×D4 +0.000 +0.000 +0.000</w:t>
      </w:r>
    </w:p>
    <w:p>
      <w:pPr>
        <w:pStyle w:val="BodyText"/>
      </w:pPr>
      <w:r>
        <w:t xml:space="preserve">U1×D5 -0.429 +0.092 +0.040</w:t>
      </w:r>
    </w:p>
    <w:p>
      <w:pPr>
        <w:pStyle w:val="BodyText"/>
      </w:pPr>
      <w:r>
        <w:t xml:space="preserve">U2×D1 -0.320 +0.036 +0.012</w:t>
      </w:r>
    </w:p>
    <w:p>
      <w:pPr>
        <w:pStyle w:val="BodyText"/>
      </w:pPr>
      <w:r>
        <w:t xml:space="preserve">U2×D2 -0.066 +0.016 +0.000</w:t>
      </w:r>
    </w:p>
    <w:p>
      <w:pPr>
        <w:pStyle w:val="BodyText"/>
      </w:pPr>
      <w:r>
        <w:t xml:space="preserve">U2×D3 +0.000 +0.000 +0.000</w:t>
      </w:r>
    </w:p>
    <w:p>
      <w:pPr>
        <w:pStyle w:val="BodyText"/>
      </w:pPr>
      <w:r>
        <w:t xml:space="preserve">U2×D4 +0.000 +0.000 +0.000</w:t>
      </w:r>
    </w:p>
    <w:p>
      <w:pPr>
        <w:pStyle w:val="BodyText"/>
      </w:pPr>
      <w:r>
        <w:t xml:space="preserve">U2×D5 +0.000 +0.000 +0.000</w:t>
      </w:r>
    </w:p>
    <w:p>
      <w:pPr>
        <w:pStyle w:val="BodyText"/>
      </w:pPr>
      <w:r>
        <w:t xml:space="preserve">U3×D1 +0.000 +0.000 +0.000</w:t>
      </w:r>
    </w:p>
    <w:p>
      <w:pPr>
        <w:pStyle w:val="BodyText"/>
      </w:pPr>
      <w:r>
        <w:t xml:space="preserve">U3×D2 +0.000 +0.000 +0.000</w:t>
      </w:r>
    </w:p>
    <w:p>
      <w:pPr>
        <w:pStyle w:val="BodyText"/>
      </w:pPr>
      <w:r>
        <w:t xml:space="preserve">U3×D3 -0.024 +0.074 +0.034</w:t>
      </w:r>
    </w:p>
    <w:p>
      <w:pPr>
        <w:pStyle w:val="BodyText"/>
      </w:pPr>
      <w:r>
        <w:t xml:space="preserve">U3×D4 +0.000 +0.000 +0.000</w:t>
      </w:r>
    </w:p>
    <w:p>
      <w:pPr>
        <w:pStyle w:val="BodyText"/>
      </w:pPr>
      <w:r>
        <w:t xml:space="preserve">U3×D5 +0.000 +0.000 +0.000</w:t>
      </w:r>
    </w:p>
    <w:p>
      <w:pPr>
        <w:pStyle w:val="BodyText"/>
      </w:pPr>
      <w:r>
        <w:t xml:space="preserve">U4×D1 +0.020 -0.032 -0.016</w:t>
      </w:r>
    </w:p>
    <w:p>
      <w:pPr>
        <w:pStyle w:val="BodyText"/>
      </w:pPr>
      <w:r>
        <w:t xml:space="preserve">U4×D2 +0.000 +0.000 +0.000</w:t>
      </w:r>
    </w:p>
    <w:p>
      <w:pPr>
        <w:pStyle w:val="BodyText"/>
      </w:pPr>
      <w:r>
        <w:t xml:space="preserve">U4×D3 +0.000 +0.000 +0.000</w:t>
      </w:r>
    </w:p>
    <w:p>
      <w:pPr>
        <w:pStyle w:val="BodyText"/>
      </w:pPr>
      <w:r>
        <w:t xml:space="preserve">U4×D4 +0.000 +0.000 +0.000</w:t>
      </w:r>
    </w:p>
    <w:p>
      <w:pPr>
        <w:pStyle w:val="BodyText"/>
      </w:pPr>
      <w:r>
        <w:t xml:space="preserve">U4×D5 -0.336 -0.139 +0.028</w:t>
      </w:r>
    </w:p>
    <w:p>
      <w:pPr>
        <w:pStyle w:val="BodyText"/>
      </w:pPr>
      <w:r>
        <w:t xml:space="preserve">U5×D1 +0.000 +0.000 +0.000</w:t>
      </w:r>
    </w:p>
    <w:p>
      <w:pPr>
        <w:pStyle w:val="BodyText"/>
      </w:pPr>
      <w:r>
        <w:t xml:space="preserve">U5×D2 +0.000 +0.000 +0.000</w:t>
      </w:r>
    </w:p>
    <w:p>
      <w:pPr>
        <w:pStyle w:val="BodyText"/>
      </w:pPr>
      <w:r>
        <w:t xml:space="preserve">U5×D3 +0.000 +0.000 +0.000</w:t>
      </w:r>
    </w:p>
    <w:p>
      <w:pPr>
        <w:pStyle w:val="BodyText"/>
      </w:pPr>
      <w:r>
        <w:t xml:space="preserve">U5×D4 -0.161 +0.040 +0.012</w:t>
      </w:r>
    </w:p>
    <w:p>
      <w:pPr>
        <w:pStyle w:val="BodyText"/>
      </w:pPr>
      <w:r>
        <w:t xml:space="preserve">U5×D5 -0.236 +0.194 +0.030</w:t>
      </w:r>
    </w:p>
    <w:p>
      <w:pPr>
        <w:pStyle w:val="BodyText"/>
      </w:pPr>
      <w:r>
        <w:t xml:space="preserve">U6×D1 +0.000 +0.000 +0.000</w:t>
      </w:r>
    </w:p>
    <w:p>
      <w:pPr>
        <w:pStyle w:val="BodyText"/>
      </w:pPr>
      <w:r>
        <w:t xml:space="preserve">U6×D2 +0.000 +0.000 +0.000</w:t>
      </w:r>
    </w:p>
    <w:p>
      <w:pPr>
        <w:pStyle w:val="BodyText"/>
      </w:pPr>
      <w:r>
        <w:t xml:space="preserve">U6×D3 +0.000 +0.000 +0.000</w:t>
      </w:r>
    </w:p>
    <w:p>
      <w:pPr>
        <w:pStyle w:val="BodyText"/>
      </w:pPr>
      <w:r>
        <w:t xml:space="preserve">U6×D4 +0.000 +0.000 +0.000</w:t>
      </w:r>
    </w:p>
    <w:p>
      <w:pPr>
        <w:pStyle w:val="BodyText"/>
      </w:pPr>
      <w:r>
        <w:t xml:space="preserve">U6×D5 +0.000 +0.000 +0.000</w:t>
      </w:r>
    </w:p>
    <w:p>
      <w:pPr>
        <w:pStyle w:val="BodyText"/>
      </w:pPr>
      <w:r>
        <w:t xml:space="preserve">U6×D6 -0.111 +0.080 +0.020</w:t>
      </w:r>
    </w:p>
    <w:p>
      <w:pPr>
        <w:pStyle w:val="BodyText"/>
      </w:pPr>
      <w:r>
        <w:t xml:space="preserve">U6×D7 +0.000 -0.010 -0.004</w:t>
      </w:r>
    </w:p>
    <w:p>
      <w:pPr>
        <w:pStyle w:val="BodyText"/>
      </w:pPr>
      <w:r>
        <w:t xml:space="preserve">U7×D7 +0.000 +0.000 +0.000</w:t>
      </w:r>
    </w:p>
    <w:p>
      <w:pPr>
        <w:pStyle w:val="BodyText"/>
      </w:pPr>
      <w:r>
        <w:t xml:space="preserve">Worked-fixture provenance note:</w:t>
      </w:r>
    </w:p>
    <w:p>
      <w:pPr>
        <w:pStyle w:val="BodyText"/>
      </w:pPr>
      <w:r>
        <w:t xml:space="preserve">B at (U1,D2) = -0.100 is a frozen illustrative input in this non-normative fixture. It is established before computation for the published vector and is not adjusted after observing gate, ranking, or decisiveness outputs. Synthetic examples may be constructed to exercise a method, but their parameters MUST be disclosed as ex ante fixtures and MUST NOT be portrayed as empirical estimates or tuned evidence.</w:t>
      </w:r>
    </w:p>
    <w:bookmarkEnd w:id="498"/>
    <w:bookmarkStart w:id="499" w:name="Xc5672a4634eee77c6a0f3a84c4f6f2f4e72d75f"/>
    <w:p>
      <w:pPr>
        <w:pStyle w:val="Heading2"/>
      </w:pPr>
      <w:r>
        <w:rPr>
          <w:bCs/>
          <w:b/>
        </w:rPr>
        <w:t xml:space="preserve">P.5 NCRC (Non-Compensatory Rights Constraint)</w:t>
      </w:r>
    </w:p>
    <w:p>
      <w:pPr>
        <w:pStyle w:val="FirstParagraph"/>
      </w:pPr>
      <w:r>
        <w:t xml:space="preserve">Rights thresholds θ_r are defined in Appendix C.1, and rights coverage sets C_r are defined in Appendix C.2.</w:t>
      </w:r>
    </w:p>
    <w:p>
      <w:pPr>
        <w:pStyle w:val="BodyText"/>
      </w:pPr>
      <w:r>
        <w:t xml:space="preserve">This Appendix applies the subgroup limitation rule (γ_subgroup = 1.5) to negative impacts for NCRC only.</w:t>
      </w:r>
    </w:p>
    <w:p>
      <w:pPr>
        <w:pStyle w:val="BodyText"/>
      </w:pPr>
      <w:r>
        <w:t xml:space="preserve">Decision test:</w:t>
      </w:r>
    </w:p>
    <w:p>
      <w:pPr>
        <w:pStyle w:val="BodyText"/>
      </w:pPr>
      <w:r>
        <w:t xml:space="preserve">An option a passes NCRC iff, for every right r, all three channels pass and required evidence is complete:</w:t>
      </w:r>
    </w:p>
    <w:p>
      <w:pPr>
        <w:pStyle w:val="BodyText"/>
      </w:pPr>
      <w:r>
        <w:rPr>
          <w:rStyle w:val="VerbatimChar"/>
        </w:rPr>
        <w:t xml:space="preserve">v_r^floor(a)=0</w:t>
      </w:r>
      <w:r>
        <w:t xml:space="preserve">,</w:t>
      </w:r>
      <w:r>
        <w:t xml:space="preserve"> </w:t>
      </w:r>
      <w:r>
        <w:rPr>
          <w:rStyle w:val="VerbatimChar"/>
        </w:rPr>
        <w:t xml:space="preserve">v_r^cat(a)=0</w:t>
      </w:r>
      <w:r>
        <w:t xml:space="preserve">,</w:t>
      </w:r>
      <w:r>
        <w:t xml:space="preserve"> </w:t>
      </w:r>
      <w:r>
        <w:rPr>
          <w:rStyle w:val="VerbatimChar"/>
        </w:rPr>
        <w:t xml:space="preserve">v_r^risk(a)=0</w:t>
      </w:r>
      <w:r>
        <w:t xml:space="preserve">, and no required severe-hazard or categorical-prohibition field is unresolved.</w:t>
      </w:r>
    </w:p>
    <w:p>
      <w:pPr>
        <w:pStyle w:val="BodyText"/>
      </w:pPr>
      <w:r>
        <w:t xml:space="preserve">The table below displays the floor channel. For this worked vector, the categorical and severe-hazard channels were separately screened as</w:t>
      </w:r>
      <w:r>
        <w:t xml:space="preserve"> </w:t>
      </w:r>
      <w:r>
        <w:rPr>
          <w:rStyle w:val="VerbatimChar"/>
        </w:rPr>
        <w:t xml:space="preserve">v_r^cat=0</w:t>
      </w:r>
      <w:r>
        <w:t xml:space="preserve"> </w:t>
      </w:r>
      <w:r>
        <w:t xml:space="preserve">and</w:t>
      </w:r>
      <w:r>
        <w:t xml:space="preserve"> </w:t>
      </w:r>
      <w:r>
        <w:rPr>
          <w:rStyle w:val="VerbatimChar"/>
        </w:rPr>
        <w:t xml:space="preserve">v_r^risk=0</w:t>
      </w:r>
      <w:r>
        <w:t xml:space="preserve"> </w:t>
      </w:r>
      <w:r>
        <w:t xml:space="preserve">for B and C, with required rights-evidence fields complete. Option A also fails the floor channel, so it is rejected without score rescue.</w:t>
      </w:r>
    </w:p>
    <w:p>
      <w:pPr>
        <w:pStyle w:val="BodyText"/>
      </w:pPr>
      <w:r>
        <w:t xml:space="preserve">Table P-5. NCRC floor-channel check (minimum rights-adjusted value per right, binding cell, and violation depth</w:t>
      </w:r>
      <w:r>
        <w:t xml:space="preserve"> </w:t>
      </w:r>
      <w:r>
        <w:rPr>
          <w:rStyle w:val="VerbatimChar"/>
        </w:rPr>
        <w:t xml:space="preserve">v_r^floor</w:t>
      </w:r>
      <w:r>
        <w:t xml:space="preserve">)</w:t>
      </w:r>
    </w:p>
    <w:p>
      <w:pPr>
        <w:pStyle w:val="BodyText"/>
      </w:pPr>
      <w:r>
        <w:t xml:space="preserve">Right θ_r A min(I_rights) @cell v_A B min(I_rights) @cell v_B C min(I_rights) @cell v_C</w:t>
      </w:r>
    </w:p>
    <w:p>
      <w:pPr>
        <w:pStyle w:val="BodyText"/>
      </w:pPr>
      <w:r>
        <w:t xml:space="preserve">LIFE -0.90 -0.185 @ U1×D2 0.000 -0.150 @ U1×D2 0.000 -0.084 @ U1×D2 0.000</w:t>
      </w:r>
    </w:p>
    <w:p>
      <w:pPr>
        <w:pStyle w:val="BodyText"/>
      </w:pPr>
      <w:r>
        <w:t xml:space="preserve">BODY -0.70 -0.185 @ U1×D2 0.000 -0.150 @ U1×D2 0.000 -0.084 @ U1×D2 0.000</w:t>
      </w:r>
    </w:p>
    <w:p>
      <w:pPr>
        <w:pStyle w:val="BodyText"/>
      </w:pPr>
      <w:r>
        <w:t xml:space="preserve">LBTY -0.65 -0.643 @ U1×D5 0.000 -0.208 @ U4×D5 0.000 +0.000 @ U2×D5 0.000</w:t>
      </w:r>
    </w:p>
    <w:p>
      <w:pPr>
        <w:pStyle w:val="BodyText"/>
      </w:pPr>
      <w:r>
        <w:t xml:space="preserve">NEED -0.50 -0.480 @ U2×D1 0.000 -0.150 @ U1×D2 0.000 -0.084 @ U1×D2 0.000</w:t>
      </w:r>
    </w:p>
    <w:p>
      <w:pPr>
        <w:pStyle w:val="BodyText"/>
      </w:pPr>
      <w:r>
        <w:t xml:space="preserve">DIGN -0.55 -0.643 @ U1×D5 0.093 -0.208 @ U4×D5 0.000 +0.000 @ U2×D3 0.000</w:t>
      </w:r>
    </w:p>
    <w:p>
      <w:pPr>
        <w:pStyle w:val="BodyText"/>
      </w:pPr>
      <w:r>
        <w:t xml:space="preserve">PROC -0.45 -0.504 @ U4×D5 0.054 -0.208 @ U4×D5 0.000 +0.000 @ U4×D3 0.000</w:t>
      </w:r>
    </w:p>
    <w:p>
      <w:pPr>
        <w:pStyle w:val="BodyText"/>
      </w:pPr>
      <w:r>
        <w:t xml:space="preserve">INFO -0.40 -0.643 @ U1×D5 0.243 -0.208 @ U4×D5 0.000 +0.000 @ U1×D4 0.000</w:t>
      </w:r>
    </w:p>
    <w:p>
      <w:pPr>
        <w:pStyle w:val="BodyText"/>
      </w:pPr>
      <w:r>
        <w:t xml:space="preserve">ECOL -0.65 +0.000 @ U6×D7 0.000 -0.015 @ U6×D7 0.000 -0.006 @ U6×D7 0.000</w:t>
      </w:r>
    </w:p>
    <w:p>
      <w:pPr>
        <w:pStyle w:val="BodyText"/>
      </w:pPr>
      <w:r>
        <w:t xml:space="preserve">NCRC result:</w:t>
      </w:r>
    </w:p>
    <w:p>
      <w:pPr>
        <w:pStyle w:val="BodyText"/>
      </w:pPr>
      <w:r>
        <w:t xml:space="preserve">• Option A fails NCRC (violations in DIGN, PROC, INFO).</w:t>
      </w:r>
    </w:p>
    <w:p>
      <w:pPr>
        <w:pStyle w:val="BodyText"/>
      </w:pPr>
      <w:r>
        <w:t xml:space="preserve">• Options B and C pass NCRC.</w:t>
      </w:r>
    </w:p>
    <w:bookmarkEnd w:id="499"/>
    <w:bookmarkStart w:id="500" w:name="p6-trc-tail-risk-constraint-via-cvar"/>
    <w:p>
      <w:pPr>
        <w:pStyle w:val="Heading2"/>
      </w:pPr>
      <w:r>
        <w:rPr>
          <w:bCs/>
          <w:b/>
        </w:rPr>
        <w:t xml:space="preserve">P.6 TRC (Tail-Risk Constraint via CVaR)</w:t>
      </w:r>
    </w:p>
    <w:p>
      <w:pPr>
        <w:pStyle w:val="FirstParagraph"/>
      </w:pPr>
      <w:r>
        <w:t xml:space="preserve">We evaluate catastrophic downside via scenario losses L(a,s) and CVaR_α with α = 0.95 (tail mass 0.05).</w:t>
      </w:r>
    </w:p>
    <w:p>
      <w:pPr>
        <w:pStyle w:val="BodyText"/>
      </w:pPr>
      <w:r>
        <w:t xml:space="preserve">In this demo, each scenario assigns identical base impacts across the three catastrophe cells, so:</w:t>
      </w:r>
    </w:p>
    <w:p>
      <w:pPr>
        <w:pStyle w:val="BodyText"/>
      </w:pPr>
      <w:r>
        <w:t xml:space="preserve">For each option a and scenario s, set I_base(c,a,s) = -L(a,s) for every c in C_cat.</w:t>
      </w:r>
    </w:p>
    <w:p>
      <w:pPr>
        <w:pStyle w:val="BodyText"/>
      </w:pPr>
      <w:r>
        <w:t xml:space="preserve">Then L(a,s) = - Σ_{c in C_cat} w_cat(c) · I_base(c,a,s) holds by construction.</w:t>
      </w:r>
    </w:p>
    <w:p>
      <w:pPr>
        <w:pStyle w:val="BodyText"/>
      </w:pPr>
      <w:r>
        <w:t xml:space="preserve">Table P-6. Scenario probabilities and losses</w:t>
      </w:r>
    </w:p>
    <w:p>
      <w:pPr>
        <w:pStyle w:val="BodyText"/>
      </w:pPr>
      <w:r>
        <w:t xml:space="preserve">Scenario Category p_s L_A L_B L_C</w:t>
      </w:r>
    </w:p>
    <w:p>
      <w:pPr>
        <w:pStyle w:val="BodyText"/>
      </w:pPr>
      <w:r>
        <w:t xml:space="preserve">S1 Pandemic/biological 0.05 0.35 0.12 0.08</w:t>
      </w:r>
    </w:p>
    <w:p>
      <w:pPr>
        <w:pStyle w:val="BodyText"/>
      </w:pPr>
      <w:r>
        <w:t xml:space="preserve">S2 Financial collapse 0.05 0.40 0.15 0.10</w:t>
      </w:r>
    </w:p>
    <w:p>
      <w:pPr>
        <w:pStyle w:val="BodyText"/>
      </w:pPr>
      <w:r>
        <w:t xml:space="preserve">S3 Infrastructure failure 0.04 0.45 0.10 0.05</w:t>
      </w:r>
    </w:p>
    <w:p>
      <w:pPr>
        <w:pStyle w:val="BodyText"/>
      </w:pPr>
      <w:r>
        <w:t xml:space="preserve">S4 Conflict escalation 0.03 0.30 0.08 0.06</w:t>
      </w:r>
    </w:p>
    <w:p>
      <w:pPr>
        <w:pStyle w:val="BodyText"/>
      </w:pPr>
      <w:r>
        <w:t xml:space="preserve">S5 Climate displacement 0.03 0.28 0.10 0.07</w:t>
      </w:r>
    </w:p>
    <w:p>
      <w:pPr>
        <w:pStyle w:val="BodyText"/>
      </w:pPr>
      <w:r>
        <w:t xml:space="preserve">S6 Moderate baseline 0.50 0.08 0.03 0.02</w:t>
      </w:r>
    </w:p>
    <w:p>
      <w:pPr>
        <w:pStyle w:val="BodyText"/>
      </w:pPr>
      <w:r>
        <w:t xml:space="preserve">S7 High-volume stress 0.15 0.18 0.07 0.04</w:t>
      </w:r>
    </w:p>
    <w:p>
      <w:pPr>
        <w:pStyle w:val="BodyText"/>
      </w:pPr>
      <w:r>
        <w:t xml:space="preserve">S8 Bias discovery 0.10 0.25 0.06 0.04</w:t>
      </w:r>
    </w:p>
    <w:p>
      <w:pPr>
        <w:pStyle w:val="BodyText"/>
      </w:pPr>
      <w:r>
        <w:t xml:space="preserve">S9 Successful scale 0.05 0.05 0.02 0.02</w:t>
      </w:r>
    </w:p>
    <w:p>
      <w:pPr>
        <w:pStyle w:val="BodyText"/>
      </w:pPr>
      <w:r>
        <w:t xml:space="preserve">CVaR_0.95 calculation (tail mass 0.05):</w:t>
      </w:r>
    </w:p>
    <w:p>
      <w:pPr>
        <w:pStyle w:val="BodyText"/>
      </w:pPr>
      <w:r>
        <w:t xml:space="preserve">• Option A tail consists of S3 (0.04 at 0.45) plus 0.01 of S2 (0.40):</w:t>
      </w:r>
    </w:p>
    <w:p>
      <w:pPr>
        <w:pStyle w:val="BodyText"/>
      </w:pPr>
      <w:r>
        <w:t xml:space="preserve">CVaR = (0.45·0.04 + 0.40·0.01) / 0.05 = 0.44</w:t>
      </w:r>
    </w:p>
    <w:p>
      <w:pPr>
        <w:pStyle w:val="BodyText"/>
      </w:pPr>
      <w:r>
        <w:t xml:space="preserve">• Option B tail is exactly S2 (0.05 at 0.15):</w:t>
      </w:r>
    </w:p>
    <w:p>
      <w:pPr>
        <w:pStyle w:val="BodyText"/>
      </w:pPr>
      <w:r>
        <w:t xml:space="preserve">CVaR = 0.15</w:t>
      </w:r>
    </w:p>
    <w:p>
      <w:pPr>
        <w:pStyle w:val="BodyText"/>
      </w:pPr>
      <w:r>
        <w:t xml:space="preserve">• Option C tail is exactly S2 (0.05 at 0.10):</w:t>
      </w:r>
    </w:p>
    <w:p>
      <w:pPr>
        <w:pStyle w:val="BodyText"/>
      </w:pPr>
      <w:r>
        <w:t xml:space="preserve">CVaR = 0.10</w:t>
      </w:r>
    </w:p>
    <w:p>
      <w:pPr>
        <w:pStyle w:val="BodyText"/>
      </w:pPr>
      <w:r>
        <w:t xml:space="preserve">TRC test: option passes iff CVaR_0.95 ≤ 0.20</w:t>
      </w:r>
    </w:p>
    <w:p>
      <w:pPr>
        <w:pStyle w:val="BodyText"/>
      </w:pPr>
      <w:r>
        <w:t xml:space="preserve">TRC result:</w:t>
      </w:r>
    </w:p>
    <w:p>
      <w:pPr>
        <w:pStyle w:val="BodyText"/>
      </w:pPr>
      <w:r>
        <w:t xml:space="preserve">• Option A fails TRC (0.44 &gt; 0.20).</w:t>
      </w:r>
    </w:p>
    <w:p>
      <w:pPr>
        <w:pStyle w:val="BodyText"/>
      </w:pPr>
      <w:r>
        <w:t xml:space="preserve">• Options B and C pass TRC.</w:t>
      </w:r>
    </w:p>
    <w:bookmarkEnd w:id="500"/>
    <w:bookmarkStart w:id="502" w:name="X58f73e52be6579aa24b0de70cc72115005fc610"/>
    <w:p>
      <w:pPr>
        <w:pStyle w:val="Heading2"/>
      </w:pPr>
      <w:r>
        <w:rPr>
          <w:bCs/>
          <w:b/>
        </w:rPr>
        <w:t xml:space="preserve">P.7 Proportional Tier-2 CSV Review (Informative worked computation)</w:t>
      </w:r>
    </w:p>
    <w:bookmarkStart w:id="501" w:name="Xd827085c17ea4d7533c7a0374de1f803ca8f91d"/>
    <w:p>
      <w:pPr>
        <w:pStyle w:val="Heading3"/>
      </w:pPr>
      <w:r>
        <w:rPr>
          <w:bCs/>
          <w:b/>
        </w:rPr>
        <w:t xml:space="preserve">P.7A Tier-2 CSV diagnostic and binding-control trace (Informative worked computation)</w:t>
      </w:r>
    </w:p>
    <w:p>
      <w:pPr>
        <w:pStyle w:val="FirstParagraph"/>
      </w:pPr>
      <w:r>
        <w:t xml:space="preserve">UCI is not computed in this worked trace. The status is an assumption-bounded Tier-2 CSV determination supported by explicit diagnostic levels and controls, not a validated-UCI result.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Diagnostic</w:t>
            </w:r>
          </w:p>
        </w:tc>
        <w:tc>
          <w:tcPr>
            <w:shd w:val="clear" w:color="auto" w:fill="D9EAF7"/>
            <w:vAlign w:val="center"/>
          </w:tcPr>
          <w:p>
            <w:pPr>
              <w:pStyle w:val="Compact"/>
              <w:jc w:val="left"/>
            </w:pPr>
            <w:r>
              <w:rPr>
                <w:bCs/>
                <w:b/>
                <w:color w:val="17365D"/>
              </w:rPr>
              <w:t xml:space="preserve">Level (0-4)</w:t>
            </w:r>
          </w:p>
        </w:tc>
        <w:tc>
          <w:tcPr>
            <w:shd w:val="clear" w:color="auto" w:fill="D9EAF7"/>
            <w:vAlign w:val="center"/>
          </w:tcPr>
          <w:p>
            <w:pPr>
              <w:pStyle w:val="Compact"/>
              <w:jc w:val="left"/>
            </w:pPr>
            <w:r>
              <w:rPr>
                <w:bCs/>
                <w:b/>
                <w:color w:val="17365D"/>
              </w:rPr>
              <w:t xml:space="preserve">Evidence / reason</w:t>
            </w:r>
          </w:p>
        </w:tc>
        <w:tc>
          <w:tcPr>
            <w:shd w:val="clear" w:color="auto" w:fill="D9EAF7"/>
            <w:vAlign w:val="center"/>
          </w:tcPr>
          <w:p>
            <w:pPr>
              <w:pStyle w:val="Compact"/>
              <w:jc w:val="left"/>
            </w:pPr>
            <w:r>
              <w:rPr>
                <w:bCs/>
                <w:b/>
                <w:color w:val="17365D"/>
              </w:rPr>
              <w:t xml:space="preserve">Binding control / record</w:t>
            </w:r>
          </w:p>
        </w:tc>
      </w:tr>
      <w:tr>
        <w:tc>
          <w:tcPr>
            <w:vAlign w:val="top"/>
          </w:tcPr>
          <w:p>
            <w:pPr>
              <w:pStyle w:val="Compact"/>
              <w:jc w:val="left"/>
            </w:pPr>
            <w:r>
              <w:t xml:space="preserve">Containment integrity</w:t>
            </w:r>
          </w:p>
        </w:tc>
        <w:tc>
          <w:tcPr>
            <w:vAlign w:val="top"/>
          </w:tcPr>
          <w:p>
            <w:pPr>
              <w:pStyle w:val="Compact"/>
              <w:jc w:val="left"/>
            </w:pPr>
            <w:r>
              <w:t xml:space="preserve">1</w:t>
            </w:r>
          </w:p>
        </w:tc>
        <w:tc>
          <w:tcPr>
            <w:vAlign w:val="top"/>
          </w:tcPr>
          <w:p>
            <w:pPr>
              <w:pStyle w:val="Compact"/>
              <w:jc w:val="left"/>
            </w:pPr>
            <w:r>
              <w:t xml:space="preserve">Independent audits and staged scope limit externalization pathways.</w:t>
            </w:r>
          </w:p>
        </w:tc>
        <w:tc>
          <w:tcPr>
            <w:vAlign w:val="top"/>
          </w:tcPr>
          <w:p>
            <w:pPr>
              <w:pStyle w:val="Compact"/>
              <w:jc w:val="left"/>
            </w:pPr>
            <w:r>
              <w:t xml:space="preserve">CSV-B-C01: scope cap and independent audit.</w:t>
            </w:r>
          </w:p>
        </w:tc>
      </w:tr>
      <w:tr>
        <w:tc>
          <w:tcPr>
            <w:shd w:val="clear" w:color="auto" w:fill="F7FBFE"/>
            <w:vAlign w:val="top"/>
          </w:tcPr>
          <w:p>
            <w:pPr>
              <w:pStyle w:val="Compact"/>
              <w:jc w:val="left"/>
            </w:pPr>
            <w:r>
              <w:t xml:space="preserve">Dependency and resource closure</w:t>
            </w:r>
          </w:p>
        </w:tc>
        <w:tc>
          <w:tcPr>
            <w:shd w:val="clear" w:color="auto" w:fill="F7FBFE"/>
            <w:vAlign w:val="top"/>
          </w:tcPr>
          <w:p>
            <w:pPr>
              <w:pStyle w:val="Compact"/>
              <w:jc w:val="left"/>
            </w:pPr>
            <w:r>
              <w:t xml:space="preserve">2</w:t>
            </w:r>
          </w:p>
        </w:tc>
        <w:tc>
          <w:tcPr>
            <w:shd w:val="clear" w:color="auto" w:fill="F7FBFE"/>
            <w:vAlign w:val="top"/>
          </w:tcPr>
          <w:p>
            <w:pPr>
              <w:pStyle w:val="Compact"/>
              <w:jc w:val="left"/>
            </w:pPr>
            <w:r>
              <w:t xml:space="preserve">Audit, enforcement, and appeal functions require funded staffing and information access.</w:t>
            </w:r>
          </w:p>
        </w:tc>
        <w:tc>
          <w:tcPr>
            <w:shd w:val="clear" w:color="auto" w:fill="F7FBFE"/>
            <w:vAlign w:val="top"/>
          </w:tcPr>
          <w:p>
            <w:pPr>
              <w:pStyle w:val="Compact"/>
              <w:jc w:val="left"/>
            </w:pPr>
            <w:r>
              <w:t xml:space="preserve">CSV-B-C02: appropriated capacity, named carrier, expiry and nonperformance escalation.</w:t>
            </w:r>
          </w:p>
        </w:tc>
      </w:tr>
      <w:tr>
        <w:tc>
          <w:tcPr>
            <w:vAlign w:val="top"/>
          </w:tcPr>
          <w:p>
            <w:pPr>
              <w:pStyle w:val="Compact"/>
              <w:jc w:val="left"/>
            </w:pPr>
            <w:r>
              <w:t xml:space="preserve">Reversibility / rollback</w:t>
            </w:r>
          </w:p>
        </w:tc>
        <w:tc>
          <w:tcPr>
            <w:vAlign w:val="top"/>
          </w:tcPr>
          <w:p>
            <w:pPr>
              <w:pStyle w:val="Compact"/>
              <w:jc w:val="left"/>
            </w:pPr>
            <w:r>
              <w:t xml:space="preserve">1</w:t>
            </w:r>
          </w:p>
        </w:tc>
        <w:tc>
          <w:tcPr>
            <w:vAlign w:val="top"/>
          </w:tcPr>
          <w:p>
            <w:pPr>
              <w:pStyle w:val="Compact"/>
              <w:jc w:val="left"/>
            </w:pPr>
            <w:r>
              <w:t xml:space="preserve">Rules and implementation can be suspended or rolled back under specified triggers.</w:t>
            </w:r>
          </w:p>
        </w:tc>
        <w:tc>
          <w:tcPr>
            <w:vAlign w:val="top"/>
          </w:tcPr>
          <w:p>
            <w:pPr>
              <w:pStyle w:val="Compact"/>
              <w:jc w:val="left"/>
            </w:pPr>
            <w:r>
              <w:t xml:space="preserve">CSV-B-C03: sunset, rollback authority, and restoration plan.</w:t>
            </w:r>
          </w:p>
        </w:tc>
      </w:tr>
      <w:tr>
        <w:tc>
          <w:tcPr>
            <w:shd w:val="clear" w:color="auto" w:fill="F7FBFE"/>
            <w:vAlign w:val="top"/>
          </w:tcPr>
          <w:p>
            <w:pPr>
              <w:pStyle w:val="Compact"/>
              <w:jc w:val="left"/>
            </w:pPr>
            <w:r>
              <w:t xml:space="preserve">Monitoring and operational capacity</w:t>
            </w:r>
          </w:p>
        </w:tc>
        <w:tc>
          <w:tcPr>
            <w:shd w:val="clear" w:color="auto" w:fill="F7FBFE"/>
            <w:vAlign w:val="top"/>
          </w:tcPr>
          <w:p>
            <w:pPr>
              <w:pStyle w:val="Compact"/>
              <w:jc w:val="left"/>
            </w:pPr>
            <w:r>
              <w:t xml:space="preserve">2</w:t>
            </w:r>
          </w:p>
        </w:tc>
        <w:tc>
          <w:tcPr>
            <w:shd w:val="clear" w:color="auto" w:fill="F7FBFE"/>
            <w:vAlign w:val="top"/>
          </w:tcPr>
          <w:p>
            <w:pPr>
              <w:pStyle w:val="Compact"/>
              <w:jc w:val="left"/>
            </w:pPr>
            <w:r>
              <w:t xml:space="preserve">Outcome monitoring and exception handling are material to effective implementation.</w:t>
            </w:r>
          </w:p>
        </w:tc>
        <w:tc>
          <w:tcPr>
            <w:shd w:val="clear" w:color="auto" w:fill="F7FBFE"/>
            <w:vAlign w:val="top"/>
          </w:tcPr>
          <w:p>
            <w:pPr>
              <w:pStyle w:val="Compact"/>
              <w:jc w:val="left"/>
            </w:pPr>
            <w:r>
              <w:t xml:space="preserve">CSV-B-C04: monitoring owner, service-level thresholds, incident escalation.</w:t>
            </w:r>
          </w:p>
        </w:tc>
      </w:tr>
      <w:tr>
        <w:tc>
          <w:tcPr>
            <w:vAlign w:val="top"/>
          </w:tcPr>
          <w:p>
            <w:pPr>
              <w:pStyle w:val="Compact"/>
              <w:jc w:val="left"/>
            </w:pPr>
            <w:r>
              <w:t xml:space="preserve">Legitimacy and appeal throughput</w:t>
            </w:r>
          </w:p>
        </w:tc>
        <w:tc>
          <w:tcPr>
            <w:vAlign w:val="top"/>
          </w:tcPr>
          <w:p>
            <w:pPr>
              <w:pStyle w:val="Compact"/>
              <w:jc w:val="left"/>
            </w:pPr>
            <w:r>
              <w:t xml:space="preserve">2</w:t>
            </w:r>
          </w:p>
        </w:tc>
        <w:tc>
          <w:tcPr>
            <w:vAlign w:val="top"/>
          </w:tcPr>
          <w:p>
            <w:pPr>
              <w:pStyle w:val="Compact"/>
              <w:jc w:val="left"/>
            </w:pPr>
            <w:r>
              <w:t xml:space="preserve">Rights protection depends on timely appeal, remedy, and independent challenge.</w:t>
            </w:r>
          </w:p>
        </w:tc>
        <w:tc>
          <w:tcPr>
            <w:vAlign w:val="top"/>
          </w:tcPr>
          <w:p>
            <w:pPr>
              <w:pStyle w:val="Compact"/>
              <w:jc w:val="left"/>
            </w:pPr>
            <w:r>
              <w:t xml:space="preserve">CSV-B-C05: appeal SLA, independent reviewer, remedy budget, public report.</w:t>
            </w:r>
          </w:p>
        </w:tc>
      </w:tr>
      <w:tr>
        <w:tc>
          <w:tcPr>
            <w:shd w:val="clear" w:color="auto" w:fill="F7FBFE"/>
            <w:vAlign w:val="top"/>
          </w:tcPr>
          <w:p>
            <w:pPr>
              <w:pStyle w:val="Compact"/>
              <w:jc w:val="left"/>
            </w:pPr>
            <w:r>
              <w:t xml:space="preserve">Result</w:t>
            </w:r>
          </w:p>
        </w:tc>
        <w:tc>
          <w:tcPr>
            <w:shd w:val="clear" w:color="auto" w:fill="F7FBFE"/>
            <w:vAlign w:val="top"/>
          </w:tcPr>
          <w:p>
            <w:pPr>
              <w:pStyle w:val="Compact"/>
              <w:jc w:val="left"/>
            </w:pPr>
            <w:r>
              <w:t xml:space="preserve">-</w:t>
            </w:r>
          </w:p>
        </w:tc>
        <w:tc>
          <w:tcPr>
            <w:shd w:val="clear" w:color="auto" w:fill="F7FBFE"/>
            <w:vAlign w:val="top"/>
          </w:tcPr>
          <w:p>
            <w:pPr>
              <w:pStyle w:val="Compact"/>
              <w:jc w:val="left"/>
            </w:pPr>
            <w:r>
              <w:t xml:space="preserve">No diagnostic is 3 or 4; all level-2 conditions have binding, auditable controls.</w:t>
            </w:r>
          </w:p>
        </w:tc>
        <w:tc>
          <w:tcPr>
            <w:shd w:val="clear" w:color="auto" w:fill="F7FBFE"/>
            <w:vAlign w:val="top"/>
          </w:tcPr>
          <w:p>
            <w:pPr>
              <w:pStyle w:val="Compact"/>
              <w:jc w:val="left"/>
            </w:pPr>
            <w:r>
              <w:t xml:space="preserve">CSV_PASS_WITH_CONTROLS; removal or failure of any control reopens CSV.</w:t>
            </w:r>
          </w:p>
        </w:tc>
      </w:tr>
    </w:tbl>
    <w:p>
      <w:pPr>
        <w:pStyle w:val="BodyText"/>
      </w:pPr>
      <w:r>
        <w:t xml:space="preserve">CSV is completed before ordinary RLS using proportionate, assumption-bounded evidence. Quantitative UCI is not claimed.</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584"/>
        <w:gridCol w:w="1584"/>
        <w:gridCol w:w="1584"/>
        <w:gridCol w:w="1584"/>
        <w:gridCol w:w="1584"/>
      </w:tblGrid>
      <w:tr>
        <w:trPr>
          <w:tblHeader w:val="true"/>
        </w:trPr>
        <w:tc>
          <w:tcPr>
            <w:shd w:val="clear" w:color="auto" w:fill="D9EAF7"/>
            <w:vAlign w:val="center"/>
          </w:tcPr>
          <w:p>
            <w:pPr>
              <w:pStyle w:val="Compact"/>
              <w:jc w:val="left"/>
            </w:pPr>
            <w:r>
              <w:rPr>
                <w:bCs/>
                <w:b/>
                <w:color w:val="17365D"/>
              </w:rPr>
              <w:t xml:space="preserve">Option</w:t>
            </w:r>
          </w:p>
        </w:tc>
        <w:tc>
          <w:tcPr>
            <w:shd w:val="clear" w:color="auto" w:fill="D9EAF7"/>
            <w:vAlign w:val="center"/>
          </w:tcPr>
          <w:p>
            <w:pPr>
              <w:pStyle w:val="Compact"/>
              <w:jc w:val="left"/>
            </w:pPr>
            <w:r>
              <w:rPr>
                <w:bCs/>
                <w:b/>
                <w:color w:val="17365D"/>
              </w:rPr>
              <w:t xml:space="preserve">Prior-gate status</w:t>
            </w:r>
          </w:p>
        </w:tc>
        <w:tc>
          <w:tcPr>
            <w:shd w:val="clear" w:color="auto" w:fill="D9EAF7"/>
            <w:vAlign w:val="center"/>
          </w:tcPr>
          <w:p>
            <w:pPr>
              <w:pStyle w:val="Compact"/>
              <w:jc w:val="left"/>
            </w:pPr>
            <w:r>
              <w:rPr>
                <w:bCs/>
                <w:b/>
                <w:color w:val="17365D"/>
              </w:rPr>
              <w:t xml:space="preserve">Containment / structural question</w:t>
            </w:r>
          </w:p>
        </w:tc>
        <w:tc>
          <w:tcPr>
            <w:shd w:val="clear" w:color="auto" w:fill="D9EAF7"/>
            <w:vAlign w:val="center"/>
          </w:tcPr>
          <w:p>
            <w:pPr>
              <w:pStyle w:val="Compact"/>
              <w:jc w:val="left"/>
            </w:pPr>
            <w:r>
              <w:rPr>
                <w:bCs/>
                <w:b/>
                <w:color w:val="17365D"/>
              </w:rPr>
              <w:t xml:space="preserve">Evidence and assumptions</w:t>
            </w:r>
          </w:p>
        </w:tc>
        <w:tc>
          <w:tcPr>
            <w:shd w:val="clear" w:color="auto" w:fill="D9EAF7"/>
            <w:vAlign w:val="center"/>
          </w:tcPr>
          <w:p>
            <w:pPr>
              <w:pStyle w:val="Compact"/>
              <w:jc w:val="left"/>
            </w:pPr>
            <w:r>
              <w:rPr>
                <w:bCs/>
                <w:b/>
                <w:color w:val="17365D"/>
              </w:rPr>
              <w:t xml:space="preserve">CSV status</w:t>
            </w:r>
          </w:p>
        </w:tc>
      </w:tr>
      <w:tr>
        <w:tc>
          <w:tcPr>
            <w:vAlign w:val="top"/>
          </w:tcPr>
          <w:p>
            <w:pPr>
              <w:pStyle w:val="Compact"/>
              <w:jc w:val="left"/>
            </w:pPr>
            <w:r>
              <w:t xml:space="preserve">A</w:t>
            </w:r>
          </w:p>
        </w:tc>
        <w:tc>
          <w:tcPr>
            <w:vAlign w:val="top"/>
          </w:tcPr>
          <w:p>
            <w:pPr>
              <w:pStyle w:val="Compact"/>
              <w:jc w:val="left"/>
            </w:pPr>
            <w:r>
              <w:t xml:space="preserve">Eliminated by NCRC and TRC</w:t>
            </w:r>
          </w:p>
        </w:tc>
        <w:tc>
          <w:tcPr>
            <w:vAlign w:val="top"/>
          </w:tcPr>
          <w:p>
            <w:pPr>
              <w:pStyle w:val="Compact"/>
              <w:jc w:val="left"/>
            </w:pPr>
            <w:r>
              <w:t xml:space="preserve">No downstream gate may rescue or re-enter an option already eliminated.</w:t>
            </w:r>
          </w:p>
        </w:tc>
        <w:tc>
          <w:tcPr>
            <w:vAlign w:val="top"/>
          </w:tcPr>
          <w:p>
            <w:pPr>
              <w:pStyle w:val="Compact"/>
              <w:jc w:val="left"/>
            </w:pPr>
            <w:r>
              <w:t xml:space="preserve">CSV is not used to restore A. Any later structural observation is audit-only.</w:t>
            </w:r>
          </w:p>
        </w:tc>
        <w:tc>
          <w:tcPr>
            <w:vAlign w:val="top"/>
          </w:tcPr>
          <w:p>
            <w:pPr>
              <w:pStyle w:val="Compact"/>
              <w:jc w:val="left"/>
            </w:pPr>
            <w:r>
              <w:rPr>
                <w:rStyle w:val="VerbatimChar"/>
              </w:rPr>
              <w:t xml:space="preserve">NOT_EVALUATED_AFTER_PRIOR_ELIMINATION</w:t>
            </w:r>
          </w:p>
        </w:tc>
      </w:tr>
      <w:tr>
        <w:tc>
          <w:tcPr>
            <w:shd w:val="clear" w:color="auto" w:fill="F7FBFE"/>
            <w:vAlign w:val="top"/>
          </w:tcPr>
          <w:p>
            <w:pPr>
              <w:pStyle w:val="Compact"/>
              <w:jc w:val="left"/>
            </w:pPr>
            <w:r>
              <w:t xml:space="preserve">B</w:t>
            </w:r>
          </w:p>
        </w:tc>
        <w:tc>
          <w:tcPr>
            <w:shd w:val="clear" w:color="auto" w:fill="F7FBFE"/>
            <w:vAlign w:val="top"/>
          </w:tcPr>
          <w:p>
            <w:pPr>
              <w:pStyle w:val="Compact"/>
              <w:jc w:val="left"/>
            </w:pPr>
            <w:r>
              <w:t xml:space="preserve">Passed NCRC and TRC</w:t>
            </w:r>
          </w:p>
        </w:tc>
        <w:tc>
          <w:tcPr>
            <w:shd w:val="clear" w:color="auto" w:fill="F7FBFE"/>
            <w:vAlign w:val="top"/>
          </w:tcPr>
          <w:p>
            <w:pPr>
              <w:pStyle w:val="Compact"/>
              <w:jc w:val="left"/>
            </w:pPr>
            <w:r>
              <w:t xml:space="preserve">Can the rights-first regulatory package be implemented with adequate audit capacity, enforcement staffing, appeal throughput, monitoring, reversibility, and lawful authority?</w:t>
            </w:r>
          </w:p>
        </w:tc>
        <w:tc>
          <w:tcPr>
            <w:shd w:val="clear" w:color="auto" w:fill="F7FBFE"/>
            <w:vAlign w:val="top"/>
          </w:tcPr>
          <w:p>
            <w:pPr>
              <w:pStyle w:val="Compact"/>
              <w:jc w:val="left"/>
            </w:pPr>
            <w:r>
              <w:t xml:space="preserve">Material execution burdens exist. Binding controls are required: funded independent audit capacity, enforcement staffing, appeal-service levels, monitoring, sunset review, rollback authority, and public reporting.</w:t>
            </w:r>
          </w:p>
        </w:tc>
        <w:tc>
          <w:tcPr>
            <w:shd w:val="clear" w:color="auto" w:fill="F7FBFE"/>
            <w:vAlign w:val="top"/>
          </w:tcPr>
          <w:p>
            <w:pPr>
              <w:pStyle w:val="Compact"/>
              <w:jc w:val="left"/>
            </w:pPr>
            <w:r>
              <w:t xml:space="preserve">CSV_PASS_WITH_CONTROLS</w:t>
            </w:r>
          </w:p>
        </w:tc>
      </w:tr>
      <w:tr>
        <w:tc>
          <w:tcPr>
            <w:vAlign w:val="top"/>
          </w:tcPr>
          <w:p>
            <w:pPr>
              <w:pStyle w:val="Compact"/>
              <w:jc w:val="left"/>
            </w:pPr>
            <w:r>
              <w:t xml:space="preserve">C</w:t>
            </w:r>
          </w:p>
        </w:tc>
        <w:tc>
          <w:tcPr>
            <w:vAlign w:val="top"/>
          </w:tcPr>
          <w:p>
            <w:pPr>
              <w:pStyle w:val="Compact"/>
              <w:jc w:val="left"/>
            </w:pPr>
            <w:r>
              <w:t xml:space="preserve">Passed NCRC and TRC</w:t>
            </w:r>
          </w:p>
        </w:tc>
        <w:tc>
          <w:tcPr>
            <w:vAlign w:val="top"/>
          </w:tcPr>
          <w:p>
            <w:pPr>
              <w:pStyle w:val="Compact"/>
              <w:jc w:val="left"/>
            </w:pPr>
            <w:r>
              <w:t xml:space="preserve">Can the measured-rollout package execute without transferring audit, appeal, rollback, and monitoring obligations to an unfunded or unnamed carrier?</w:t>
            </w:r>
          </w:p>
        </w:tc>
        <w:tc>
          <w:tcPr>
            <w:vAlign w:val="top"/>
          </w:tcPr>
          <w:p>
            <w:pPr>
              <w:pStyle w:val="Compact"/>
              <w:jc w:val="left"/>
            </w:pPr>
            <w:r>
              <w:t xml:space="preserve">Diagnostic</w:t>
            </w:r>
            <w:r>
              <w:t xml:space="preserve"> </w:t>
            </w:r>
            <w:r>
              <w:rPr>
                <w:rStyle w:val="VerbatimChar"/>
              </w:rPr>
              <w:t xml:space="preserve">SV-2 Dependency and resource closure = 3</w:t>
            </w:r>
            <w:r>
              <w:t xml:space="preserve">: the option lacks a named funded carrier for independent audit and appeal;</w:t>
            </w:r>
            <w:r>
              <w:t xml:space="preserve"> </w:t>
            </w:r>
            <w:r>
              <w:rPr>
                <w:rStyle w:val="VerbatimChar"/>
              </w:rPr>
              <w:t xml:space="preserve">SV-3 Reversibility = 3</w:t>
            </w:r>
            <w:r>
              <w:t xml:space="preserve">: rollback authority and restoration timing are unspecified. Proposed controls</w:t>
            </w:r>
            <w:r>
              <w:t xml:space="preserve"> </w:t>
            </w:r>
            <w:r>
              <w:rPr>
                <w:rStyle w:val="VerbatimChar"/>
              </w:rPr>
              <w:t xml:space="preserve">CSV-C-C01</w:t>
            </w:r>
            <w:r>
              <w:t xml:space="preserve"> </w:t>
            </w:r>
            <w:r>
              <w:t xml:space="preserve">(named funded carrier plus capacity evidence) and</w:t>
            </w:r>
            <w:r>
              <w:t xml:space="preserve"> </w:t>
            </w:r>
            <w:r>
              <w:rPr>
                <w:rStyle w:val="VerbatimChar"/>
              </w:rPr>
              <w:t xml:space="preserve">CSV-C-C02</w:t>
            </w:r>
            <w:r>
              <w:t xml:space="preserve"> </w:t>
            </w:r>
            <w:r>
              <w:t xml:space="preserve">(rollback authority, trigger, restoration SLA) are absent. The option must be redesigned, then requalified through affected RG, RF/NCRC, TRC, and CSV surfaces.</w:t>
            </w:r>
          </w:p>
        </w:tc>
        <w:tc>
          <w:tcPr>
            <w:vAlign w:val="top"/>
          </w:tcPr>
          <w:p>
            <w:pPr>
              <w:pStyle w:val="Compact"/>
              <w:jc w:val="left"/>
            </w:pPr>
            <w:r>
              <w:rPr>
                <w:rStyle w:val="VerbatimChar"/>
              </w:rPr>
              <w:t xml:space="preserve">CSV_REDESIGN_REQUIRED</w:t>
            </w:r>
          </w:p>
        </w:tc>
      </w:tr>
    </w:tbl>
    <w:p>
      <w:pPr>
        <w:pStyle w:val="BodyText"/>
      </w:pPr>
      <w:r>
        <w:t xml:space="preserve">Selectable set after full qualification:</w:t>
      </w:r>
    </w:p>
    <w:p>
      <w:pPr>
        <w:pStyle w:val="BodyText"/>
      </w:pPr>
      <w:r>
        <w:t xml:space="preserve">A_sel = {B}, with CSV-B-C01 through CSV-B-C05 constitutive of Option B.</w:t>
      </w:r>
    </w:p>
    <w:p>
      <w:pPr>
        <w:pStyle w:val="BodyText"/>
      </w:pPr>
      <w:r>
        <w:t xml:space="preserve">Option A remains excluded by NCRC and TRC. Option C is excluded before RLS and may re-enter only after redesign and a fresh run through every affected upstream level. If the CSV evidence were insufficient to distinguish pass-equivalent status from redesign, escalation, or refusal, the run would refuse an ordinary selection claim rather than proceed.</w:t>
      </w:r>
    </w:p>
    <w:bookmarkEnd w:id="501"/>
    <w:bookmarkEnd w:id="502"/>
    <w:bookmarkStart w:id="503" w:name="X28aa5427946dca771a69e80ea82eafa317ecf1f"/>
    <w:p>
      <w:pPr>
        <w:pStyle w:val="Heading2"/>
      </w:pPr>
      <w:r>
        <w:rPr>
          <w:bCs/>
          <w:b/>
        </w:rPr>
        <w:t xml:space="preserve">P.8 Normalized RLS reporting for the sole selectable option (Informative)</w:t>
      </w:r>
    </w:p>
    <w:p>
      <w:pPr>
        <w:pStyle w:val="FirstParagraph"/>
      </w:pPr>
      <w:r>
        <w:t xml:space="preserve">Because |A_sel|=1, RLS is reported for residual-profile transparency rather than used for pairwise discrimination.</w:t>
      </w:r>
    </w:p>
    <w:p>
      <w:pPr>
        <w:pStyle w:val="BodyText"/>
      </w:pPr>
      <w:r>
        <w:t xml:space="preserve">Effective active weight mass for this 33-cell run:</w:t>
      </w:r>
    </w:p>
    <w:p>
      <w:pPr>
        <w:pStyle w:val="BodyText"/>
      </w:pPr>
      <w:r>
        <w:t xml:space="preserve">Q(B) = Σ_(u,d) q_ud(B) = 0.681990.</w:t>
      </w:r>
    </w:p>
    <w:p>
      <w:pPr>
        <w:pStyle w:val="BodyText"/>
      </w:pPr>
      <w:r>
        <w:t xml:space="preserve">The nonzero weighted numerator from Table P-8 is:</w:t>
      </w:r>
    </w:p>
    <w:p>
      <w:pPr>
        <w:pStyle w:val="BodyText"/>
      </w:pPr>
      <w:r>
        <w:t xml:space="preserve">N(B) = Σ_(u,d) q_ud(B) I_prop,welfare(u,d,B) = 0.004534.</w:t>
      </w:r>
    </w:p>
    <w:p>
      <w:pPr>
        <w:pStyle w:val="BodyText"/>
      </w:pPr>
      <w:r>
        <w:t xml:space="preserve">Therefore the normalized score is:</w:t>
      </w:r>
    </w:p>
    <w:p>
      <w:pPr>
        <w:pStyle w:val="BodyText"/>
      </w:pPr>
      <w:r>
        <w:t xml:space="preserve">RLS(B) = N(B) / Q(B) = 0.006648.</w:t>
      </w:r>
    </w:p>
    <w:p>
      <w:pPr>
        <w:pStyle w:val="BodyText"/>
      </w:pPr>
      <w:r>
        <w:t xml:space="preserve">Uncertainty method: Method B contribution-mass uncertainty, with one welfare impact instance per nonzero active cell and</w:t>
      </w:r>
      <w:r>
        <w:t xml:space="preserve"> </w:t>
      </w:r>
      <w:r>
        <w:rPr>
          <w:rStyle w:val="VerbatimChar"/>
        </w:rPr>
        <w:t xml:space="preserve">c_k=0.85</w:t>
      </w:r>
      <w:r>
        <w:t xml:space="preserve">. Each pre-confidence contribution is reconstructed as</w:t>
      </w:r>
      <w:r>
        <w:t xml:space="preserve"> </w:t>
      </w:r>
      <w:r>
        <w:rPr>
          <w:rStyle w:val="VerbatimChar"/>
        </w:rPr>
        <w:t xml:space="preserve">x_preconf=atanh(I_prop_welfare)/(beta*c_k)</w:t>
      </w:r>
      <w:r>
        <w:t xml:space="preserve"> </w:t>
      </w:r>
      <w:r>
        <w:t xml:space="preserve">before applying</w:t>
      </w:r>
      <w:r>
        <w:t xml:space="preserve"> </w:t>
      </w:r>
      <w:r>
        <w:rPr>
          <w:rStyle w:val="VerbatimChar"/>
        </w:rPr>
        <w:t xml:space="preserve">sigma(u,d,B)=(1-c_k)*|x_preconf|</w:t>
      </w:r>
      <w:r>
        <w:t xml:space="preserve">. Using the same normalized effective weights:</w:t>
      </w:r>
    </w:p>
    <w:p>
      <w:pPr>
        <w:pStyle w:val="BodyText"/>
      </w:pPr>
      <w:r>
        <w:rPr>
          <w:rStyle w:val="VerbatimChar"/>
        </w:rPr>
        <w:t xml:space="preserve">σ_RLS(B) = 0.000952</w:t>
      </w:r>
      <w:r>
        <w:t xml:space="preserve"> </w:t>
      </w:r>
      <w:r>
        <w:t xml:space="preserve">(rounded from the full-precision replay). The previously published</w:t>
      </w:r>
      <w:r>
        <w:t xml:space="preserve"> </w:t>
      </w:r>
      <w:r>
        <w:rPr>
          <w:rStyle w:val="VerbatimChar"/>
        </w:rPr>
        <w:t xml:space="preserve">0.000809</w:t>
      </w:r>
      <w:r>
        <w:t xml:space="preserve"> </w:t>
      </w:r>
      <w:r>
        <w:t xml:space="preserve">value resulted from omitting division by</w:t>
      </w:r>
      <w:r>
        <w:t xml:space="preserve"> </w:t>
      </w:r>
      <w:r>
        <w:rPr>
          <w:rStyle w:val="VerbatimChar"/>
        </w:rPr>
        <w:t xml:space="preserve">c_k</w:t>
      </w:r>
      <w:r>
        <w:t xml:space="preserve"> </w:t>
      </w:r>
      <w:r>
        <w:t xml:space="preserve">and is non-conformant with Section 10.3.2.</w:t>
      </w:r>
    </w:p>
    <w:p>
      <w:pPr>
        <w:pStyle w:val="BodyText"/>
      </w:pPr>
      <w:r>
        <w:t xml:space="preserve">No pairwise Gap test is performed because no second selectable option remains. B is the sole selectable option under the declared evidence, not an independently validated implementation or execution authority. Physical/causal admissibility, lawful authority, controls, monitoring, and any domain-specific warrant remain separate requirements.</w:t>
      </w:r>
    </w:p>
    <w:bookmarkEnd w:id="503"/>
    <w:bookmarkStart w:id="504" w:name="Xe2a7e5962e7d365b11cfbe338e798fe05953ef5"/>
    <w:p>
      <w:pPr>
        <w:pStyle w:val="Heading2"/>
      </w:pPr>
      <w:r>
        <w:rPr>
          <w:bCs/>
          <w:b/>
        </w:rPr>
        <w:t xml:space="preserve">P.9 PCC (Provenance and Compliance Certificate) excerpt</w:t>
      </w:r>
    </w:p>
    <w:p>
      <w:pPr>
        <w:pStyle w:val="FirstParagraph"/>
      </w:pPr>
      <w:r>
        <w:t xml:space="preserve">Elimination and qualification order:</w:t>
      </w:r>
    </w:p>
    <w:p>
      <w:pPr>
        <w:numPr>
          <w:ilvl w:val="0"/>
          <w:numId w:val="1413"/>
        </w:numPr>
      </w:pPr>
      <w:r>
        <w:t xml:space="preserve">Reality Grounding establishes the claim boundary and evidence status.</w:t>
      </w:r>
    </w:p>
    <w:p>
      <w:pPr>
        <w:numPr>
          <w:ilvl w:val="0"/>
          <w:numId w:val="1413"/>
        </w:numPr>
      </w:pPr>
      <w:r>
        <w:t xml:space="preserve">NCRC eliminates A. The canonical run state for A records TRC_NOT_EVALUATED_AFTER_PRIOR_FAILURE and CSV_NOT_EVALUATED_AFTER_PRIOR_FAILURE.</w:t>
      </w:r>
    </w:p>
    <w:p>
      <w:pPr>
        <w:numPr>
          <w:ilvl w:val="0"/>
          <w:numId w:val="1413"/>
        </w:numPr>
      </w:pPr>
      <w:r>
        <w:t xml:space="preserve">A separately labeled counterfactual/audit-only tail calculation shows that A would also fail TRC; it does not alter the canonical short-circuit state. B and C pass TRC.</w:t>
      </w:r>
    </w:p>
    <w:p>
      <w:pPr>
        <w:numPr>
          <w:ilvl w:val="0"/>
          <w:numId w:val="1413"/>
        </w:numPr>
      </w:pPr>
      <w:r>
        <w:t>Proportional CSV assigns B CSV_PASS_WITH_CONTROLS and excludes C as CSV_REDESIGN_REQUIRED; A cannot be rescued or re-entered. Removing or failing a constitutive control reopens CSV and may remove B from the selectable set.</w:t>
      </w:r>
    </w:p>
    <w:p>
      <w:pPr>
        <w:numPr>
          <w:ilvl w:val="0"/>
          <w:numId w:val="1413"/>
        </w:numPr>
      </w:pPr>
      <w:r>
        <w:t xml:space="preserve">The selectable set is A_sel={B}.</w:t>
      </w:r>
    </w:p>
    <w:p>
      <w:pPr>
        <w:numPr>
          <w:ilvl w:val="0"/>
          <w:numId w:val="1413"/>
        </w:numPr>
      </w:pPr>
      <w:r>
        <w:t xml:space="preserve">Normalized RLS(B)=0.006648 is reported for residual transparency; no comparative decisiveness claim is made.</w:t>
      </w:r>
    </w:p>
    <w:p>
      <w:pPr>
        <w:pStyle w:val="FirstParagraph"/>
      </w:pPr>
      <w:r>
        <w:t xml:space="preserve">Framework result for this demo run: B is the sole selectable option, subject to the separate authority-selection record and all execution/admissibility controls. This is not empirical validation or execution authorization.</w:t>
      </w:r>
    </w:p>
    <w:p>
      <w:pPr>
        <w:pStyle w:val="BodyText"/>
      </w:pPr>
      <w:r>
        <w:t xml:space="preserve">End Appendix P.</w:t>
      </w:r>
    </w:p>
    <w:p>
      <w:pPr>
        <w:pStyle w:val="BodyText"/>
      </w:pPr>
      <w:r>
        <w:t xml:space="preserve">APPENDIX P-2: FAILURE-PATH WORKED EXAMPLES (Informative)</w:t>
      </w:r>
    </w:p>
    <w:p>
      <w:pPr>
        <w:pStyle w:val="BodyText"/>
      </w:pPr>
      <w:r>
        <w:t xml:space="preserve">Status: Informative. These examples demonstrate Rights Emergency Mode (Section 7.5) and Tail Emergency Mode (Section 8.8). They do not introduce new normative rules.</w:t>
      </w:r>
    </w:p>
    <w:p>
      <w:pPr>
        <w:pStyle w:val="BodyText"/>
      </w:pPr>
      <w:r>
        <w:t xml:space="preserve">P-2.1 Emergency Mode Activation Example</w:t>
      </w:r>
    </w:p>
    <w:p>
      <w:pPr>
        <w:pStyle w:val="BodyText"/>
      </w:pPr>
      <w:r>
        <w:t xml:space="preserve">Decision context. A mining company must choose between three site options for a new extraction facility. All three sites carry credible rights-floor risks.</w:t>
      </w:r>
    </w:p>
    <w:p>
      <w:pPr>
        <w:pStyle w:val="BodyText"/>
      </w:pPr>
      <w:r>
        <w:t xml:space="preserve">Options:</w:t>
      </w:r>
    </w:p>
    <w:p>
      <w:pPr>
        <w:pStyle w:val="BodyText"/>
      </w:pPr>
      <w:r>
        <w:t xml:space="preserve">Option X: Site near an indigenous community; plausible DIGN and LBTY violations through displacement and cultural disruption.</w:t>
      </w:r>
    </w:p>
    <w:p>
      <w:pPr>
        <w:pStyle w:val="BodyText"/>
      </w:pPr>
      <w:r>
        <w:t xml:space="preserve">Option Y: Site in a watershed area; plausible ECOL and NEED violations through water contamination.</w:t>
      </w:r>
    </w:p>
    <w:p>
      <w:pPr>
        <w:pStyle w:val="BodyText"/>
      </w:pPr>
      <w:r>
        <w:t xml:space="preserve">Option Z: Site near a town with inadequate infrastructure; plausible NEED and PROC violations through resource strain and due-process gaps.</w:t>
      </w:r>
    </w:p>
    <w:p>
      <w:pPr>
        <w:pStyle w:val="BodyText"/>
      </w:pPr>
      <w:r>
        <w:t xml:space="preserve">NCRC results (all options fail):</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990"/>
        <w:gridCol w:w="990"/>
        <w:gridCol w:w="990"/>
        <w:gridCol w:w="990"/>
        <w:gridCol w:w="990"/>
        <w:gridCol w:w="990"/>
        <w:gridCol w:w="990"/>
        <w:gridCol w:w="990"/>
      </w:tblGrid>
      <w:tr>
        <w:trPr>
          <w:tblHeader w:val="true"/>
        </w:trPr>
        <w:tc>
          <w:tcPr>
            <w:shd w:val="clear" w:color="auto" w:fill="D9EAF7"/>
            <w:vAlign w:val="center"/>
          </w:tcPr>
          <w:p>
            <w:pPr>
              <w:pStyle w:val="Compact"/>
              <w:jc w:val="left"/>
            </w:pPr>
            <w:r>
              <w:rPr>
                <w:bCs/>
                <w:b/>
                <w:color w:val="17365D"/>
              </w:rPr>
              <w:t xml:space="preserve">Right</w:t>
            </w:r>
          </w:p>
        </w:tc>
        <w:tc>
          <w:tcPr>
            <w:shd w:val="clear" w:color="auto" w:fill="D9EAF7"/>
            <w:vAlign w:val="center"/>
          </w:tcPr>
          <w:p>
            <w:pPr>
              <w:pStyle w:val="Compact"/>
              <w:jc w:val="left"/>
            </w:pPr>
            <w:r>
              <w:rPr>
                <w:bCs/>
                <w:b/>
                <w:color w:val="17365D"/>
              </w:rPr>
              <w:t xml:space="preserve">theta_r</w:t>
            </w:r>
          </w:p>
        </w:tc>
        <w:tc>
          <w:tcPr>
            <w:shd w:val="clear" w:color="auto" w:fill="D9EAF7"/>
            <w:vAlign w:val="center"/>
          </w:tcPr>
          <w:p>
            <w:pPr>
              <w:pStyle w:val="Compact"/>
              <w:jc w:val="left"/>
            </w:pPr>
            <w:r>
              <w:rPr>
                <w:bCs/>
                <w:b/>
                <w:color w:val="17365D"/>
              </w:rPr>
              <w:t xml:space="preserve">X: min I_rights</w:t>
            </w:r>
          </w:p>
        </w:tc>
        <w:tc>
          <w:tcPr>
            <w:shd w:val="clear" w:color="auto" w:fill="D9EAF7"/>
            <w:vAlign w:val="center"/>
          </w:tcPr>
          <w:p>
            <w:pPr>
              <w:pStyle w:val="Compact"/>
              <w:jc w:val="left"/>
            </w:pPr>
            <w:r>
              <w:rPr>
                <w:bCs/>
                <w:b/>
                <w:color w:val="17365D"/>
              </w:rPr>
              <w:t xml:space="preserve">v_r(X)</w:t>
            </w:r>
          </w:p>
        </w:tc>
        <w:tc>
          <w:tcPr>
            <w:shd w:val="clear" w:color="auto" w:fill="D9EAF7"/>
            <w:vAlign w:val="center"/>
          </w:tcPr>
          <w:p>
            <w:pPr>
              <w:pStyle w:val="Compact"/>
              <w:jc w:val="left"/>
            </w:pPr>
            <w:r>
              <w:rPr>
                <w:bCs/>
                <w:b/>
                <w:color w:val="17365D"/>
              </w:rPr>
              <w:t xml:space="preserve">Y: min I_rights</w:t>
            </w:r>
          </w:p>
        </w:tc>
        <w:tc>
          <w:tcPr>
            <w:shd w:val="clear" w:color="auto" w:fill="D9EAF7"/>
            <w:vAlign w:val="center"/>
          </w:tcPr>
          <w:p>
            <w:pPr>
              <w:pStyle w:val="Compact"/>
              <w:jc w:val="left"/>
            </w:pPr>
            <w:r>
              <w:rPr>
                <w:bCs/>
                <w:b/>
                <w:color w:val="17365D"/>
              </w:rPr>
              <w:t xml:space="preserve">v_r(Y)</w:t>
            </w:r>
          </w:p>
        </w:tc>
        <w:tc>
          <w:tcPr>
            <w:shd w:val="clear" w:color="auto" w:fill="D9EAF7"/>
            <w:vAlign w:val="center"/>
          </w:tcPr>
          <w:p>
            <w:pPr>
              <w:pStyle w:val="Compact"/>
              <w:jc w:val="left"/>
            </w:pPr>
            <w:r>
              <w:rPr>
                <w:bCs/>
                <w:b/>
                <w:color w:val="17365D"/>
              </w:rPr>
              <w:t xml:space="preserve">Z: min I_rights</w:t>
            </w:r>
          </w:p>
        </w:tc>
        <w:tc>
          <w:tcPr>
            <w:shd w:val="clear" w:color="auto" w:fill="D9EAF7"/>
            <w:vAlign w:val="center"/>
          </w:tcPr>
          <w:p>
            <w:pPr>
              <w:pStyle w:val="Compact"/>
              <w:jc w:val="left"/>
            </w:pPr>
            <w:r>
              <w:rPr>
                <w:bCs/>
                <w:b/>
                <w:color w:val="17365D"/>
              </w:rPr>
              <w:t xml:space="preserve">v_r(Z)</w:t>
            </w:r>
          </w:p>
        </w:tc>
      </w:tr>
      <w:tr>
        <w:tc>
          <w:tcPr>
            <w:vAlign w:val="top"/>
          </w:tcPr>
          <w:p>
            <w:pPr>
              <w:pStyle w:val="Compact"/>
              <w:jc w:val="left"/>
            </w:pPr>
            <w:r>
              <w:t xml:space="preserve">LIFE</w:t>
            </w:r>
          </w:p>
        </w:tc>
        <w:tc>
          <w:tcPr>
            <w:vAlign w:val="top"/>
          </w:tcPr>
          <w:p>
            <w:pPr>
              <w:pStyle w:val="Compact"/>
              <w:jc w:val="left"/>
            </w:pPr>
            <w:r>
              <w:t xml:space="preserve">-0.90</w:t>
            </w:r>
          </w:p>
        </w:tc>
        <w:tc>
          <w:tcPr>
            <w:vAlign w:val="top"/>
          </w:tcPr>
          <w:p>
            <w:pPr>
              <w:pStyle w:val="Compact"/>
              <w:jc w:val="left"/>
            </w:pPr>
            <w:r>
              <w:t xml:space="preserve">-0.20</w:t>
            </w:r>
          </w:p>
        </w:tc>
        <w:tc>
          <w:tcPr>
            <w:vAlign w:val="top"/>
          </w:tcPr>
          <w:p>
            <w:pPr>
              <w:pStyle w:val="Compact"/>
              <w:jc w:val="left"/>
            </w:pPr>
            <w:r>
              <w:t xml:space="preserve">0.000</w:t>
            </w:r>
          </w:p>
        </w:tc>
        <w:tc>
          <w:tcPr>
            <w:vAlign w:val="top"/>
          </w:tcPr>
          <w:p>
            <w:pPr>
              <w:pStyle w:val="Compact"/>
              <w:jc w:val="left"/>
            </w:pPr>
            <w:r>
              <w:t xml:space="preserve">-0.30</w:t>
            </w:r>
          </w:p>
        </w:tc>
        <w:tc>
          <w:tcPr>
            <w:vAlign w:val="top"/>
          </w:tcPr>
          <w:p>
            <w:pPr>
              <w:pStyle w:val="Compact"/>
              <w:jc w:val="left"/>
            </w:pPr>
            <w:r>
              <w:t xml:space="preserve">0.000</w:t>
            </w:r>
          </w:p>
        </w:tc>
        <w:tc>
          <w:tcPr>
            <w:vAlign w:val="top"/>
          </w:tcPr>
          <w:p>
            <w:pPr>
              <w:pStyle w:val="Compact"/>
              <w:jc w:val="left"/>
            </w:pPr>
            <w:r>
              <w:t xml:space="preserve">-0.15</w:t>
            </w:r>
          </w:p>
        </w:tc>
        <w:tc>
          <w:tcPr>
            <w:vAlign w:val="top"/>
          </w:tcPr>
          <w:p>
            <w:pPr>
              <w:pStyle w:val="Compact"/>
              <w:jc w:val="left"/>
            </w:pPr>
            <w:r>
              <w:t xml:space="preserve">0.000</w:t>
            </w:r>
          </w:p>
        </w:tc>
      </w:tr>
      <w:tr>
        <w:tc>
          <w:tcPr>
            <w:shd w:val="clear" w:color="auto" w:fill="F7FBFE"/>
            <w:vAlign w:val="top"/>
          </w:tcPr>
          <w:p>
            <w:pPr>
              <w:pStyle w:val="Compact"/>
              <w:jc w:val="left"/>
            </w:pPr>
            <w:r>
              <w:t xml:space="preserve">BODY</w:t>
            </w:r>
          </w:p>
        </w:tc>
        <w:tc>
          <w:tcPr>
            <w:shd w:val="clear" w:color="auto" w:fill="F7FBFE"/>
            <w:vAlign w:val="top"/>
          </w:tcPr>
          <w:p>
            <w:pPr>
              <w:pStyle w:val="Compact"/>
              <w:jc w:val="left"/>
            </w:pPr>
            <w:r>
              <w:t xml:space="preserve">-0.70</w:t>
            </w:r>
          </w:p>
        </w:tc>
        <w:tc>
          <w:tcPr>
            <w:shd w:val="clear" w:color="auto" w:fill="F7FBFE"/>
            <w:vAlign w:val="top"/>
          </w:tcPr>
          <w:p>
            <w:pPr>
              <w:pStyle w:val="Compact"/>
              <w:jc w:val="left"/>
            </w:pPr>
            <w:r>
              <w:t xml:space="preserve">-0.20</w:t>
            </w:r>
          </w:p>
        </w:tc>
        <w:tc>
          <w:tcPr>
            <w:shd w:val="clear" w:color="auto" w:fill="F7FBFE"/>
            <w:vAlign w:val="top"/>
          </w:tcPr>
          <w:p>
            <w:pPr>
              <w:pStyle w:val="Compact"/>
              <w:jc w:val="left"/>
            </w:pPr>
            <w:r>
              <w:t xml:space="preserve">0.000</w:t>
            </w:r>
          </w:p>
        </w:tc>
        <w:tc>
          <w:tcPr>
            <w:shd w:val="clear" w:color="auto" w:fill="F7FBFE"/>
            <w:vAlign w:val="top"/>
          </w:tcPr>
          <w:p>
            <w:pPr>
              <w:pStyle w:val="Compact"/>
              <w:jc w:val="left"/>
            </w:pPr>
            <w:r>
              <w:t xml:space="preserve">-0.40</w:t>
            </w:r>
          </w:p>
        </w:tc>
        <w:tc>
          <w:tcPr>
            <w:shd w:val="clear" w:color="auto" w:fill="F7FBFE"/>
            <w:vAlign w:val="top"/>
          </w:tcPr>
          <w:p>
            <w:pPr>
              <w:pStyle w:val="Compact"/>
              <w:jc w:val="left"/>
            </w:pPr>
            <w:r>
              <w:t xml:space="preserve">0.000</w:t>
            </w:r>
          </w:p>
        </w:tc>
        <w:tc>
          <w:tcPr>
            <w:shd w:val="clear" w:color="auto" w:fill="F7FBFE"/>
            <w:vAlign w:val="top"/>
          </w:tcPr>
          <w:p>
            <w:pPr>
              <w:pStyle w:val="Compact"/>
              <w:jc w:val="left"/>
            </w:pPr>
            <w:r>
              <w:t xml:space="preserve">-0.15</w:t>
            </w:r>
          </w:p>
        </w:tc>
        <w:tc>
          <w:tcPr>
            <w:shd w:val="clear" w:color="auto" w:fill="F7FBFE"/>
            <w:vAlign w:val="top"/>
          </w:tcPr>
          <w:p>
            <w:pPr>
              <w:pStyle w:val="Compact"/>
              <w:jc w:val="left"/>
            </w:pPr>
            <w:r>
              <w:t xml:space="preserve">0.000</w:t>
            </w:r>
          </w:p>
        </w:tc>
      </w:tr>
      <w:tr>
        <w:tc>
          <w:tcPr>
            <w:vAlign w:val="top"/>
          </w:tcPr>
          <w:p>
            <w:pPr>
              <w:pStyle w:val="Compact"/>
              <w:jc w:val="left"/>
            </w:pPr>
            <w:r>
              <w:t xml:space="preserve">ECOL</w:t>
            </w:r>
          </w:p>
        </w:tc>
        <w:tc>
          <w:tcPr>
            <w:vAlign w:val="top"/>
          </w:tcPr>
          <w:p>
            <w:pPr>
              <w:pStyle w:val="Compact"/>
              <w:jc w:val="left"/>
            </w:pPr>
            <w:r>
              <w:t xml:space="preserve">-0.65</w:t>
            </w:r>
          </w:p>
        </w:tc>
        <w:tc>
          <w:tcPr>
            <w:vAlign w:val="top"/>
          </w:tcPr>
          <w:p>
            <w:pPr>
              <w:pStyle w:val="Compact"/>
              <w:jc w:val="left"/>
            </w:pPr>
            <w:r>
              <w:t xml:space="preserve">-0.10</w:t>
            </w:r>
          </w:p>
        </w:tc>
        <w:tc>
          <w:tcPr>
            <w:vAlign w:val="top"/>
          </w:tcPr>
          <w:p>
            <w:pPr>
              <w:pStyle w:val="Compact"/>
              <w:jc w:val="left"/>
            </w:pPr>
            <w:r>
              <w:t xml:space="preserve">0.000</w:t>
            </w:r>
          </w:p>
        </w:tc>
        <w:tc>
          <w:tcPr>
            <w:vAlign w:val="top"/>
          </w:tcPr>
          <w:p>
            <w:pPr>
              <w:pStyle w:val="Compact"/>
              <w:jc w:val="left"/>
            </w:pPr>
            <w:r>
              <w:t xml:space="preserve">-0.72</w:t>
            </w:r>
          </w:p>
        </w:tc>
        <w:tc>
          <w:tcPr>
            <w:vAlign w:val="top"/>
          </w:tcPr>
          <w:p>
            <w:pPr>
              <w:pStyle w:val="Compact"/>
              <w:jc w:val="left"/>
            </w:pPr>
            <w:r>
              <w:t xml:space="preserve">0.070</w:t>
            </w:r>
          </w:p>
        </w:tc>
        <w:tc>
          <w:tcPr>
            <w:vAlign w:val="top"/>
          </w:tcPr>
          <w:p>
            <w:pPr>
              <w:pStyle w:val="Compact"/>
              <w:jc w:val="left"/>
            </w:pPr>
            <w:r>
              <w:t xml:space="preserve">-0.20</w:t>
            </w:r>
          </w:p>
        </w:tc>
        <w:tc>
          <w:tcPr>
            <w:vAlign w:val="top"/>
          </w:tcPr>
          <w:p>
            <w:pPr>
              <w:pStyle w:val="Compact"/>
              <w:jc w:val="left"/>
            </w:pPr>
            <w:r>
              <w:t xml:space="preserve">0.000</w:t>
            </w:r>
          </w:p>
        </w:tc>
      </w:tr>
      <w:tr>
        <w:tc>
          <w:tcPr>
            <w:shd w:val="clear" w:color="auto" w:fill="F7FBFE"/>
            <w:vAlign w:val="top"/>
          </w:tcPr>
          <w:p>
            <w:pPr>
              <w:pStyle w:val="Compact"/>
              <w:jc w:val="left"/>
            </w:pPr>
            <w:r>
              <w:t xml:space="preserve">LBTY</w:t>
            </w:r>
          </w:p>
        </w:tc>
        <w:tc>
          <w:tcPr>
            <w:shd w:val="clear" w:color="auto" w:fill="F7FBFE"/>
            <w:vAlign w:val="top"/>
          </w:tcPr>
          <w:p>
            <w:pPr>
              <w:pStyle w:val="Compact"/>
              <w:jc w:val="left"/>
            </w:pPr>
            <w:r>
              <w:t xml:space="preserve">-0.65</w:t>
            </w:r>
          </w:p>
        </w:tc>
        <w:tc>
          <w:tcPr>
            <w:shd w:val="clear" w:color="auto" w:fill="F7FBFE"/>
            <w:vAlign w:val="top"/>
          </w:tcPr>
          <w:p>
            <w:pPr>
              <w:pStyle w:val="Compact"/>
              <w:jc w:val="left"/>
            </w:pPr>
            <w:r>
              <w:t xml:space="preserve">-0.68</w:t>
            </w:r>
          </w:p>
        </w:tc>
        <w:tc>
          <w:tcPr>
            <w:shd w:val="clear" w:color="auto" w:fill="F7FBFE"/>
            <w:vAlign w:val="top"/>
          </w:tcPr>
          <w:p>
            <w:pPr>
              <w:pStyle w:val="Compact"/>
              <w:jc w:val="left"/>
            </w:pPr>
            <w:r>
              <w:t xml:space="preserve">0.030</w:t>
            </w:r>
          </w:p>
        </w:tc>
        <w:tc>
          <w:tcPr>
            <w:shd w:val="clear" w:color="auto" w:fill="F7FBFE"/>
            <w:vAlign w:val="top"/>
          </w:tcPr>
          <w:p>
            <w:pPr>
              <w:pStyle w:val="Compact"/>
              <w:jc w:val="left"/>
            </w:pPr>
            <w:r>
              <w:t xml:space="preserve">-0.20</w:t>
            </w:r>
          </w:p>
        </w:tc>
        <w:tc>
          <w:tcPr>
            <w:shd w:val="clear" w:color="auto" w:fill="F7FBFE"/>
            <w:vAlign w:val="top"/>
          </w:tcPr>
          <w:p>
            <w:pPr>
              <w:pStyle w:val="Compact"/>
              <w:jc w:val="left"/>
            </w:pPr>
            <w:r>
              <w:t xml:space="preserve">0.000</w:t>
            </w:r>
          </w:p>
        </w:tc>
        <w:tc>
          <w:tcPr>
            <w:shd w:val="clear" w:color="auto" w:fill="F7FBFE"/>
            <w:vAlign w:val="top"/>
          </w:tcPr>
          <w:p>
            <w:pPr>
              <w:pStyle w:val="Compact"/>
              <w:jc w:val="left"/>
            </w:pPr>
            <w:r>
              <w:t xml:space="preserve">-0.30</w:t>
            </w:r>
          </w:p>
        </w:tc>
        <w:tc>
          <w:tcPr>
            <w:shd w:val="clear" w:color="auto" w:fill="F7FBFE"/>
            <w:vAlign w:val="top"/>
          </w:tcPr>
          <w:p>
            <w:pPr>
              <w:pStyle w:val="Compact"/>
              <w:jc w:val="left"/>
            </w:pPr>
            <w:r>
              <w:t xml:space="preserve">0.000</w:t>
            </w:r>
          </w:p>
        </w:tc>
      </w:tr>
      <w:tr>
        <w:tc>
          <w:tcPr>
            <w:vAlign w:val="top"/>
          </w:tcPr>
          <w:p>
            <w:pPr>
              <w:pStyle w:val="Compact"/>
              <w:jc w:val="left"/>
            </w:pPr>
            <w:r>
              <w:t xml:space="preserve">NEED</w:t>
            </w:r>
          </w:p>
        </w:tc>
        <w:tc>
          <w:tcPr>
            <w:vAlign w:val="top"/>
          </w:tcPr>
          <w:p>
            <w:pPr>
              <w:pStyle w:val="Compact"/>
              <w:jc w:val="left"/>
            </w:pPr>
            <w:r>
              <w:t xml:space="preserve">-0.50</w:t>
            </w:r>
          </w:p>
        </w:tc>
        <w:tc>
          <w:tcPr>
            <w:vAlign w:val="top"/>
          </w:tcPr>
          <w:p>
            <w:pPr>
              <w:pStyle w:val="Compact"/>
              <w:jc w:val="left"/>
            </w:pPr>
            <w:r>
              <w:t xml:space="preserve">-0.30</w:t>
            </w:r>
          </w:p>
        </w:tc>
        <w:tc>
          <w:tcPr>
            <w:vAlign w:val="top"/>
          </w:tcPr>
          <w:p>
            <w:pPr>
              <w:pStyle w:val="Compact"/>
              <w:jc w:val="left"/>
            </w:pPr>
            <w:r>
              <w:t xml:space="preserve">0.000</w:t>
            </w:r>
          </w:p>
        </w:tc>
        <w:tc>
          <w:tcPr>
            <w:vAlign w:val="top"/>
          </w:tcPr>
          <w:p>
            <w:pPr>
              <w:pStyle w:val="Compact"/>
              <w:jc w:val="left"/>
            </w:pPr>
            <w:r>
              <w:t xml:space="preserve">-0.58</w:t>
            </w:r>
          </w:p>
        </w:tc>
        <w:tc>
          <w:tcPr>
            <w:vAlign w:val="top"/>
          </w:tcPr>
          <w:p>
            <w:pPr>
              <w:pStyle w:val="Compact"/>
              <w:jc w:val="left"/>
            </w:pPr>
            <w:r>
              <w:t xml:space="preserve">0.080</w:t>
            </w:r>
          </w:p>
        </w:tc>
        <w:tc>
          <w:tcPr>
            <w:vAlign w:val="top"/>
          </w:tcPr>
          <w:p>
            <w:pPr>
              <w:pStyle w:val="Compact"/>
              <w:jc w:val="left"/>
            </w:pPr>
            <w:r>
              <w:t xml:space="preserve">-0.55</w:t>
            </w:r>
          </w:p>
        </w:tc>
        <w:tc>
          <w:tcPr>
            <w:vAlign w:val="top"/>
          </w:tcPr>
          <w:p>
            <w:pPr>
              <w:pStyle w:val="Compact"/>
              <w:jc w:val="left"/>
            </w:pPr>
            <w:r>
              <w:t xml:space="preserve">0.050</w:t>
            </w:r>
          </w:p>
        </w:tc>
      </w:tr>
      <w:tr>
        <w:tc>
          <w:tcPr>
            <w:shd w:val="clear" w:color="auto" w:fill="F7FBFE"/>
            <w:vAlign w:val="top"/>
          </w:tcPr>
          <w:p>
            <w:pPr>
              <w:pStyle w:val="Compact"/>
              <w:jc w:val="left"/>
            </w:pPr>
            <w:r>
              <w:t xml:space="preserve">DIGN</w:t>
            </w:r>
          </w:p>
        </w:tc>
        <w:tc>
          <w:tcPr>
            <w:shd w:val="clear" w:color="auto" w:fill="F7FBFE"/>
            <w:vAlign w:val="top"/>
          </w:tcPr>
          <w:p>
            <w:pPr>
              <w:pStyle w:val="Compact"/>
              <w:jc w:val="left"/>
            </w:pPr>
            <w:r>
              <w:t xml:space="preserve">-0.55</w:t>
            </w:r>
          </w:p>
        </w:tc>
        <w:tc>
          <w:tcPr>
            <w:shd w:val="clear" w:color="auto" w:fill="F7FBFE"/>
            <w:vAlign w:val="top"/>
          </w:tcPr>
          <w:p>
            <w:pPr>
              <w:pStyle w:val="Compact"/>
              <w:jc w:val="left"/>
            </w:pPr>
            <w:r>
              <w:t xml:space="preserve">-0.62</w:t>
            </w:r>
          </w:p>
        </w:tc>
        <w:tc>
          <w:tcPr>
            <w:shd w:val="clear" w:color="auto" w:fill="F7FBFE"/>
            <w:vAlign w:val="top"/>
          </w:tcPr>
          <w:p>
            <w:pPr>
              <w:pStyle w:val="Compact"/>
              <w:jc w:val="left"/>
            </w:pPr>
            <w:r>
              <w:t xml:space="preserve">0.070</w:t>
            </w:r>
          </w:p>
        </w:tc>
        <w:tc>
          <w:tcPr>
            <w:shd w:val="clear" w:color="auto" w:fill="F7FBFE"/>
            <w:vAlign w:val="top"/>
          </w:tcPr>
          <w:p>
            <w:pPr>
              <w:pStyle w:val="Compact"/>
              <w:jc w:val="left"/>
            </w:pPr>
            <w:r>
              <w:t xml:space="preserve">-0.25</w:t>
            </w:r>
          </w:p>
        </w:tc>
        <w:tc>
          <w:tcPr>
            <w:shd w:val="clear" w:color="auto" w:fill="F7FBFE"/>
            <w:vAlign w:val="top"/>
          </w:tcPr>
          <w:p>
            <w:pPr>
              <w:pStyle w:val="Compact"/>
              <w:jc w:val="left"/>
            </w:pPr>
            <w:r>
              <w:t xml:space="preserve">0.000</w:t>
            </w:r>
          </w:p>
        </w:tc>
        <w:tc>
          <w:tcPr>
            <w:shd w:val="clear" w:color="auto" w:fill="F7FBFE"/>
            <w:vAlign w:val="top"/>
          </w:tcPr>
          <w:p>
            <w:pPr>
              <w:pStyle w:val="Compact"/>
              <w:jc w:val="left"/>
            </w:pPr>
            <w:r>
              <w:t xml:space="preserve">-0.40</w:t>
            </w:r>
          </w:p>
        </w:tc>
        <w:tc>
          <w:tcPr>
            <w:shd w:val="clear" w:color="auto" w:fill="F7FBFE"/>
            <w:vAlign w:val="top"/>
          </w:tcPr>
          <w:p>
            <w:pPr>
              <w:pStyle w:val="Compact"/>
              <w:jc w:val="left"/>
            </w:pPr>
            <w:r>
              <w:t xml:space="preserve">0.000</w:t>
            </w:r>
          </w:p>
        </w:tc>
      </w:tr>
      <w:tr>
        <w:tc>
          <w:tcPr>
            <w:vAlign w:val="top"/>
          </w:tcPr>
          <w:p>
            <w:pPr>
              <w:pStyle w:val="Compact"/>
              <w:jc w:val="left"/>
            </w:pPr>
            <w:r>
              <w:t xml:space="preserve">PROC</w:t>
            </w:r>
          </w:p>
        </w:tc>
        <w:tc>
          <w:tcPr>
            <w:vAlign w:val="top"/>
          </w:tcPr>
          <w:p>
            <w:pPr>
              <w:pStyle w:val="Compact"/>
              <w:jc w:val="left"/>
            </w:pPr>
            <w:r>
              <w:t xml:space="preserve">-0.45</w:t>
            </w:r>
          </w:p>
        </w:tc>
        <w:tc>
          <w:tcPr>
            <w:vAlign w:val="top"/>
          </w:tcPr>
          <w:p>
            <w:pPr>
              <w:pStyle w:val="Compact"/>
              <w:jc w:val="left"/>
            </w:pPr>
            <w:r>
              <w:t xml:space="preserve">-0.35</w:t>
            </w:r>
          </w:p>
        </w:tc>
        <w:tc>
          <w:tcPr>
            <w:vAlign w:val="top"/>
          </w:tcPr>
          <w:p>
            <w:pPr>
              <w:pStyle w:val="Compact"/>
              <w:jc w:val="left"/>
            </w:pPr>
            <w:r>
              <w:t xml:space="preserve">0.000</w:t>
            </w:r>
          </w:p>
        </w:tc>
        <w:tc>
          <w:tcPr>
            <w:vAlign w:val="top"/>
          </w:tcPr>
          <w:p>
            <w:pPr>
              <w:pStyle w:val="Compact"/>
              <w:jc w:val="left"/>
            </w:pPr>
            <w:r>
              <w:t xml:space="preserve">-0.30</w:t>
            </w:r>
          </w:p>
        </w:tc>
        <w:tc>
          <w:tcPr>
            <w:vAlign w:val="top"/>
          </w:tcPr>
          <w:p>
            <w:pPr>
              <w:pStyle w:val="Compact"/>
              <w:jc w:val="left"/>
            </w:pPr>
            <w:r>
              <w:t xml:space="preserve">0.000</w:t>
            </w:r>
          </w:p>
        </w:tc>
        <w:tc>
          <w:tcPr>
            <w:vAlign w:val="top"/>
          </w:tcPr>
          <w:p>
            <w:pPr>
              <w:pStyle w:val="Compact"/>
              <w:jc w:val="left"/>
            </w:pPr>
            <w:r>
              <w:t xml:space="preserve">-0.52</w:t>
            </w:r>
          </w:p>
        </w:tc>
        <w:tc>
          <w:tcPr>
            <w:vAlign w:val="top"/>
          </w:tcPr>
          <w:p>
            <w:pPr>
              <w:pStyle w:val="Compact"/>
              <w:jc w:val="left"/>
            </w:pPr>
            <w:r>
              <w:t xml:space="preserve">0.070</w:t>
            </w:r>
          </w:p>
        </w:tc>
      </w:tr>
      <w:tr>
        <w:tc>
          <w:tcPr>
            <w:shd w:val="clear" w:color="auto" w:fill="F7FBFE"/>
            <w:vAlign w:val="top"/>
          </w:tcPr>
          <w:p>
            <w:pPr>
              <w:pStyle w:val="Compact"/>
              <w:jc w:val="left"/>
            </w:pPr>
            <w:r>
              <w:t xml:space="preserve">INFO</w:t>
            </w:r>
          </w:p>
        </w:tc>
        <w:tc>
          <w:tcPr>
            <w:shd w:val="clear" w:color="auto" w:fill="F7FBFE"/>
            <w:vAlign w:val="top"/>
          </w:tcPr>
          <w:p>
            <w:pPr>
              <w:pStyle w:val="Compact"/>
              <w:jc w:val="left"/>
            </w:pPr>
            <w:r>
              <w:t xml:space="preserve">-0.40</w:t>
            </w:r>
          </w:p>
        </w:tc>
        <w:tc>
          <w:tcPr>
            <w:shd w:val="clear" w:color="auto" w:fill="F7FBFE"/>
            <w:vAlign w:val="top"/>
          </w:tcPr>
          <w:p>
            <w:pPr>
              <w:pStyle w:val="Compact"/>
              <w:jc w:val="left"/>
            </w:pPr>
            <w:r>
              <w:t xml:space="preserve">-0.20</w:t>
            </w:r>
          </w:p>
        </w:tc>
        <w:tc>
          <w:tcPr>
            <w:shd w:val="clear" w:color="auto" w:fill="F7FBFE"/>
            <w:vAlign w:val="top"/>
          </w:tcPr>
          <w:p>
            <w:pPr>
              <w:pStyle w:val="Compact"/>
              <w:jc w:val="left"/>
            </w:pPr>
            <w:r>
              <w:t xml:space="preserve">0.000</w:t>
            </w:r>
          </w:p>
        </w:tc>
        <w:tc>
          <w:tcPr>
            <w:shd w:val="clear" w:color="auto" w:fill="F7FBFE"/>
            <w:vAlign w:val="top"/>
          </w:tcPr>
          <w:p>
            <w:pPr>
              <w:pStyle w:val="Compact"/>
              <w:jc w:val="left"/>
            </w:pPr>
            <w:r>
              <w:t xml:space="preserve">-0.15</w:t>
            </w:r>
          </w:p>
        </w:tc>
        <w:tc>
          <w:tcPr>
            <w:shd w:val="clear" w:color="auto" w:fill="F7FBFE"/>
            <w:vAlign w:val="top"/>
          </w:tcPr>
          <w:p>
            <w:pPr>
              <w:pStyle w:val="Compact"/>
              <w:jc w:val="left"/>
            </w:pPr>
            <w:r>
              <w:t xml:space="preserve">0.000</w:t>
            </w:r>
          </w:p>
        </w:tc>
        <w:tc>
          <w:tcPr>
            <w:shd w:val="clear" w:color="auto" w:fill="F7FBFE"/>
            <w:vAlign w:val="top"/>
          </w:tcPr>
          <w:p>
            <w:pPr>
              <w:pStyle w:val="Compact"/>
              <w:jc w:val="left"/>
            </w:pPr>
            <w:r>
              <w:t xml:space="preserve">-0.35</w:t>
            </w:r>
          </w:p>
        </w:tc>
        <w:tc>
          <w:tcPr>
            <w:shd w:val="clear" w:color="auto" w:fill="F7FBFE"/>
            <w:vAlign w:val="top"/>
          </w:tcPr>
          <w:p>
            <w:pPr>
              <w:pStyle w:val="Compact"/>
              <w:jc w:val="left"/>
            </w:pPr>
            <w:r>
              <w:t xml:space="preserve">0.000</w:t>
            </w:r>
          </w:p>
        </w:tc>
      </w:tr>
    </w:tbl>
    <w:p>
      <w:pPr>
        <w:pStyle w:val="BodyText"/>
      </w:pPr>
      <w:r>
        <w:t xml:space="preserve">A_NCRC = empty set. All options fail NCRC. Emergency Mode is invoked.</w:t>
      </w:r>
    </w:p>
    <w:p>
      <w:pPr>
        <w:pStyle w:val="BodyText"/>
      </w:pPr>
      <w:r>
        <w:t xml:space="preserve">Step 1: Independent challenger requirement. An independent environmental and social impact consultant (no reporting relationship to decision owner, no material interest in site choice) was engaged for 3 hours of active option generation. The challenger proposed Option W: delay extraction, invest in infrastructure improvements at Site Z, negotiate a consent-based partnership with the indigenous community near Site X, and rerun the analysis in 6 months. However, Option W was assessed and also fails NCRC (NEED violation for workers already committed to the project, v_NEED(W) = 0.020). Challenger attestation is recorded.</w:t>
      </w:r>
    </w:p>
    <w:p>
      <w:pPr>
        <w:pStyle w:val="BodyText"/>
      </w:pPr>
      <w:r>
        <w:t xml:space="preserve">Step 2: Construct floor-channel violation-depth vectors in emergency priority order [LIFE, BODY, ECOL, LBTY, NEED, DIGN, PROC, INFO]. In this simplified emergency vector, the categorical and severe-hazard channels have been screened as zero with required fields complete; therefore the displayed vector is</w:t>
      </w:r>
      <w:r>
        <w:t xml:space="preserve"> </w:t>
      </w:r>
      <w:r>
        <w:rPr>
          <w:rStyle w:val="VerbatimChar"/>
        </w:rPr>
        <w:t xml:space="preserve">v_r^floor</w:t>
      </w:r>
      <w:r>
        <w:t xml:space="preserve">. If either additional channel were non-zero or unresolved, the full NCRC record and emergency comparison would have to preserve it rather than collapse it into the floor channel:</w:t>
      </w:r>
    </w:p>
    <w:p>
      <w:pPr>
        <w:pStyle w:val="BodyText"/>
      </w:pPr>
      <w:r>
        <w:t xml:space="preserve">v(X) = (0, 0, 0, 0.030, 0, 0.070, 0, 0)</w:t>
      </w:r>
    </w:p>
    <w:p>
      <w:pPr>
        <w:pStyle w:val="BodyText"/>
      </w:pPr>
      <w:r>
        <w:t xml:space="preserve">v(Y) = (0, 0, 0.070, 0, 0.080, 0, 0, 0)</w:t>
      </w:r>
    </w:p>
    <w:p>
      <w:pPr>
        <w:pStyle w:val="BodyText"/>
      </w:pPr>
      <w:r>
        <w:t xml:space="preserve">v(Z) = (0, 0, 0, 0, 0.050, 0, 0.070, 0)</w:t>
      </w:r>
    </w:p>
    <w:p>
      <w:pPr>
        <w:pStyle w:val="BodyText"/>
      </w:pPr>
      <w:r>
        <w:t xml:space="preserve">v(W) = (0, 0, 0, 0, 0.020, 0, 0, 0)</w:t>
      </w:r>
    </w:p>
    <w:p>
      <w:pPr>
        <w:pStyle w:val="BodyText"/>
      </w:pPr>
      <w:r>
        <w:t xml:space="preserve">Step 3: Lexicographic comparison.</w:t>
      </w:r>
    </w:p>
    <w:p>
      <w:pPr>
        <w:pStyle w:val="BodyText"/>
      </w:pPr>
      <w:r>
        <w:t xml:space="preserve">Position 1 (LIFE): all zero. Tie. Position 2 (BODY): all zero. Tie. Position 3 (ECOL): Y = 0.070, others = 0. Y is eliminated as worst on ECOL. Position 4 (LBTY): X = 0.030, Z = 0, W = 0. X is eliminated. Position 5 (NEED): Z = 0.050, W = 0.020. W has strictly lower NEED violation.</w:t>
      </w:r>
    </w:p>
    <w:p>
      <w:pPr>
        <w:pStyle w:val="BodyText"/>
      </w:pPr>
      <w:r>
        <w:t xml:space="preserve">Emergency Mode selected option: W (delay and redesign), with the lowest violation depth vector under lexicographic ordering.</w:t>
      </w:r>
    </w:p>
    <w:p>
      <w:pPr>
        <w:pStyle w:val="BodyText"/>
      </w:pPr>
      <w:r>
        <w:t xml:space="preserve">PCC records: EMERGENCY_MODE_INVOKED, challenger attestation, v_r(a) for all options and rights, lexicographic comparison trace, and the following remediation plan: within 6 months, complete infrastructure assessment at Site Z, complete consent negotiation at Site X, rerun the RippleLogic analysis with redesigned options targeting NCRC passage, with a return-to-normal trigger of at least one option passing NCRC.</w:t>
      </w:r>
    </w:p>
    <w:p>
      <w:pPr>
        <w:pStyle w:val="BodyText"/>
      </w:pPr>
      <w:r>
        <w:t xml:space="preserve">Lesson (Informative): Emergency Mode does not “permit” rights violations. It selects the least-harmful option when all options violate rights, requires active redesign, and mandates a return to NCRC-passing options as soon as feasible.</w:t>
      </w:r>
    </w:p>
    <w:p>
      <w:pPr>
        <w:pStyle w:val="BodyText"/>
      </w:pPr>
      <w:r>
        <w:t xml:space="preserve">P-2.2 Tail Emergency Mode Activation Example</w:t>
      </w:r>
    </w:p>
    <w:p>
      <w:pPr>
        <w:pStyle w:val="BodyText"/>
      </w:pPr>
      <w:r>
        <w:t xml:space="preserve">Decision context. A government agency evaluates two pandemic-preparedness policy options. Both pass NCRC and a proportional CSV screen, but both exceed the declared TRC corridor.</w:t>
      </w:r>
    </w:p>
    <w:p>
      <w:pPr>
        <w:pStyle w:val="BodyText"/>
      </w:pPr>
      <w:r>
        <w:t xml:space="preserve">NCRC: Both Option P and Option Q pass (A_NCRC = {P, Q}). No categorical prohibition or severe rights hazard is triggered under the declared evidence.</w:t>
      </w:r>
    </w:p>
    <w:p>
      <w:pPr>
        <w:pStyle w:val="BodyText"/>
      </w:pPr>
      <w:r>
        <w:t xml:space="preserve">CSV: Both options are structurally implementable only under emergency controls; record</w:t>
      </w:r>
      <w:r>
        <w:t xml:space="preserve"> </w:t>
      </w:r>
      <w:r>
        <w:rPr>
          <w:rStyle w:val="VerbatimChar"/>
        </w:rPr>
        <w:t xml:space="preserve">CSV_PASS_WITH_CONTROLS</w:t>
      </w:r>
      <w:r>
        <w:t xml:space="preserve"> </w:t>
      </w:r>
      <w:r>
        <w:t xml:space="preserve">provisionally for purposes of evaluating the emergency candidate set. CSV cannot rescue TRC failure.</w:t>
      </w:r>
    </w:p>
    <w:p>
      <w:pPr>
        <w:pStyle w:val="BodyText"/>
      </w:pPr>
      <w:r>
        <w:t xml:space="preserve">TRC parameters: alpha = 0.95, tau_TRC = 0.15, and the predeclared absolute emergency exposure limit tau_TRC_max = 0.45.</w:t>
      </w:r>
    </w:p>
    <w:p>
      <w:pPr>
        <w:pStyle w:val="BodyText"/>
      </w:pPr>
      <w:r>
        <w:t xml:space="preserve">Scenario losses (5 scenarios):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584"/>
        <w:gridCol w:w="1584"/>
        <w:gridCol w:w="1584"/>
        <w:gridCol w:w="1584"/>
        <w:gridCol w:w="1584"/>
      </w:tblGrid>
      <w:tr>
        <w:trPr>
          <w:tblHeader w:val="true"/>
        </w:trPr>
        <w:tc>
          <w:tcPr>
            <w:shd w:val="clear" w:color="auto" w:fill="D9EAF7"/>
            <w:vAlign w:val="center"/>
          </w:tcPr>
          <w:p>
            <w:pPr>
              <w:pStyle w:val="Compact"/>
              <w:jc w:val="left"/>
            </w:pPr>
            <w:r>
              <w:rPr>
                <w:bCs/>
                <w:b/>
                <w:color w:val="17365D"/>
              </w:rPr>
              <w:t xml:space="preserve">Scenario</w:t>
            </w:r>
          </w:p>
        </w:tc>
        <w:tc>
          <w:tcPr>
            <w:shd w:val="clear" w:color="auto" w:fill="D9EAF7"/>
            <w:vAlign w:val="center"/>
          </w:tcPr>
          <w:p>
            <w:pPr>
              <w:pStyle w:val="Compact"/>
              <w:jc w:val="left"/>
            </w:pPr>
            <w:r>
              <w:rPr>
                <w:bCs/>
                <w:b/>
                <w:color w:val="17365D"/>
              </w:rPr>
              <w:t xml:space="preserve">Category</w:t>
            </w:r>
          </w:p>
        </w:tc>
        <w:tc>
          <w:tcPr>
            <w:shd w:val="clear" w:color="auto" w:fill="D9EAF7"/>
            <w:vAlign w:val="center"/>
          </w:tcPr>
          <w:p>
            <w:pPr>
              <w:pStyle w:val="Compact"/>
              <w:jc w:val="left"/>
            </w:pPr>
            <w:r>
              <w:rPr>
                <w:bCs/>
                <w:b/>
                <w:color w:val="17365D"/>
              </w:rPr>
              <w:t xml:space="preserve">p_s</w:t>
            </w:r>
          </w:p>
        </w:tc>
        <w:tc>
          <w:tcPr>
            <w:shd w:val="clear" w:color="auto" w:fill="D9EAF7"/>
            <w:vAlign w:val="center"/>
          </w:tcPr>
          <w:p>
            <w:pPr>
              <w:pStyle w:val="Compact"/>
              <w:jc w:val="left"/>
            </w:pPr>
            <w:r>
              <w:rPr>
                <w:bCs/>
                <w:b/>
                <w:color w:val="17365D"/>
              </w:rPr>
              <w:t xml:space="preserve">L(P,s)</w:t>
            </w:r>
          </w:p>
        </w:tc>
        <w:tc>
          <w:tcPr>
            <w:shd w:val="clear" w:color="auto" w:fill="D9EAF7"/>
            <w:vAlign w:val="center"/>
          </w:tcPr>
          <w:p>
            <w:pPr>
              <w:pStyle w:val="Compact"/>
              <w:jc w:val="left"/>
            </w:pPr>
            <w:r>
              <w:rPr>
                <w:bCs/>
                <w:b/>
                <w:color w:val="17365D"/>
              </w:rPr>
              <w:t xml:space="preserve">L(Q,s)</w:t>
            </w:r>
          </w:p>
        </w:tc>
      </w:tr>
      <w:tr>
        <w:tc>
          <w:tcPr>
            <w:vAlign w:val="top"/>
          </w:tcPr>
          <w:p>
            <w:pPr>
              <w:pStyle w:val="Compact"/>
              <w:jc w:val="left"/>
            </w:pPr>
            <w:r>
              <w:t xml:space="preserve">S1</w:t>
            </w:r>
          </w:p>
        </w:tc>
        <w:tc>
          <w:tcPr>
            <w:vAlign w:val="top"/>
          </w:tcPr>
          <w:p>
            <w:pPr>
              <w:pStyle w:val="Compact"/>
              <w:jc w:val="left"/>
            </w:pPr>
            <w:r>
              <w:t xml:space="preserve">Pandemic/biological</w:t>
            </w:r>
          </w:p>
        </w:tc>
        <w:tc>
          <w:tcPr>
            <w:vAlign w:val="top"/>
          </w:tcPr>
          <w:p>
            <w:pPr>
              <w:pStyle w:val="Compact"/>
              <w:jc w:val="left"/>
            </w:pPr>
            <w:r>
              <w:t xml:space="preserve">0.05</w:t>
            </w:r>
          </w:p>
        </w:tc>
        <w:tc>
          <w:tcPr>
            <w:vAlign w:val="top"/>
          </w:tcPr>
          <w:p>
            <w:pPr>
              <w:pStyle w:val="Compact"/>
              <w:jc w:val="left"/>
            </w:pPr>
            <w:r>
              <w:t xml:space="preserve">0.45</w:t>
            </w:r>
          </w:p>
        </w:tc>
        <w:tc>
          <w:tcPr>
            <w:vAlign w:val="top"/>
          </w:tcPr>
          <w:p>
            <w:pPr>
              <w:pStyle w:val="Compact"/>
              <w:jc w:val="left"/>
            </w:pPr>
            <w:r>
              <w:t xml:space="preserve">0.35</w:t>
            </w:r>
          </w:p>
        </w:tc>
      </w:tr>
      <w:tr>
        <w:tc>
          <w:tcPr>
            <w:shd w:val="clear" w:color="auto" w:fill="F7FBFE"/>
            <w:vAlign w:val="top"/>
          </w:tcPr>
          <w:p>
            <w:pPr>
              <w:pStyle w:val="Compact"/>
              <w:jc w:val="left"/>
            </w:pPr>
            <w:r>
              <w:t xml:space="preserve">S2</w:t>
            </w:r>
          </w:p>
        </w:tc>
        <w:tc>
          <w:tcPr>
            <w:shd w:val="clear" w:color="auto" w:fill="F7FBFE"/>
            <w:vAlign w:val="top"/>
          </w:tcPr>
          <w:p>
            <w:pPr>
              <w:pStyle w:val="Compact"/>
              <w:jc w:val="left"/>
            </w:pPr>
            <w:r>
              <w:t xml:space="preserve">Infrastructure failure</w:t>
            </w:r>
          </w:p>
        </w:tc>
        <w:tc>
          <w:tcPr>
            <w:shd w:val="clear" w:color="auto" w:fill="F7FBFE"/>
            <w:vAlign w:val="top"/>
          </w:tcPr>
          <w:p>
            <w:pPr>
              <w:pStyle w:val="Compact"/>
              <w:jc w:val="left"/>
            </w:pPr>
            <w:r>
              <w:t xml:space="preserve">0.05</w:t>
            </w:r>
          </w:p>
        </w:tc>
        <w:tc>
          <w:tcPr>
            <w:shd w:val="clear" w:color="auto" w:fill="F7FBFE"/>
            <w:vAlign w:val="top"/>
          </w:tcPr>
          <w:p>
            <w:pPr>
              <w:pStyle w:val="Compact"/>
              <w:jc w:val="left"/>
            </w:pPr>
            <w:r>
              <w:t xml:space="preserve">0.30</w:t>
            </w:r>
          </w:p>
        </w:tc>
        <w:tc>
          <w:tcPr>
            <w:shd w:val="clear" w:color="auto" w:fill="F7FBFE"/>
            <w:vAlign w:val="top"/>
          </w:tcPr>
          <w:p>
            <w:pPr>
              <w:pStyle w:val="Compact"/>
              <w:jc w:val="left"/>
            </w:pPr>
            <w:r>
              <w:t xml:space="preserve">0.40</w:t>
            </w:r>
          </w:p>
        </w:tc>
      </w:tr>
      <w:tr>
        <w:tc>
          <w:tcPr>
            <w:vAlign w:val="top"/>
          </w:tcPr>
          <w:p>
            <w:pPr>
              <w:pStyle w:val="Compact"/>
              <w:jc w:val="left"/>
            </w:pPr>
            <w:r>
              <w:t xml:space="preserve">S3</w:t>
            </w:r>
          </w:p>
        </w:tc>
        <w:tc>
          <w:tcPr>
            <w:vAlign w:val="top"/>
          </w:tcPr>
          <w:p>
            <w:pPr>
              <w:pStyle w:val="Compact"/>
              <w:jc w:val="left"/>
            </w:pPr>
            <w:r>
              <w:t xml:space="preserve">Financial collapse</w:t>
            </w:r>
          </w:p>
        </w:tc>
        <w:tc>
          <w:tcPr>
            <w:vAlign w:val="top"/>
          </w:tcPr>
          <w:p>
            <w:pPr>
              <w:pStyle w:val="Compact"/>
              <w:jc w:val="left"/>
            </w:pPr>
            <w:r>
              <w:t xml:space="preserve">0.03</w:t>
            </w:r>
          </w:p>
        </w:tc>
        <w:tc>
          <w:tcPr>
            <w:vAlign w:val="top"/>
          </w:tcPr>
          <w:p>
            <w:pPr>
              <w:pStyle w:val="Compact"/>
              <w:jc w:val="left"/>
            </w:pPr>
            <w:r>
              <w:t xml:space="preserve">0.20</w:t>
            </w:r>
          </w:p>
        </w:tc>
        <w:tc>
          <w:tcPr>
            <w:vAlign w:val="top"/>
          </w:tcPr>
          <w:p>
            <w:pPr>
              <w:pStyle w:val="Compact"/>
              <w:jc w:val="left"/>
            </w:pPr>
            <w:r>
              <w:t xml:space="preserve">0.25</w:t>
            </w:r>
          </w:p>
        </w:tc>
      </w:tr>
      <w:tr>
        <w:tc>
          <w:tcPr>
            <w:shd w:val="clear" w:color="auto" w:fill="F7FBFE"/>
            <w:vAlign w:val="top"/>
          </w:tcPr>
          <w:p>
            <w:pPr>
              <w:pStyle w:val="Compact"/>
              <w:jc w:val="left"/>
            </w:pPr>
            <w:r>
              <w:t xml:space="preserve">S4</w:t>
            </w:r>
          </w:p>
        </w:tc>
        <w:tc>
          <w:tcPr>
            <w:shd w:val="clear" w:color="auto" w:fill="F7FBFE"/>
            <w:vAlign w:val="top"/>
          </w:tcPr>
          <w:p>
            <w:pPr>
              <w:pStyle w:val="Compact"/>
              <w:jc w:val="left"/>
            </w:pPr>
            <w:r>
              <w:t xml:space="preserve">Moderate baseline</w:t>
            </w:r>
          </w:p>
        </w:tc>
        <w:tc>
          <w:tcPr>
            <w:shd w:val="clear" w:color="auto" w:fill="F7FBFE"/>
            <w:vAlign w:val="top"/>
          </w:tcPr>
          <w:p>
            <w:pPr>
              <w:pStyle w:val="Compact"/>
              <w:jc w:val="left"/>
            </w:pPr>
            <w:r>
              <w:t xml:space="preserve">0.57</w:t>
            </w:r>
          </w:p>
        </w:tc>
        <w:tc>
          <w:tcPr>
            <w:shd w:val="clear" w:color="auto" w:fill="F7FBFE"/>
            <w:vAlign w:val="top"/>
          </w:tcPr>
          <w:p>
            <w:pPr>
              <w:pStyle w:val="Compact"/>
              <w:jc w:val="left"/>
            </w:pPr>
            <w:r>
              <w:t xml:space="preserve">0.05</w:t>
            </w:r>
          </w:p>
        </w:tc>
        <w:tc>
          <w:tcPr>
            <w:shd w:val="clear" w:color="auto" w:fill="F7FBFE"/>
            <w:vAlign w:val="top"/>
          </w:tcPr>
          <w:p>
            <w:pPr>
              <w:pStyle w:val="Compact"/>
              <w:jc w:val="left"/>
            </w:pPr>
            <w:r>
              <w:t xml:space="preserve">0.04</w:t>
            </w:r>
          </w:p>
        </w:tc>
      </w:tr>
      <w:tr>
        <w:tc>
          <w:tcPr>
            <w:vAlign w:val="top"/>
          </w:tcPr>
          <w:p>
            <w:pPr>
              <w:pStyle w:val="Compact"/>
              <w:jc w:val="left"/>
            </w:pPr>
            <w:r>
              <w:t xml:space="preserve">S5</w:t>
            </w:r>
          </w:p>
        </w:tc>
        <w:tc>
          <w:tcPr>
            <w:vAlign w:val="top"/>
          </w:tcPr>
          <w:p>
            <w:pPr>
              <w:pStyle w:val="Compact"/>
              <w:jc w:val="left"/>
            </w:pPr>
            <w:r>
              <w:t xml:space="preserve">Conflict escalation</w:t>
            </w:r>
          </w:p>
        </w:tc>
        <w:tc>
          <w:tcPr>
            <w:vAlign w:val="top"/>
          </w:tcPr>
          <w:p>
            <w:pPr>
              <w:pStyle w:val="Compact"/>
              <w:jc w:val="left"/>
            </w:pPr>
            <w:r>
              <w:t xml:space="preserve">0.30</w:t>
            </w:r>
          </w:p>
        </w:tc>
        <w:tc>
          <w:tcPr>
            <w:vAlign w:val="top"/>
          </w:tcPr>
          <w:p>
            <w:pPr>
              <w:pStyle w:val="Compact"/>
              <w:jc w:val="left"/>
            </w:pPr>
            <w:r>
              <w:t xml:space="preserve">0.10</w:t>
            </w:r>
          </w:p>
        </w:tc>
        <w:tc>
          <w:tcPr>
            <w:vAlign w:val="top"/>
          </w:tcPr>
          <w:p>
            <w:pPr>
              <w:pStyle w:val="Compact"/>
              <w:jc w:val="left"/>
            </w:pPr>
            <w:r>
              <w:t xml:space="preserve">0.08</w:t>
            </w:r>
          </w:p>
        </w:tc>
      </w:tr>
    </w:tbl>
    <w:p>
      <w:pPr>
        <w:pStyle w:val="BodyText"/>
      </w:pPr>
      <w:r>
        <w:t xml:space="preserve">CVaR computation (tail mass beta = 1 - alpha = 0.05):</w:t>
      </w:r>
    </w:p>
    <w:p>
      <w:pPr>
        <w:pStyle w:val="BodyText"/>
      </w:pPr>
      <w:r>
        <w:t xml:space="preserve">Option P: CVaR_0.95(P) = 0.45. Option Q: CVaR_0.95(Q) = 0.40. Both exceed tau_TRC = 0.15, so the ordinary admissible/selectable set is empty and ordinary RLS is prohibited.</w:t>
      </w:r>
    </w:p>
    <w:p>
      <w:pPr>
        <w:pStyle w:val="BodyText"/>
      </w:pPr>
      <w:r>
        <w:t xml:space="preserve">Tail Emergency Mode review:</w:t>
      </w:r>
    </w:p>
    <w:p>
      <w:pPr>
        <w:numPr>
          <w:ilvl w:val="0"/>
          <w:numId w:val="1414"/>
        </w:numPr>
        <w:pStyle w:val="Compact"/>
      </w:pPr>
      <w:r>
        <w:rPr>
          <w:bCs/>
          <w:b/>
        </w:rPr>
        <w:t xml:space="preserve">Emergency and necessity:</w:t>
      </w:r>
      <w:r>
        <w:t xml:space="preserve"> </w:t>
      </w:r>
      <w:r>
        <w:t xml:space="preserve">an active biological emergency is documented; no-action is modelled and produces estimated CVaR 0.55, which is worse than both candidates.</w:t>
      </w:r>
    </w:p>
    <w:p>
      <w:pPr>
        <w:numPr>
          <w:ilvl w:val="0"/>
          <w:numId w:val="1414"/>
        </w:numPr>
        <w:pStyle w:val="Compact"/>
      </w:pPr>
      <w:r>
        <w:rPr>
          <w:bCs/>
          <w:b/>
        </w:rPr>
        <w:t xml:space="preserve">Redesign / safer alternatives:</w:t>
      </w:r>
      <w:r>
        <w:t xml:space="preserve"> </w:t>
      </w:r>
      <w:r>
        <w:t xml:space="preserve">materially safer redesigns cannot be deployed within the harm-prevention window; the record lists the attempted alternatives and why they are unavailable in time.</w:t>
      </w:r>
    </w:p>
    <w:p>
      <w:pPr>
        <w:numPr>
          <w:ilvl w:val="0"/>
          <w:numId w:val="1414"/>
        </w:numPr>
        <w:pStyle w:val="Compact"/>
      </w:pPr>
      <w:r>
        <w:rPr>
          <w:bCs/>
          <w:b/>
        </w:rPr>
        <w:t xml:space="preserve">Independent challenge:</w:t>
      </w:r>
      <w:r>
        <w:t xml:space="preserve"> </w:t>
      </w:r>
      <w:r>
        <w:t xml:space="preserve">an independent public-health and infrastructure review panel confirms the necessity claim and proposes additional controls.</w:t>
      </w:r>
    </w:p>
    <w:p>
      <w:pPr>
        <w:numPr>
          <w:ilvl w:val="0"/>
          <w:numId w:val="1414"/>
        </w:numPr>
        <w:pStyle w:val="Compact"/>
      </w:pPr>
      <w:r>
        <w:rPr>
          <w:bCs/>
          <w:b/>
        </w:rPr>
        <w:t xml:space="preserve">Absolute bound:</w:t>
      </w:r>
      <w:r>
        <w:t xml:space="preserve"> </w:t>
      </w:r>
      <w:r>
        <w:t xml:space="preserve">Q at 0.40 is below tau_TRC_max = 0.45; P equals the absolute cap and is not preferred where a lower-exposure candidate exists.</w:t>
      </w:r>
    </w:p>
    <w:p>
      <w:pPr>
        <w:numPr>
          <w:ilvl w:val="0"/>
          <w:numId w:val="1414"/>
        </w:numPr>
        <w:pStyle w:val="Compact"/>
      </w:pPr>
      <w:r>
        <w:rPr>
          <w:bCs/>
          <w:b/>
        </w:rPr>
        <w:t xml:space="preserve">Controls:</w:t>
      </w:r>
      <w:r>
        <w:t xml:space="preserve"> </w:t>
      </w:r>
      <w:r>
        <w:t xml:space="preserve">Q is limited to 90 days, staged, monitored, paired with stockpile and surge-capacity controls, and has a shutoff/review trigger.</w:t>
      </w:r>
    </w:p>
    <w:p>
      <w:pPr>
        <w:numPr>
          <w:ilvl w:val="0"/>
          <w:numId w:val="1414"/>
        </w:numPr>
        <w:pStyle w:val="Compact"/>
      </w:pPr>
      <w:r>
        <w:rPr>
          <w:bCs/>
          <w:b/>
        </w:rPr>
        <w:t xml:space="preserve">Authority, burden, remedy:</w:t>
      </w:r>
      <w:r>
        <w:t xml:space="preserve"> </w:t>
      </w:r>
      <w:r>
        <w:t xml:space="preserve">higher-tier lawful approval, named burden bearers, mitigation, remedy/redress, and public reporting are recorded.</w:t>
      </w:r>
    </w:p>
    <w:p>
      <w:pPr>
        <w:numPr>
          <w:ilvl w:val="0"/>
          <w:numId w:val="1414"/>
        </w:numPr>
        <w:pStyle w:val="Compact"/>
      </w:pPr>
      <w:r>
        <w:rPr>
          <w:bCs/>
          <w:b/>
        </w:rPr>
        <w:t xml:space="preserve">Exit:</w:t>
      </w:r>
      <w:r>
        <w:t xml:space="preserve"> </w:t>
      </w:r>
      <w:r>
        <w:t xml:space="preserve">the action expires after 90 days or earlier when the emergency indicator falls below the declared threshold; the decision is then rerun under ordinary TRC.</w:t>
      </w:r>
    </w:p>
    <w:p>
      <w:pPr>
        <w:pStyle w:val="FirstParagraph"/>
      </w:pPr>
      <w:r>
        <w:t xml:space="preserve">Emergency candidate comparison: Q has the lower CVaR among candidates that satisfy every Tail Emergency prerequisite.</w:t>
      </w:r>
    </w:p>
    <w:p>
      <w:pPr>
        <w:pStyle w:val="BodyText"/>
      </w:pPr>
      <w:r>
        <w:t xml:space="preserve">Result:</w:t>
      </w:r>
      <w:r>
        <w:t xml:space="preserve"> </w:t>
      </w:r>
      <w:r>
        <w:rPr>
          <w:rStyle w:val="VerbatimChar"/>
        </w:rPr>
        <w:t xml:space="preserve">TAIL_EMERGENCY_PROVISIONAL_ACTION</w:t>
      </w:r>
      <w:r>
        <w:t xml:space="preserve"> </w:t>
      </w:r>
      <w:r>
        <w:t xml:space="preserve">for Q. PCC records</w:t>
      </w:r>
      <w:r>
        <w:t xml:space="preserve"> </w:t>
      </w:r>
      <w:r>
        <w:rPr>
          <w:rStyle w:val="VerbatimChar"/>
        </w:rPr>
        <w:t xml:space="preserve">TAIL_EMERGENCY_MODE_INVOKED</w:t>
      </w:r>
      <w:r>
        <w:t xml:space="preserve">, CVaR deficit 0.25 above tau_TRC, absolute-cap margin 0.05, necessity evidence, no-action comparison, challenger record, controls, burdens, remedy, expiry, and return-to-normal trigger.</w:t>
      </w:r>
    </w:p>
    <w:p>
      <w:pPr>
        <w:pStyle w:val="BodyText"/>
      </w:pPr>
      <w:r>
        <w:t xml:space="preserve">Lesson (Informative): universal TRC failure stops ordinary ranking. Minimum CVaR is used only inside a fully governed Tail Emergency Mode after necessity and absolute-bound conditions are met. The result is not</w:t>
      </w:r>
      <w:r>
        <w:t xml:space="preserve"> </w:t>
      </w:r>
      <w:r>
        <w:rPr>
          <w:rStyle w:val="VerbatimChar"/>
        </w:rPr>
        <w:t xml:space="preserve">TRC_PASS</w:t>
      </w:r>
      <w:r>
        <w:t xml:space="preserve">, ordinary selection, alignment, or proof of safety.</w:t>
      </w:r>
    </w:p>
    <w:p>
      <w:pPr>
        <w:pStyle w:val="BodyText"/>
      </w:pPr>
      <w:r>
        <w:t xml:space="preserve">End Appendix P-2.</w:t>
      </w:r>
    </w:p>
    <w:bookmarkEnd w:id="504"/>
    <w:bookmarkEnd w:id="505"/>
    <w:bookmarkStart w:id="520" w:name="X382bee8234cc28315b8d4c054ccc9bafd3fd783"/>
    <w:p>
      <w:pPr>
        <w:pStyle w:val="Heading1"/>
      </w:pPr>
      <w:bookmarkStart w:id="802" w:name="mg_toc_038"/>
      <w:r>
        <w:rPr>
          <w:bCs/>
          <w:b/>
        </w:rPr>
        <w:t xml:space="preserve">APPENDIX Q: QUICK REFERENCE CARD (INFORMATIVE)</w:t>
      </w:r>
      <w:bookmarkEnd w:id="802"/>
    </w:p>
    <w:bookmarkStart w:id="506" w:name="q1-object-model-do-not-conflate"/>
    <w:p>
      <w:pPr>
        <w:pStyle w:val="Heading2"/>
      </w:pPr>
      <w:r>
        <w:rPr>
          <w:bCs/>
          <w:b/>
        </w:rPr>
        <w:t xml:space="preserve">Q.1 Object model (do not conflate)</w:t>
      </w:r>
    </w:p>
    <w:p>
      <w:pPr>
        <w:pStyle w:val="FirstParagraph"/>
      </w:pPr>
      <w:r>
        <w:t xml:space="preserve">• Stakeholder: a real entity or group (for example applicants, caseworkers, taxpayers).</w:t>
      </w:r>
    </w:p>
    <w:p>
      <w:pPr>
        <w:pStyle w:val="BodyText"/>
      </w:pPr>
      <w:r>
        <w:t xml:space="preserve">• Stakeholder Instance (SI): a representation object used for scope coverage and auditability (InstanceMap).</w:t>
      </w:r>
    </w:p>
    <w:p>
      <w:pPr>
        <w:pStyle w:val="BodyText"/>
      </w:pPr>
      <w:r>
        <w:t xml:space="preserve">• Impact Instance (k): the computational object contributing to one welfare cell for one option.</w:t>
      </w:r>
    </w:p>
    <w:p>
      <w:pPr>
        <w:pStyle w:val="BodyText"/>
      </w:pPr>
      <w:r>
        <w:t xml:space="preserve">• Welfare cell: (union u, dimension d). Rights-covered cells gate via NCRC; after NCRC passes, rights-covered cells remain non-maskable and are included in RLS aggregation among the remaining options.</w:t>
      </w:r>
    </w:p>
    <w:bookmarkEnd w:id="506"/>
    <w:bookmarkStart w:id="507" w:name="X7034c2511ef1b1428b719606ef4c9f6413bdab6"/>
    <w:p>
      <w:pPr>
        <w:pStyle w:val="Heading2"/>
      </w:pPr>
      <w:r>
        <w:rPr>
          <w:bCs/>
          <w:b/>
        </w:rPr>
        <w:t xml:space="preserve">Q.2 Minimal cell computation (direct effects)</w:t>
      </w:r>
    </w:p>
    <w:p>
      <w:pPr>
        <w:pStyle w:val="FirstParagraph"/>
      </w:pPr>
      <w:r>
        <w:t xml:space="preserve">Choose parameters per impact instance k: μ_k, r_k (with ReachBasis), t_k (years; used via τ(t_k)), ℓ_k, c_k, e_k, h_{k,base}, and h_{k,welfare}.</w:t>
      </w:r>
    </w:p>
    <w:p>
      <w:pPr>
        <w:pStyle w:val="BodyText"/>
      </w:pPr>
      <w:r>
        <w:t xml:space="preserve">Compute direct impacts per stream. For the Base stream used by TRC and CSV, set h_k:=1.0 for every impact instance. RF/NCRC begins from the Base stream but applies Section 7.4 rights hardening: adverse rights instances use τ_RF=1, categorical prohibitions and severe rights hazards are tested separately, and low confidence cannot reduce protective severity. For the Welfare stream used by RLS, evaluate the governed welfare-inclusion hypothesis set required by Section 12 and Appendix G; do not use an MPS interval as a cardinal multiplier. Compute the applicable stream impacts, saturate to [-1,+1], and preserve unknown as an explicit evidence state rather than silently entering zero.</w:t>
      </w:r>
    </w:p>
    <w:p>
      <w:pPr>
        <w:pStyle w:val="BodyText"/>
      </w:pPr>
      <w:r>
        <w:t xml:space="preserve">UI points are display only: Points = 100 × I (never compute in points).</w:t>
      </w:r>
    </w:p>
    <w:bookmarkEnd w:id="507"/>
    <w:bookmarkStart w:id="508" w:name="q3-formal-method-order-always"/>
    <w:p>
      <w:pPr>
        <w:pStyle w:val="Heading2"/>
      </w:pPr>
      <w:r>
        <w:rPr>
          <w:bCs/>
          <w:b/>
        </w:rPr>
        <w:t xml:space="preserve">Q.3 Formal method order (always)</w:t>
      </w:r>
    </w:p>
    <w:p>
      <w:pPr>
        <w:numPr>
          <w:ilvl w:val="0"/>
          <w:numId w:val="1415"/>
        </w:numPr>
        <w:pStyle w:val="Compact"/>
      </w:pPr>
      <w:r>
        <w:t xml:space="preserve">Reality Grounding / RSG (claim authority and grounding precondition) → 2) Rights Floor (RF/NCRC) → 3) TRC / Tail-Risk Bound → 4) CSV / Containment and Structural Viability → 5) RLS / RippleLogic Score among selectable options. UCI/HOI are not a regular sixth step: gate-relevant structural diagnostic evidence belongs inside CSV; residual UCI/HOI may be used only as special-case tie-break or monitoring evidence when RLS is tied, close, uncertainty-overlapped, or non-decisive.</w:t>
      </w:r>
    </w:p>
    <w:bookmarkEnd w:id="508"/>
    <w:bookmarkStart w:id="509" w:name="q4-common-misreads-fast-fixes"/>
    <w:p>
      <w:pPr>
        <w:pStyle w:val="Heading2"/>
      </w:pPr>
      <w:r>
        <w:rPr>
          <w:bCs/>
          <w:b/>
        </w:rPr>
        <w:t xml:space="preserve">Q.4 Common misreads (fast fixes)</w:t>
      </w:r>
    </w:p>
    <w:p>
      <w:pPr>
        <w:pStyle w:val="FirstParagraph"/>
      </w:pPr>
      <w:r>
        <w:t xml:space="preserve">• Misread: “RLS can compensate a rights violation.” Fix: NCRC gates admissibility first; any NCRC failure is eliminated before RLS. After NCRC, rights-covered cells may contribute to welfare ranking, but only among NCRC-admissible options.</w:t>
      </w:r>
    </w:p>
    <w:p>
      <w:pPr>
        <w:pStyle w:val="BodyText"/>
      </w:pPr>
      <w:r>
        <w:t xml:space="preserve">• Misread: “δ is measured in points.” Fix: δ applies to the normalized Gap metric (dimensionless).</w:t>
      </w:r>
    </w:p>
    <w:p>
      <w:pPr>
        <w:pStyle w:val="BodyText"/>
      </w:pPr>
      <w:r>
        <w:t xml:space="preserve">• Misread: “Reach r_k is a moral weight.” Fix: r_k is a coverage/scale term and must be justified with ReachBasis.</w:t>
      </w:r>
    </w:p>
    <w:p>
      <w:pPr>
        <w:pStyle w:val="BodyText"/>
      </w:pPr>
      <w:r>
        <w:t xml:space="preserve">• Misread: “h_k is an MPS score, generic cap factor, or probability of consciousness.” Fix: h_k is a governed welfare-inclusion hypothesis coefficient used only for robust residual Welfare-stream sensitivity; the MPS evidence record determines protection posture and required hypotheses but does not numerically set h_k. Admissibility layers use Base stream with h_k:=1 (Appendix G; Appendix B).</w:t>
      </w:r>
    </w:p>
    <w:p>
      <w:pPr>
        <w:pStyle w:val="BodyText"/>
      </w:pPr>
      <w:r>
        <w:t xml:space="preserve">• Misread: “Unknown UCI deltas pass by default.” Fix: unknown is never a pass; record CONTAINMENT_UCI_UNAVAILABLE and remediate.</w:t>
      </w:r>
    </w:p>
    <w:p>
      <w:pPr>
        <w:pStyle w:val="BodyText"/>
      </w:pPr>
      <w:r>
        <w:t xml:space="preserve">• Misread: “Reduced-scope mode allows bypassing rights or catastrophe cells.” Fix: non-maskable; never bypass.</w:t>
      </w:r>
    </w:p>
    <w:bookmarkEnd w:id="509"/>
    <w:bookmarkStart w:id="510" w:name="q5-stream-binding-direct-vs-propagated"/>
    <w:p>
      <w:pPr>
        <w:pStyle w:val="Heading2"/>
      </w:pPr>
      <w:r>
        <w:rPr>
          <w:bCs/>
          <w:b/>
        </w:rPr>
        <w:t xml:space="preserve">Q.5 Stream binding (direct vs propagated)</w:t>
      </w:r>
    </w:p>
    <w:p>
      <w:pPr>
        <w:pStyle w:val="FirstParagraph"/>
      </w:pPr>
      <w:r>
        <w:t xml:space="preserve">• I_dir(u,d,a): direct, cell-local impact computed from impact instances in that cell.</w:t>
      </w:r>
    </w:p>
    <w:p>
      <w:pPr>
        <w:pStyle w:val="BodyText"/>
      </w:pPr>
      <w:r>
        <w:t xml:space="preserve">• KernelPropagation = NONE: I_prop_welfare = I_dir.</w:t>
      </w:r>
    </w:p>
    <w:p>
      <w:pPr>
        <w:pStyle w:val="BodyText"/>
      </w:pPr>
      <w:r>
        <w:t xml:space="preserve">• KernelPropagation = QUICK: I_prop_welfare includes propagated effects via declared kernel edges (Section 6). (Effect-token redundancy handling such as ALLOCATION is separate and MUST NOT be labeled a propagation mode.)</w:t>
      </w:r>
    </w:p>
    <w:p>
      <w:pPr>
        <w:pStyle w:val="BodyText"/>
      </w:pPr>
      <w:r>
        <w:t xml:space="preserve">• UI points are derived from I_total only for display; never back-propagate points into computation.</w:t>
      </w:r>
    </w:p>
    <w:bookmarkEnd w:id="510"/>
    <w:bookmarkStart w:id="511" w:name="q6-data-dependency-by-tier-minimum"/>
    <w:p>
      <w:pPr>
        <w:pStyle w:val="Heading2"/>
      </w:pPr>
      <w:r>
        <w:rPr>
          <w:bCs/>
          <w:b/>
        </w:rPr>
        <w:t xml:space="preserve">Q.6 Data dependency by tier (minimum)</w:t>
      </w:r>
    </w:p>
    <w:p>
      <w:pPr>
        <w:pStyle w:val="FirstParagraph"/>
      </w:pPr>
      <w:r>
        <w:t xml:space="preserve">Tier 1: Stakeholder list, quick rights screen, qualitative tail-risk plausibility screen, minimal cell scan, and a brief CSV screen before any ordinary ranking or selection claim. Record a pass-equivalent heuristic status or escalate/redesign.</w:t>
      </w:r>
    </w:p>
    <w:p>
      <w:pPr>
        <w:pStyle w:val="BodyText"/>
      </w:pPr>
      <w:r>
        <w:t xml:space="preserve">Tier 2: InstanceMap + ReachBasis, explicit impact instances and parameters, three-channel NCRC where triggered, scenario table for TRC (discrete CVaR), proportional/assumption-bounded CSV status for every candidate before RLS, normalized uncertainty-aware RLS for selectable survivors only, and a basic PCC with 5SPR.</w:t>
      </w:r>
    </w:p>
    <w:p>
      <w:pPr>
        <w:pStyle w:val="BodyText"/>
      </w:pPr>
      <w:r>
        <w:t xml:space="preserve">Tier 3: Full scope coverage (or governed reduced-scope), full binding CSV with declared structural evidence, explicit uncertainty methods, UCI/HOI indicators where material, reviewer sign-off, sensitivity, and full PCC.</w:t>
      </w:r>
    </w:p>
    <w:bookmarkEnd w:id="511"/>
    <w:bookmarkStart w:id="512" w:name="q7-scenarioinstance-interaction"/>
    <w:p>
      <w:pPr>
        <w:pStyle w:val="Heading2"/>
      </w:pPr>
      <w:r>
        <w:rPr>
          <w:bCs/>
          <w:b/>
        </w:rPr>
        <w:t xml:space="preserve">Q.7 Scenario–instance interaction</w:t>
      </w:r>
    </w:p>
    <w:p>
      <w:pPr>
        <w:pStyle w:val="FirstParagraph"/>
      </w:pPr>
      <w:r>
        <w:t xml:space="preserve">TRC is computed over scenario-conditioned Base-stream losses in catastrophe space (C_cat), not over the RLS welfare score. TRC may use the same underlying cell coordinates as catastrophe-relevant welfare cells, but it evaluates scenario-specific Base-stream loss construction through the Appendix D.7 CVaR algorithm.</w:t>
      </w:r>
    </w:p>
    <w:p>
      <w:pPr>
        <w:pStyle w:val="BodyText"/>
      </w:pPr>
      <w:r>
        <w:t xml:space="preserve">Keep the mechanics separate: welfare cells drive RLS after admissibility; catastrophe scenarios drive TRC/CVaR before RLS; rights cells gate via NCRC. Do not multiply scenario probabilities into RLS welfare cells unless a scenario-conditional welfare model is explicitly declared and recorded in the PCC.</w:t>
      </w:r>
    </w:p>
    <w:bookmarkEnd w:id="512"/>
    <w:bookmarkStart w:id="513" w:name="X55cfaf88322b69a494ebd200b40abcc86ed4b08"/>
    <w:p>
      <w:pPr>
        <w:pStyle w:val="Heading2"/>
      </w:pPr>
      <w:r>
        <w:rPr>
          <w:bCs/>
          <w:b/>
        </w:rPr>
        <w:t xml:space="preserve">Q.8 Practical Local Scope Scoring (PLSS) - Quick Card (Informative)</w:t>
      </w:r>
    </w:p>
    <w:p>
      <w:pPr>
        <w:pStyle w:val="FirstParagraph"/>
      </w:pPr>
      <w:r>
        <w:t xml:space="preserve">Purpose</w:t>
      </w:r>
    </w:p>
    <w:p>
      <w:pPr>
        <w:pStyle w:val="BodyText"/>
      </w:pPr>
      <w:r>
        <w:t xml:space="preserve">Use PLSS when a decision is primarily local in its direct effects, but wider scopes still remain present through constitutional floors and admissibility guardrails.</w:t>
      </w:r>
    </w:p>
    <w:p>
      <w:pPr>
        <w:pStyle w:val="BodyText"/>
      </w:pPr>
      <w:r>
        <w:t xml:space="preserve">Core idea</w:t>
      </w:r>
    </w:p>
    <w:p>
      <w:pPr>
        <w:pStyle w:val="BodyText"/>
      </w:pPr>
      <w:r>
        <w:t xml:space="preserve">PLSS does not remove any Union Scope.</w:t>
      </w:r>
    </w:p>
    <w:p>
      <w:pPr>
        <w:pStyle w:val="BodyText"/>
      </w:pPr>
      <w:r>
        <w:t xml:space="preserve">PLSS does not relax NCRC, TRC, or CSV.</w:t>
      </w:r>
    </w:p>
    <w:p>
      <w:pPr>
        <w:pStyle w:val="BodyText"/>
      </w:pPr>
      <w:r>
        <w:t xml:space="preserve">PLSS only changes how the residual welfare emphasis is distributed in local runs.</w:t>
      </w:r>
    </w:p>
    <w:p>
      <w:pPr>
        <w:pStyle w:val="BodyText"/>
      </w:pPr>
      <w:r>
        <w:t xml:space="preserve">Fast reading rule</w:t>
      </w:r>
    </w:p>
    <w:p>
      <w:pPr>
        <w:pStyle w:val="BodyText"/>
      </w:pPr>
      <w:r>
        <w:t xml:space="preserve">Score most strongly where the ripple is near, but keep every wider scope present through floors and guardrails.</w:t>
      </w:r>
    </w:p>
    <w:p>
      <w:pPr>
        <w:pStyle w:val="BodyText"/>
      </w:pPr>
      <w:r>
        <w:t xml:space="preserve">When not to use PLSS. Do not use PLSS as the primary posture for irreversible cross-border policy, large-scale public AI deployment, biosecurity governance, active military or security operations, high-lock-in infrastructure decisions, or any case where ET-1 through ET-7 is plausibly active at decision entry. Those cases require a broader deliberative posture or higher-tier structured evaluation.</w:t>
      </w:r>
    </w:p>
    <w:bookmarkEnd w:id="513"/>
    <w:bookmarkStart w:id="514" w:name="Xb080789f137a73b358b063728b76f915616fae5"/>
    <w:p>
      <w:pPr>
        <w:pStyle w:val="Heading2"/>
      </w:pPr>
      <w:r>
        <w:rPr>
          <w:bCs/>
          <w:b/>
        </w:rPr>
        <w:t xml:space="preserve">Q.8.0 Three-term lock • LSS = the upstream set of materially affected stakeholder instances. • PLSS = the floor-preserving residual weighting rule used in RLS. • FLGG = Focus Local, Guard Global, the governing mnemonic. Shortest mnemonic: score near, guard far.</w:t>
      </w:r>
    </w:p>
    <w:p>
      <w:pPr>
        <w:pStyle w:val="FirstParagraph"/>
      </w:pPr>
      <w:r>
        <w:t xml:space="preserve">Epistemic posture note. PLSS formal properties such as floor preservation, normalization, monotonicity, and admissibility invariance hold by construction under the declared equations and validator rules. Claims about practical performance, including speed, inter-rater convergence, and anti-gaming effectiveness, are empirical hypotheses requiring validation under Section 17.</w:t>
      </w:r>
    </w:p>
    <w:bookmarkEnd w:id="514"/>
    <w:bookmarkStart w:id="515" w:name="q81-what-union-scopes-are"/>
    <w:p>
      <w:pPr>
        <w:pStyle w:val="Heading2"/>
      </w:pPr>
      <w:r>
        <w:rPr>
          <w:bCs/>
          <w:b/>
        </w:rPr>
        <w:t xml:space="preserve">Q.8.1 What Union Scopes are</w:t>
      </w:r>
    </w:p>
    <w:p>
      <w:pPr>
        <w:pStyle w:val="FirstParagraph"/>
      </w:pPr>
      <w:r>
        <w:t xml:space="preserve">Union Scopes are zoom levels of consequence, not a closed list of who matters.</w:t>
      </w:r>
    </w:p>
    <w:p>
      <w:pPr>
        <w:pStyle w:val="BodyText"/>
      </w:pPr>
      <w:r>
        <w:t xml:space="preserve">• U1 Self = the decision-maker or directly affected person</w:t>
      </w:r>
    </w:p>
    <w:p>
      <w:pPr>
        <w:pStyle w:val="BodyText"/>
      </w:pPr>
      <w:r>
        <w:t xml:space="preserve">• U2 Household = people directly lived with or supported</w:t>
      </w:r>
    </w:p>
    <w:p>
      <w:pPr>
        <w:pStyle w:val="BodyText"/>
      </w:pPr>
      <w:r>
        <w:t xml:space="preserve">• U3 Community = local repeated-contact network</w:t>
      </w:r>
    </w:p>
    <w:p>
      <w:pPr>
        <w:pStyle w:val="BodyText"/>
      </w:pPr>
      <w:r>
        <w:t xml:space="preserve">• U4 Organization = firm, school, team, or institution involved</w:t>
      </w:r>
    </w:p>
    <w:p>
      <w:pPr>
        <w:pStyle w:val="BodyText"/>
      </w:pPr>
      <w:r>
        <w:t xml:space="preserve">• U5 Polity = law, regulation, public legitimacy, enforcement</w:t>
      </w:r>
    </w:p>
    <w:p>
      <w:pPr>
        <w:pStyle w:val="BodyText"/>
      </w:pPr>
      <w:r>
        <w:t xml:space="preserve">• U6 Humanity / Global Coordination = cross-border and civilization-scale coordination effects</w:t>
      </w:r>
    </w:p>
    <w:p>
      <w:pPr>
        <w:pStyle w:val="BodyText"/>
      </w:pPr>
      <w:r>
        <w:t xml:space="preserve">• U7 Biosphere = ecological and living-support-system effects</w:t>
      </w:r>
    </w:p>
    <w:bookmarkEnd w:id="515"/>
    <w:bookmarkStart w:id="516" w:name="q82-what-people-commonly-misunderstand"/>
    <w:p>
      <w:pPr>
        <w:pStyle w:val="Heading2"/>
      </w:pPr>
      <w:r>
        <w:rPr>
          <w:bCs/>
          <w:b/>
        </w:rPr>
        <w:t xml:space="preserve">Q.8.2 What people commonly misunderstand</w:t>
      </w:r>
    </w:p>
    <w:p>
      <w:pPr>
        <w:pStyle w:val="FirstParagraph"/>
      </w:pPr>
      <w:r>
        <w:t xml:space="preserve">Misread: “Local scoring means I can ignore broader scopes.”</w:t>
      </w:r>
    </w:p>
    <w:p>
      <w:pPr>
        <w:pStyle w:val="BodyText"/>
      </w:pPr>
      <w:r>
        <w:t xml:space="preserve">Fix: No. Broader scopes retain constitutional floors and remain active in admissibility where rights, catastrophe, or containment conditions apply.</w:t>
      </w:r>
    </w:p>
    <w:p>
      <w:pPr>
        <w:pStyle w:val="BodyText"/>
      </w:pPr>
      <w:r>
        <w:t xml:space="preserve">Misread: “The framework asks me to score whole populations abstractly.”</w:t>
      </w:r>
    </w:p>
    <w:p>
      <w:pPr>
        <w:pStyle w:val="BodyText"/>
      </w:pPr>
      <w:r>
        <w:t xml:space="preserve">Fix: No. Score stakeholder instances first, then aggregate into Union Scope rows.</w:t>
      </w:r>
    </w:p>
    <w:p>
      <w:pPr>
        <w:pStyle w:val="BodyText"/>
      </w:pPr>
      <w:r>
        <w:t xml:space="preserve">Misread: “Masking can make distant harms disappear.”</w:t>
      </w:r>
    </w:p>
    <w:p>
      <w:pPr>
        <w:pStyle w:val="BodyText"/>
      </w:pPr>
      <w:r>
        <w:t xml:space="preserve">Fix: No. Masking affects RLS aggregation only. Non-maskable rights and catastrophe cells cannot be bypassed.</w:t>
      </w:r>
    </w:p>
    <w:bookmarkEnd w:id="516"/>
    <w:bookmarkStart w:id="517" w:name="q83-the-plss-weight-formula"/>
    <w:p>
      <w:pPr>
        <w:pStyle w:val="Heading2"/>
      </w:pPr>
      <w:r>
        <w:rPr>
          <w:bCs/>
          <w:b/>
        </w:rPr>
        <w:t xml:space="preserve">Q.8.3 The PLSS weight formula</w:t>
      </w:r>
    </w:p>
    <w:p>
      <w:pPr>
        <w:pStyle w:val="FirstParagraph"/>
      </w:pPr>
      <w:r>
        <w:t xml:space="preserve">Let w_u^floor be the Section 13.1 union floor and q_u the declared local prominence signal for scope u.</w:t>
      </w:r>
    </w:p>
    <w:p>
      <w:pPr>
        <w:pStyle w:val="BodyText"/>
      </w:pPr>
      <w:r>
        <w:t xml:space="preserve">Residual share:</w:t>
      </w:r>
    </w:p>
    <w:p>
      <w:pPr>
        <w:pStyle w:val="BodyText"/>
      </w:pPr>
      <w:r>
        <w:t xml:space="preserve">ρ_u = q_u / Σ_j q_j</w:t>
      </w:r>
    </w:p>
    <w:p>
      <w:pPr>
        <w:pStyle w:val="BodyText"/>
      </w:pPr>
      <w:r>
        <w:t xml:space="preserve">PLSS union weights:</w:t>
      </w:r>
    </w:p>
    <w:p>
      <w:pPr>
        <w:pStyle w:val="BodyText"/>
      </w:pPr>
      <w:r>
        <w:t xml:space="preserve">w_u^PLSS = w_u^floor + (1 - Σ_j w_j^floor) ρ_u</w:t>
      </w:r>
    </w:p>
    <w:p>
      <w:pPr>
        <w:pStyle w:val="BodyText"/>
      </w:pPr>
      <w:r>
        <w:t xml:space="preserve">Interpretation</w:t>
      </w:r>
    </w:p>
    <w:p>
      <w:pPr>
        <w:pStyle w:val="BodyText"/>
      </w:pPr>
      <w:r>
        <w:t xml:space="preserve">• Floors keep every scope present.</w:t>
      </w:r>
    </w:p>
    <w:p>
      <w:pPr>
        <w:pStyle w:val="BodyText"/>
      </w:pPr>
      <w:r>
        <w:t xml:space="preserve">• Residual attention goes mostly to the scopes actually live in the decision.</w:t>
      </w:r>
    </w:p>
    <w:p>
      <w:pPr>
        <w:pStyle w:val="BodyText"/>
      </w:pPr>
      <w:r>
        <w:t xml:space="preserve">• Near scopes may dominate the local ranking.</w:t>
      </w:r>
    </w:p>
    <w:p>
      <w:pPr>
        <w:pStyle w:val="BodyText"/>
      </w:pPr>
      <w:r>
        <w:t xml:space="preserve">1. Identify stakeholder instances.</w:t>
      </w:r>
    </w:p>
    <w:p>
      <w:pPr>
        <w:pStyle w:val="BodyText"/>
      </w:pPr>
      <w:r>
        <w:t xml:space="preserve">2. Map instances into Union Scopes.</w:t>
      </w:r>
    </w:p>
    <w:p>
      <w:pPr>
        <w:pStyle w:val="BodyText"/>
      </w:pPr>
      <w:r>
        <w:t xml:space="preserve">3. Run RF/NCRC, TRC, and CSV on required cells.</w:t>
      </w:r>
    </w:p>
    <w:p>
      <w:pPr>
        <w:pStyle w:val="BodyText"/>
      </w:pPr>
      <w:r>
        <w:t xml:space="preserve">4. Declare local prominence signals q_u.</w:t>
      </w:r>
    </w:p>
    <w:p>
      <w:pPr>
        <w:pStyle w:val="BodyText"/>
      </w:pPr>
      <w:r>
        <w:t xml:space="preserve">5. Build w_u^PLSS from floors plus residual shares.</w:t>
      </w:r>
    </w:p>
    <w:p>
      <w:pPr>
        <w:pStyle w:val="BodyText"/>
      </w:pPr>
      <w:r>
        <w:t xml:space="preserve">6. Rank only the selectable options by RLS_PLSS.</w:t>
      </w:r>
    </w:p>
    <w:bookmarkEnd w:id="517"/>
    <w:bookmarkStart w:id="518" w:name="q86-worked-intuition-family-café"/>
    <w:p>
      <w:pPr>
        <w:pStyle w:val="Heading2"/>
      </w:pPr>
      <w:r>
        <w:rPr>
          <w:bCs/>
          <w:b/>
        </w:rPr>
        <w:t xml:space="preserve">Q.8.6 Worked intuition: family café</w:t>
      </w:r>
    </w:p>
    <w:p>
      <w:pPr>
        <w:pStyle w:val="FirstParagraph"/>
      </w:pPr>
      <w:r>
        <w:t xml:space="preserve">Example run:</w:t>
      </w:r>
    </w:p>
    <w:p>
      <w:pPr>
        <w:pStyle w:val="BodyText"/>
      </w:pPr>
      <w:r>
        <w:t xml:space="preserve">• U1 Self: 1 instance</w:t>
      </w:r>
    </w:p>
    <w:p>
      <w:pPr>
        <w:pStyle w:val="BodyText"/>
      </w:pPr>
      <w:r>
        <w:t xml:space="preserve">• U2 Household: 1 instance</w:t>
      </w:r>
    </w:p>
    <w:p>
      <w:pPr>
        <w:pStyle w:val="BodyText"/>
      </w:pPr>
      <w:r>
        <w:t xml:space="preserve">• U3 Community: 5 instances</w:t>
      </w:r>
    </w:p>
    <w:p>
      <w:pPr>
        <w:pStyle w:val="BodyText"/>
      </w:pPr>
      <w:r>
        <w:t xml:space="preserve">• U4 Organization: 2 instances</w:t>
      </w:r>
    </w:p>
    <w:p>
      <w:pPr>
        <w:pStyle w:val="BodyText"/>
      </w:pPr>
      <w:r>
        <w:t xml:space="preserve">• U5 Polity: 3 instances</w:t>
      </w:r>
    </w:p>
    <w:p>
      <w:pPr>
        <w:pStyle w:val="BodyText"/>
      </w:pPr>
      <w:r>
        <w:t xml:space="preserve">• U6 Humanity / Global Coordination: 1 instance</w:t>
      </w:r>
    </w:p>
    <w:p>
      <w:pPr>
        <w:pStyle w:val="BodyText"/>
      </w:pPr>
      <w:r>
        <w:t xml:space="preserve">• U7 Biosphere: 1 instance</w:t>
      </w:r>
    </w:p>
    <w:p>
      <w:pPr>
        <w:pStyle w:val="BodyText"/>
      </w:pPr>
      <w:r>
        <w:t xml:space="preserve">Declared q:</w:t>
      </w:r>
    </w:p>
    <w:p>
      <w:pPr>
        <w:pStyle w:val="BodyText"/>
      </w:pPr>
      <w:r>
        <w:t xml:space="preserve">(0.95, 0.85, 0.55, 0.50, 0.10, 0.03, 0.02)</w:t>
      </w:r>
    </w:p>
    <w:p>
      <w:pPr>
        <w:pStyle w:val="BodyText"/>
      </w:pPr>
      <w:r>
        <w:t xml:space="preserve">Section 13.1 floors:</w:t>
      </w:r>
    </w:p>
    <w:p>
      <w:pPr>
        <w:pStyle w:val="BodyText"/>
      </w:pPr>
      <w:r>
        <w:t xml:space="preserve">(0.20, 0.06, 0.06, 0.06, 0.08, 0.10, 0.10)</w:t>
      </w:r>
    </w:p>
    <w:p>
      <w:pPr>
        <w:pStyle w:val="BodyText"/>
      </w:pPr>
      <w:r>
        <w:t xml:space="preserve">Resulting PLSS weights:</w:t>
      </w:r>
    </w:p>
    <w:p>
      <w:pPr>
        <w:pStyle w:val="BodyText"/>
      </w:pPr>
      <w:r>
        <w:t xml:space="preserve">(0.308, 0.156, 0.122, 0.117, 0.091, 0.103, 0.102)</w:t>
      </w:r>
    </w:p>
    <w:p>
      <w:pPr>
        <w:pStyle w:val="BodyText"/>
      </w:pPr>
      <w:r>
        <w:t xml:space="preserve">Table Q-8A. PLSS café example weights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Union Scope</w:t>
            </w:r>
          </w:p>
        </w:tc>
        <w:tc>
          <w:tcPr>
            <w:shd w:val="clear" w:color="auto" w:fill="D9EAF7"/>
            <w:vAlign w:val="center"/>
          </w:tcPr>
          <w:p>
            <w:pPr>
              <w:pStyle w:val="Compact"/>
              <w:jc w:val="left"/>
            </w:pPr>
            <w:r>
              <w:rPr>
                <w:bCs/>
                <w:b/>
                <w:color w:val="17365D"/>
              </w:rPr>
              <w:t xml:space="preserve">q_u</w:t>
            </w:r>
          </w:p>
        </w:tc>
        <w:tc>
          <w:tcPr>
            <w:shd w:val="clear" w:color="auto" w:fill="D9EAF7"/>
            <w:vAlign w:val="center"/>
          </w:tcPr>
          <w:p>
            <w:pPr>
              <w:pStyle w:val="Compact"/>
              <w:jc w:val="left"/>
            </w:pPr>
            <w:r>
              <w:rPr>
                <w:bCs/>
                <w:b/>
                <w:color w:val="17365D"/>
              </w:rPr>
              <w:t xml:space="preserve">w_u^floor</w:t>
            </w:r>
          </w:p>
        </w:tc>
        <w:tc>
          <w:tcPr>
            <w:shd w:val="clear" w:color="auto" w:fill="D9EAF7"/>
            <w:vAlign w:val="center"/>
          </w:tcPr>
          <w:p>
            <w:pPr>
              <w:pStyle w:val="Compact"/>
              <w:jc w:val="left"/>
            </w:pPr>
            <w:r>
              <w:rPr>
                <w:bCs/>
                <w:b/>
                <w:color w:val="17365D"/>
              </w:rPr>
              <w:t xml:space="preserve">w_u^PLSS</w:t>
            </w:r>
          </w:p>
        </w:tc>
      </w:tr>
      <w:tr>
        <w:tc>
          <w:tcPr>
            <w:vAlign w:val="top"/>
          </w:tcPr>
          <w:p>
            <w:pPr>
              <w:pStyle w:val="Compact"/>
              <w:jc w:val="left"/>
            </w:pPr>
            <w:r>
              <w:t xml:space="preserve">U1 Self</w:t>
            </w:r>
          </w:p>
        </w:tc>
        <w:tc>
          <w:tcPr>
            <w:vAlign w:val="top"/>
          </w:tcPr>
          <w:p>
            <w:pPr>
              <w:pStyle w:val="Compact"/>
              <w:jc w:val="left"/>
            </w:pPr>
            <w:r>
              <w:t xml:space="preserve">0.95</w:t>
            </w:r>
          </w:p>
        </w:tc>
        <w:tc>
          <w:tcPr>
            <w:vAlign w:val="top"/>
          </w:tcPr>
          <w:p>
            <w:pPr>
              <w:pStyle w:val="Compact"/>
              <w:jc w:val="left"/>
            </w:pPr>
            <w:r>
              <w:t xml:space="preserve">0.20</w:t>
            </w:r>
          </w:p>
        </w:tc>
        <w:tc>
          <w:tcPr>
            <w:vAlign w:val="top"/>
          </w:tcPr>
          <w:p>
            <w:pPr>
              <w:pStyle w:val="Compact"/>
              <w:jc w:val="left"/>
            </w:pPr>
            <w:r>
              <w:t xml:space="preserve">0.308</w:t>
            </w:r>
          </w:p>
        </w:tc>
      </w:tr>
      <w:tr>
        <w:tc>
          <w:tcPr>
            <w:shd w:val="clear" w:color="auto" w:fill="F7FBFE"/>
            <w:vAlign w:val="top"/>
          </w:tcPr>
          <w:p>
            <w:pPr>
              <w:pStyle w:val="Compact"/>
              <w:jc w:val="left"/>
            </w:pPr>
            <w:r>
              <w:t xml:space="preserve">U2 Household</w:t>
            </w:r>
          </w:p>
        </w:tc>
        <w:tc>
          <w:tcPr>
            <w:shd w:val="clear" w:color="auto" w:fill="F7FBFE"/>
            <w:vAlign w:val="top"/>
          </w:tcPr>
          <w:p>
            <w:pPr>
              <w:pStyle w:val="Compact"/>
              <w:jc w:val="left"/>
            </w:pPr>
            <w:r>
              <w:t xml:space="preserve">0.85</w:t>
            </w:r>
          </w:p>
        </w:tc>
        <w:tc>
          <w:tcPr>
            <w:shd w:val="clear" w:color="auto" w:fill="F7FBFE"/>
            <w:vAlign w:val="top"/>
          </w:tcPr>
          <w:p>
            <w:pPr>
              <w:pStyle w:val="Compact"/>
              <w:jc w:val="left"/>
            </w:pPr>
            <w:r>
              <w:t xml:space="preserve">0.06</w:t>
            </w:r>
          </w:p>
        </w:tc>
        <w:tc>
          <w:tcPr>
            <w:shd w:val="clear" w:color="auto" w:fill="F7FBFE"/>
            <w:vAlign w:val="top"/>
          </w:tcPr>
          <w:p>
            <w:pPr>
              <w:pStyle w:val="Compact"/>
              <w:jc w:val="left"/>
            </w:pPr>
            <w:r>
              <w:t xml:space="preserve">0.156</w:t>
            </w:r>
          </w:p>
        </w:tc>
      </w:tr>
      <w:tr>
        <w:tc>
          <w:tcPr>
            <w:vAlign w:val="top"/>
          </w:tcPr>
          <w:p>
            <w:pPr>
              <w:pStyle w:val="Compact"/>
              <w:jc w:val="left"/>
            </w:pPr>
            <w:r>
              <w:t xml:space="preserve">U3 Community</w:t>
            </w:r>
          </w:p>
        </w:tc>
        <w:tc>
          <w:tcPr>
            <w:vAlign w:val="top"/>
          </w:tcPr>
          <w:p>
            <w:pPr>
              <w:pStyle w:val="Compact"/>
              <w:jc w:val="left"/>
            </w:pPr>
            <w:r>
              <w:t xml:space="preserve">0.55</w:t>
            </w:r>
          </w:p>
        </w:tc>
        <w:tc>
          <w:tcPr>
            <w:vAlign w:val="top"/>
          </w:tcPr>
          <w:p>
            <w:pPr>
              <w:pStyle w:val="Compact"/>
              <w:jc w:val="left"/>
            </w:pPr>
            <w:r>
              <w:t xml:space="preserve">0.06</w:t>
            </w:r>
          </w:p>
        </w:tc>
        <w:tc>
          <w:tcPr>
            <w:vAlign w:val="top"/>
          </w:tcPr>
          <w:p>
            <w:pPr>
              <w:pStyle w:val="Compact"/>
              <w:jc w:val="left"/>
            </w:pPr>
            <w:r>
              <w:t xml:space="preserve">0.122</w:t>
            </w:r>
          </w:p>
        </w:tc>
      </w:tr>
      <w:tr>
        <w:tc>
          <w:tcPr>
            <w:shd w:val="clear" w:color="auto" w:fill="F7FBFE"/>
            <w:vAlign w:val="top"/>
          </w:tcPr>
          <w:p>
            <w:pPr>
              <w:pStyle w:val="Compact"/>
              <w:jc w:val="left"/>
            </w:pPr>
            <w:r>
              <w:t xml:space="preserve">U4 Organization</w:t>
            </w:r>
          </w:p>
        </w:tc>
        <w:tc>
          <w:tcPr>
            <w:shd w:val="clear" w:color="auto" w:fill="F7FBFE"/>
            <w:vAlign w:val="top"/>
          </w:tcPr>
          <w:p>
            <w:pPr>
              <w:pStyle w:val="Compact"/>
              <w:jc w:val="left"/>
            </w:pPr>
            <w:r>
              <w:t xml:space="preserve">0.50</w:t>
            </w:r>
          </w:p>
        </w:tc>
        <w:tc>
          <w:tcPr>
            <w:shd w:val="clear" w:color="auto" w:fill="F7FBFE"/>
            <w:vAlign w:val="top"/>
          </w:tcPr>
          <w:p>
            <w:pPr>
              <w:pStyle w:val="Compact"/>
              <w:jc w:val="left"/>
            </w:pPr>
            <w:r>
              <w:t xml:space="preserve">0.06</w:t>
            </w:r>
          </w:p>
        </w:tc>
        <w:tc>
          <w:tcPr>
            <w:shd w:val="clear" w:color="auto" w:fill="F7FBFE"/>
            <w:vAlign w:val="top"/>
          </w:tcPr>
          <w:p>
            <w:pPr>
              <w:pStyle w:val="Compact"/>
              <w:jc w:val="left"/>
            </w:pPr>
            <w:r>
              <w:t xml:space="preserve">0.117</w:t>
            </w:r>
          </w:p>
        </w:tc>
      </w:tr>
      <w:tr>
        <w:tc>
          <w:tcPr>
            <w:vAlign w:val="top"/>
          </w:tcPr>
          <w:p>
            <w:pPr>
              <w:pStyle w:val="Compact"/>
              <w:jc w:val="left"/>
            </w:pPr>
            <w:r>
              <w:t xml:space="preserve">U5 Polity</w:t>
            </w:r>
          </w:p>
        </w:tc>
        <w:tc>
          <w:tcPr>
            <w:vAlign w:val="top"/>
          </w:tcPr>
          <w:p>
            <w:pPr>
              <w:pStyle w:val="Compact"/>
              <w:jc w:val="left"/>
            </w:pPr>
            <w:r>
              <w:t xml:space="preserve">0.10</w:t>
            </w:r>
          </w:p>
        </w:tc>
        <w:tc>
          <w:tcPr>
            <w:vAlign w:val="top"/>
          </w:tcPr>
          <w:p>
            <w:pPr>
              <w:pStyle w:val="Compact"/>
              <w:jc w:val="left"/>
            </w:pPr>
            <w:r>
              <w:t xml:space="preserve">0.08</w:t>
            </w:r>
          </w:p>
        </w:tc>
        <w:tc>
          <w:tcPr>
            <w:vAlign w:val="top"/>
          </w:tcPr>
          <w:p>
            <w:pPr>
              <w:pStyle w:val="Compact"/>
              <w:jc w:val="left"/>
            </w:pPr>
            <w:r>
              <w:t xml:space="preserve">0.091</w:t>
            </w:r>
          </w:p>
        </w:tc>
      </w:tr>
      <w:tr>
        <w:tc>
          <w:tcPr>
            <w:shd w:val="clear" w:color="auto" w:fill="F7FBFE"/>
            <w:vAlign w:val="top"/>
          </w:tcPr>
          <w:p>
            <w:pPr>
              <w:pStyle w:val="Compact"/>
              <w:jc w:val="left"/>
            </w:pPr>
            <w:r>
              <w:t xml:space="preserve">U6 Humanity / Global Coordination</w:t>
            </w:r>
          </w:p>
        </w:tc>
        <w:tc>
          <w:tcPr>
            <w:shd w:val="clear" w:color="auto" w:fill="F7FBFE"/>
            <w:vAlign w:val="top"/>
          </w:tcPr>
          <w:p>
            <w:pPr>
              <w:pStyle w:val="Compact"/>
              <w:jc w:val="left"/>
            </w:pPr>
            <w:r>
              <w:t xml:space="preserve">0.03</w:t>
            </w:r>
          </w:p>
        </w:tc>
        <w:tc>
          <w:tcPr>
            <w:shd w:val="clear" w:color="auto" w:fill="F7FBFE"/>
            <w:vAlign w:val="top"/>
          </w:tcPr>
          <w:p>
            <w:pPr>
              <w:pStyle w:val="Compact"/>
              <w:jc w:val="left"/>
            </w:pPr>
            <w:r>
              <w:t xml:space="preserve">0.10</w:t>
            </w:r>
          </w:p>
        </w:tc>
        <w:tc>
          <w:tcPr>
            <w:shd w:val="clear" w:color="auto" w:fill="F7FBFE"/>
            <w:vAlign w:val="top"/>
          </w:tcPr>
          <w:p>
            <w:pPr>
              <w:pStyle w:val="Compact"/>
              <w:jc w:val="left"/>
            </w:pPr>
            <w:r>
              <w:t xml:space="preserve">0.103</w:t>
            </w:r>
          </w:p>
        </w:tc>
      </w:tr>
      <w:tr>
        <w:tc>
          <w:tcPr>
            <w:vAlign w:val="top"/>
          </w:tcPr>
          <w:p>
            <w:pPr>
              <w:pStyle w:val="Compact"/>
              <w:jc w:val="left"/>
            </w:pPr>
            <w:r>
              <w:t xml:space="preserve">U7 Biosphere</w:t>
            </w:r>
          </w:p>
        </w:tc>
        <w:tc>
          <w:tcPr>
            <w:vAlign w:val="top"/>
          </w:tcPr>
          <w:p>
            <w:pPr>
              <w:pStyle w:val="Compact"/>
              <w:jc w:val="left"/>
            </w:pPr>
            <w:r>
              <w:t xml:space="preserve">0.02</w:t>
            </w:r>
          </w:p>
        </w:tc>
        <w:tc>
          <w:tcPr>
            <w:vAlign w:val="top"/>
          </w:tcPr>
          <w:p>
            <w:pPr>
              <w:pStyle w:val="Compact"/>
              <w:jc w:val="left"/>
            </w:pPr>
            <w:r>
              <w:t xml:space="preserve">0.10</w:t>
            </w:r>
          </w:p>
        </w:tc>
        <w:tc>
          <w:tcPr>
            <w:vAlign w:val="top"/>
          </w:tcPr>
          <w:p>
            <w:pPr>
              <w:pStyle w:val="Compact"/>
              <w:jc w:val="left"/>
            </w:pPr>
            <w:r>
              <w:t xml:space="preserve">0.102</w:t>
            </w:r>
          </w:p>
        </w:tc>
      </w:tr>
    </w:tbl>
    <w:p>
      <w:pPr>
        <w:pStyle w:val="BodyText"/>
      </w:pPr>
      <w:r>
        <w:t xml:space="preserve">Quick lesson</w:t>
      </w:r>
    </w:p>
    <w:p>
      <w:pPr>
        <w:pStyle w:val="BodyText"/>
      </w:pPr>
      <w:r>
        <w:t xml:space="preserve">• Self, Household, Community, and Organization get most of the residual attention.</w:t>
      </w:r>
    </w:p>
    <w:p>
      <w:pPr>
        <w:pStyle w:val="BodyText"/>
      </w:pPr>
      <w:r>
        <w:t xml:space="preserve">• Polity, Humanity / Global Coordination, and Biosphere remain present because the current constitution keeps them above zero.</w:t>
      </w:r>
    </w:p>
    <w:p>
      <w:pPr>
        <w:pStyle w:val="BodyText"/>
      </w:pPr>
      <w:r>
        <w:t xml:space="preserve">• A cheap option that creates toxic exposure or labor-abuse risk can still fail before scoring.</w:t>
      </w:r>
    </w:p>
    <w:bookmarkEnd w:id="518"/>
    <w:bookmarkStart w:id="519" w:name="q87-one-sentence-teaching-version"/>
    <w:p>
      <w:pPr>
        <w:pStyle w:val="Heading2"/>
      </w:pPr>
      <w:r>
        <w:rPr>
          <w:bCs/>
          <w:b/>
        </w:rPr>
        <w:t xml:space="preserve">Q.8.7 One-sentence teaching version</w:t>
      </w:r>
    </w:p>
    <w:p>
      <w:pPr>
        <w:pStyle w:val="FirstParagraph"/>
      </w:pPr>
      <w:r>
        <w:t xml:space="preserve">RippleLogic lets local people focus on the scopes they are actually touching, while still stopping them from solving today’s problem by exporting harm into wider systems.</w:t>
      </w:r>
    </w:p>
    <w:p>
      <w:pPr>
        <w:pStyle w:val="BodyText"/>
      </w:pPr>
      <w:r>
        <w:t xml:space="preserve">End Appendix Q.</w:t>
      </w:r>
    </w:p>
    <w:bookmarkEnd w:id="519"/>
    <w:bookmarkEnd w:id="520"/>
    <w:bookmarkStart w:id="554" w:name="X367112e409c1ffea887693768999c285cda9e7e"/>
    <w:p>
      <w:pPr>
        <w:pStyle w:val="Heading1"/>
      </w:pPr>
      <w:bookmarkStart w:id="803" w:name="mg_toc_039"/>
      <w:r>
        <w:rPr>
          <w:bCs/>
          <w:b/>
        </w:rPr>
        <w:t xml:space="preserve">APPENDIX R: TIER 1–3 REFERENCE TEST VECTORS (NORMATIVE)</w:t>
      </w:r>
      <w:bookmarkEnd w:id="803"/>
    </w:p>
    <w:p>
      <w:pPr>
        <w:pStyle w:val="FirstParagraph"/>
      </w:pPr>
      <w:r>
        <w:t xml:space="preserve">Status: Normative. These vectors reduce implementer drift for Tier 1-3 validators. They instantiate existing rules and expected outcomes without adding new rules.</w:t>
      </w:r>
    </w:p>
    <w:p>
      <w:pPr>
        <w:pStyle w:val="BodyText"/>
      </w:pPr>
      <w:r>
        <w:t xml:space="preserve">Conformance rule (Normative). Any implementation claiming v12.6 conformance MUST reproduce the expected outputs for Appendix R vectors when executed with the stated inputs.</w:t>
      </w:r>
    </w:p>
    <w:bookmarkStart w:id="521" w:name="Xc628f7f632ae8bd7ece4d9eb7db8a52c947e2a6"/>
    <w:p>
      <w:pPr>
        <w:pStyle w:val="Heading2"/>
      </w:pPr>
      <w:r>
        <w:rPr>
          <w:bCs/>
          <w:b/>
        </w:rPr>
        <w:t xml:space="preserve">R.1 NCRC floor-reference gating sanity check (baseline vs floors)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Purpose</w:t>
            </w:r>
          </w:p>
        </w:tc>
        <w:tc>
          <w:tcPr>
            <w:shd w:val="clear" w:color="auto" w:fill="D9EAF7"/>
            <w:vAlign w:val="center"/>
          </w:tcPr>
          <w:p>
            <w:pPr>
              <w:pStyle w:val="Compact"/>
              <w:jc w:val="left"/>
            </w:pPr>
            <w:r>
              <w:rPr>
                <w:bCs/>
                <w:b/>
                <w:color w:val="17365D"/>
              </w:rPr>
              <w:t xml:space="preserve">Ensure a rights-covered cell cannot pass NCRC by maintaining an ongoing violation when BaselineType_Gates = FLOOR_REFERENCE.</w:t>
            </w:r>
          </w:p>
        </w:tc>
      </w:tr>
      <w:tr>
        <w:tc>
          <w:tcPr>
            <w:vAlign w:val="top"/>
          </w:tcPr>
          <w:p>
            <w:pPr>
              <w:pStyle w:val="Compact"/>
              <w:jc w:val="left"/>
            </w:pPr>
            <w:r>
              <w:t xml:space="preserve">Setup</w:t>
            </w:r>
          </w:p>
        </w:tc>
        <w:tc>
          <w:tcPr>
            <w:vAlign w:val="top"/>
          </w:tcPr>
          <w:p>
            <w:pPr>
              <w:pStyle w:val="Compact"/>
              <w:jc w:val="left"/>
            </w:pPr>
            <w:r>
              <w:t xml:space="preserve">Single rights-covered cell (u=U₁, d=Health) covered by BODY with threshold θ_BODY = −0.70. BaselineType_Gates = FLOOR_REFERENCE.</w:t>
            </w:r>
          </w:p>
        </w:tc>
      </w:tr>
      <w:tr>
        <w:tc>
          <w:tcPr>
            <w:shd w:val="clear" w:color="auto" w:fill="F7FBFE"/>
            <w:vAlign w:val="top"/>
          </w:tcPr>
          <w:p>
            <w:pPr>
              <w:pStyle w:val="Compact"/>
              <w:jc w:val="left"/>
            </w:pPr>
            <w:r>
              <w:t xml:space="preserve">Option A</w:t>
            </w:r>
          </w:p>
        </w:tc>
        <w:tc>
          <w:tcPr>
            <w:shd w:val="clear" w:color="auto" w:fill="F7FBFE"/>
            <w:vAlign w:val="top"/>
          </w:tcPr>
          <w:p>
            <w:pPr>
              <w:pStyle w:val="Compact"/>
              <w:jc w:val="left"/>
            </w:pPr>
            <w:r>
              <w:t xml:space="preserve">I_RF_base(rights cell, BODY) = −0.71 (below θ_BODY).</w:t>
            </w:r>
          </w:p>
        </w:tc>
      </w:tr>
      <w:tr>
        <w:tc>
          <w:tcPr>
            <w:vAlign w:val="top"/>
          </w:tcPr>
          <w:p>
            <w:pPr>
              <w:pStyle w:val="Compact"/>
              <w:jc w:val="left"/>
            </w:pPr>
            <w:r>
              <w:t xml:space="preserve">Option B</w:t>
            </w:r>
          </w:p>
        </w:tc>
        <w:tc>
          <w:tcPr>
            <w:vAlign w:val="top"/>
          </w:tcPr>
          <w:p>
            <w:pPr>
              <w:pStyle w:val="Compact"/>
              <w:jc w:val="left"/>
            </w:pPr>
            <w:r>
              <w:t xml:space="preserve">I_RF_base(rights cell, BODY) = −0.69 (above θ_BODY).</w:t>
            </w:r>
          </w:p>
        </w:tc>
      </w:tr>
      <w:tr>
        <w:tc>
          <w:tcPr>
            <w:shd w:val="clear" w:color="auto" w:fill="F7FBFE"/>
            <w:vAlign w:val="top"/>
          </w:tcPr>
          <w:p>
            <w:pPr>
              <w:pStyle w:val="Compact"/>
              <w:jc w:val="left"/>
            </w:pPr>
            <w:r>
              <w:t xml:space="preserve">Expected NCRC</w:t>
            </w:r>
          </w:p>
        </w:tc>
        <w:tc>
          <w:tcPr>
            <w:shd w:val="clear" w:color="auto" w:fill="F7FBFE"/>
            <w:vAlign w:val="top"/>
          </w:tcPr>
          <w:p>
            <w:pPr>
              <w:pStyle w:val="Compact"/>
              <w:jc w:val="left"/>
            </w:pPr>
            <w:r>
              <w:t xml:space="preserve">Option A FAILS NCRC (inadmissible). Option B PASSES NCRC (admissible).</w:t>
            </w:r>
          </w:p>
        </w:tc>
      </w:tr>
      <w:tr>
        <w:tc>
          <w:tcPr>
            <w:vAlign w:val="top"/>
          </w:tcPr>
          <w:p>
            <w:pPr>
              <w:pStyle w:val="Compact"/>
              <w:jc w:val="left"/>
            </w:pPr>
            <w:r>
              <w:t xml:space="preserve">Notes</w:t>
            </w:r>
          </w:p>
        </w:tc>
        <w:tc>
          <w:tcPr>
            <w:vAlign w:val="top"/>
          </w:tcPr>
          <w:p>
            <w:pPr>
              <w:pStyle w:val="Compact"/>
              <w:jc w:val="left"/>
            </w:pPr>
            <w:r>
              <w:t xml:space="preserve">Independent of welfare/RLS scoring; validates gating on absolute floor reference for C_r/C_cat cells.</w:t>
            </w:r>
          </w:p>
        </w:tc>
      </w:tr>
    </w:tbl>
    <w:bookmarkEnd w:id="521"/>
    <w:bookmarkStart w:id="522" w:name="r1a-trc_not_triggered-qualification-test"/>
    <w:p>
      <w:pPr>
        <w:pStyle w:val="Heading2"/>
      </w:pPr>
      <w:r>
        <w:rPr>
          <w:bCs/>
          <w:b/>
        </w:rPr>
        <w:t xml:space="preserve">R.1A TRC_NOT_TRIGGERED qualification test</w:t>
      </w:r>
    </w:p>
    <w:p>
      <w:pPr>
        <w:pStyle w:val="FirstParagraph"/>
      </w:pPr>
      <w:r>
        <w:t xml:space="preserve">Inputs: a Tier 1 or Tier 2 option with a complete catastrophe-relevance assessment addressing every Section 8.1.1 trigger; no trigger is plausible inside the declared evidence boundary; reviewer status and reopen triggers are recorded. Expected output:</w:t>
      </w:r>
      <w:r>
        <w:t xml:space="preserve"> </w:t>
      </w:r>
      <w:r>
        <w:rPr>
          <w:rStyle w:val="VerbatimChar"/>
        </w:rPr>
        <w:t xml:space="preserve">TRC_NOT_TRIGGERED</w:t>
      </w:r>
      <w:r>
        <w:t xml:space="preserve">; no CVaR value is fabricated; the option may proceed to CSV if RG and RF/NCRC permit. FAIL case: the same token is emitted without the assessment, evidence boundary, or reopen triggers. Conformance result: PASS only if the complete case qualifies and the incomplete case is rejected.</w:t>
      </w:r>
    </w:p>
    <w:bookmarkEnd w:id="522"/>
    <w:bookmarkStart w:id="523" w:name="X88b76b7a585191bec937cd66b51bb38665dc1b2"/>
    <w:p>
      <w:pPr>
        <w:pStyle w:val="Heading2"/>
      </w:pPr>
      <w:r>
        <w:rPr>
          <w:bCs/>
          <w:b/>
        </w:rPr>
        <w:t xml:space="preserve">R.1B Catastrophe-profile non-dilution test</w:t>
      </w:r>
    </w:p>
    <w:p>
      <w:pPr>
        <w:pStyle w:val="FirstParagraph"/>
      </w:pPr>
      <w:r>
        <w:t xml:space="preserve">Inputs: an unchanged base catastrophe loss and a newly activated governance-lock extension containing zero loss in the tested scenario. Expected output: the base-profile loss and CVaR remain unchanged after the extension is activated; the extension is evaluated separately; a base-profile failure cannot become a pass through extension-weight renormalization. Conformance result: FAIL if adding extension cells lowers the base-profile result or rescues its failure.</w:t>
      </w:r>
    </w:p>
    <w:bookmarkEnd w:id="523"/>
    <w:bookmarkStart w:id="524" w:name="Xec0ec3989c601c626a3d1b6c28f1f602074538d"/>
    <w:p>
      <w:pPr>
        <w:pStyle w:val="Heading2"/>
      </w:pPr>
      <w:r>
        <w:rPr>
          <w:bCs/>
          <w:b/>
        </w:rPr>
        <w:t xml:space="preserve">R.2 TRC CVaR discrete edge case (exact tail-mass boundary)</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Purpose</w:t>
            </w:r>
          </w:p>
        </w:tc>
        <w:tc>
          <w:tcPr>
            <w:shd w:val="clear" w:color="auto" w:fill="D9EAF7"/>
            <w:vAlign w:val="center"/>
          </w:tcPr>
          <w:p>
            <w:pPr>
              <w:pStyle w:val="Compact"/>
              <w:jc w:val="left"/>
            </w:pPr>
            <w:r>
              <w:rPr>
                <w:bCs/>
                <w:b/>
                <w:color w:val="17365D"/>
              </w:rPr>
              <w:t xml:space="preserve">Verify Appendix D.7 discrete CVaR when the tail probability mass boundary is met exactly.</w:t>
            </w:r>
          </w:p>
        </w:tc>
      </w:tr>
      <w:tr>
        <w:tc>
          <w:tcPr>
            <w:vAlign w:val="top"/>
          </w:tcPr>
          <w:p>
            <w:pPr>
              <w:pStyle w:val="Compact"/>
              <w:jc w:val="left"/>
            </w:pPr>
            <w:r>
              <w:t xml:space="preserve">Setup</w:t>
            </w:r>
          </w:p>
        </w:tc>
        <w:tc>
          <w:tcPr>
            <w:vAlign w:val="top"/>
          </w:tcPr>
          <w:p>
            <w:pPr>
              <w:pStyle w:val="Compact"/>
              <w:jc w:val="left"/>
            </w:pPr>
            <w:r>
              <w:t xml:space="preserve">Tail level α = 0.90 (tail mass = 0.10). Loss L(a,s) computed per Section 8.4 from catastrophe cells.</w:t>
            </w:r>
          </w:p>
        </w:tc>
      </w:tr>
      <w:tr>
        <w:tc>
          <w:tcPr>
            <w:shd w:val="clear" w:color="auto" w:fill="F7FBFE"/>
            <w:vAlign w:val="top"/>
          </w:tcPr>
          <w:p>
            <w:pPr>
              <w:pStyle w:val="Compact"/>
              <w:jc w:val="left"/>
            </w:pPr>
            <w:r>
              <w:t xml:space="preserve">Scenario set</w:t>
            </w:r>
          </w:p>
        </w:tc>
        <w:tc>
          <w:tcPr>
            <w:shd w:val="clear" w:color="auto" w:fill="F7FBFE"/>
            <w:vAlign w:val="top"/>
          </w:tcPr>
          <w:p>
            <w:pPr>
              <w:pStyle w:val="Compact"/>
              <w:jc w:val="left"/>
            </w:pPr>
            <w:r>
              <w:t xml:space="preserve">scenario 1: p=0.90, L=0.00; scenario 2: p=0.10, L=1.00.</w:t>
            </w:r>
          </w:p>
        </w:tc>
      </w:tr>
      <w:tr>
        <w:tc>
          <w:tcPr>
            <w:vAlign w:val="top"/>
          </w:tcPr>
          <w:p>
            <w:pPr>
              <w:pStyle w:val="Compact"/>
              <w:jc w:val="left"/>
            </w:pPr>
            <w:r>
              <w:t xml:space="preserve">Expected VaR_α</w:t>
            </w:r>
          </w:p>
        </w:tc>
        <w:tc>
          <w:tcPr>
            <w:vAlign w:val="top"/>
          </w:tcPr>
          <w:p>
            <w:pPr>
              <w:pStyle w:val="Compact"/>
              <w:jc w:val="left"/>
            </w:pPr>
            <w:r>
              <w:t xml:space="preserve">VaR_0.90 = 0.00.</w:t>
            </w:r>
          </w:p>
        </w:tc>
      </w:tr>
      <w:tr>
        <w:tc>
          <w:tcPr>
            <w:shd w:val="clear" w:color="auto" w:fill="F7FBFE"/>
            <w:vAlign w:val="top"/>
          </w:tcPr>
          <w:p>
            <w:pPr>
              <w:pStyle w:val="Compact"/>
              <w:jc w:val="left"/>
            </w:pPr>
            <w:r>
              <w:t xml:space="preserve">Expected CVaR_α</w:t>
            </w:r>
          </w:p>
        </w:tc>
        <w:tc>
          <w:tcPr>
            <w:shd w:val="clear" w:color="auto" w:fill="F7FBFE"/>
            <w:vAlign w:val="top"/>
          </w:tcPr>
          <w:p>
            <w:pPr>
              <w:pStyle w:val="Compact"/>
              <w:jc w:val="left"/>
            </w:pPr>
            <w:r>
              <w:t xml:space="preserve">CVaR_0.90 = 1.00.</w:t>
            </w:r>
          </w:p>
        </w:tc>
      </w:tr>
      <w:tr>
        <w:tc>
          <w:tcPr>
            <w:vAlign w:val="top"/>
          </w:tcPr>
          <w:p>
            <w:pPr>
              <w:pStyle w:val="Compact"/>
              <w:jc w:val="left"/>
            </w:pPr>
            <w:r>
              <w:t xml:space="preserve">Expected TRC</w:t>
            </w:r>
          </w:p>
        </w:tc>
        <w:tc>
          <w:tcPr>
            <w:vAlign w:val="top"/>
          </w:tcPr>
          <w:p>
            <w:pPr>
              <w:pStyle w:val="Compact"/>
              <w:jc w:val="left"/>
            </w:pPr>
            <w:r>
              <w:t xml:space="preserve">If τ_TRC = 0.10, then CVaR=1.00 &gt; 0.10 so option FAILS TRC.</w:t>
            </w:r>
          </w:p>
        </w:tc>
      </w:tr>
      <w:tr>
        <w:tc>
          <w:tcPr>
            <w:shd w:val="clear" w:color="auto" w:fill="F7FBFE"/>
            <w:vAlign w:val="top"/>
          </w:tcPr>
          <w:p>
            <w:pPr>
              <w:pStyle w:val="Compact"/>
              <w:jc w:val="left"/>
            </w:pPr>
            <w:r>
              <w:t xml:space="preserve">Notes</w:t>
            </w:r>
          </w:p>
        </w:tc>
        <w:tc>
          <w:tcPr>
            <w:shd w:val="clear" w:color="auto" w:fill="F7FBFE"/>
            <w:vAlign w:val="top"/>
          </w:tcPr>
          <w:p>
            <w:pPr>
              <w:pStyle w:val="Compact"/>
              <w:jc w:val="left"/>
            </w:pPr>
            <w:r>
              <w:t xml:space="preserve">Any implementation returning CVaR=0.10 or averaging across non-tail mass is incorrect.</w:t>
            </w:r>
          </w:p>
        </w:tc>
      </w:tr>
    </w:tbl>
    <w:bookmarkEnd w:id="524"/>
    <w:bookmarkStart w:id="525" w:name="X1380f952252738c209682729ce84c7ba12c66f8"/>
    <w:p>
      <w:pPr>
        <w:pStyle w:val="Heading2"/>
      </w:pPr>
      <w:r>
        <w:rPr>
          <w:bCs/>
          <w:b/>
        </w:rPr>
        <w:t xml:space="preserve">R.3 Non-maskable rights/catastrophe invalidation test (masking trigger)</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Purpose</w:t>
            </w:r>
          </w:p>
        </w:tc>
        <w:tc>
          <w:tcPr>
            <w:shd w:val="clear" w:color="auto" w:fill="D9EAF7"/>
            <w:vAlign w:val="center"/>
          </w:tcPr>
          <w:p>
            <w:pPr>
              <w:pStyle w:val="Compact"/>
              <w:jc w:val="left"/>
            </w:pPr>
            <w:r>
              <w:rPr>
                <w:bCs/>
                <w:b/>
                <w:color w:val="17365D"/>
              </w:rPr>
              <w:t xml:space="preserve">Ensure validators reject any run that masks a non-maskable cell (rights or catastrophe) in RLS aggregation.</w:t>
            </w:r>
          </w:p>
        </w:tc>
      </w:tr>
      <w:tr>
        <w:tc>
          <w:tcPr>
            <w:vAlign w:val="top"/>
          </w:tcPr>
          <w:p>
            <w:pPr>
              <w:pStyle w:val="Compact"/>
              <w:jc w:val="left"/>
            </w:pPr>
            <w:r>
              <w:t xml:space="preserve">Setup</w:t>
            </w:r>
          </w:p>
        </w:tc>
        <w:tc>
          <w:tcPr>
            <w:vAlign w:val="top"/>
          </w:tcPr>
          <w:p>
            <w:pPr>
              <w:pStyle w:val="Compact"/>
              <w:jc w:val="left"/>
            </w:pPr>
            <w:r>
              <w:t xml:space="preserve">Using the canonical rights coverage sets (Appendix C.2), select any rights-covered cell (for example, (u=U₁, d=Health), which is covered by BODY). In the PCC applicability mask, declare m(u,d)=0 for that same rights-covered cell.</w:t>
            </w:r>
          </w:p>
        </w:tc>
      </w:tr>
      <w:tr>
        <w:tc>
          <w:tcPr>
            <w:shd w:val="clear" w:color="auto" w:fill="F7FBFE"/>
            <w:vAlign w:val="top"/>
          </w:tcPr>
          <w:p>
            <w:pPr>
              <w:pStyle w:val="Compact"/>
              <w:jc w:val="left"/>
            </w:pPr>
            <w:r>
              <w:t xml:space="preserve">Expected audit flag</w:t>
            </w:r>
          </w:p>
        </w:tc>
        <w:tc>
          <w:tcPr>
            <w:shd w:val="clear" w:color="auto" w:fill="F7FBFE"/>
            <w:vAlign w:val="top"/>
          </w:tcPr>
          <w:p>
            <w:pPr>
              <w:pStyle w:val="Compact"/>
              <w:jc w:val="left"/>
            </w:pPr>
            <w:r>
              <w:t xml:space="preserve">RIGHTS_CELL_MASKED_INVALID MUST be set.</w:t>
            </w:r>
          </w:p>
        </w:tc>
      </w:tr>
      <w:tr>
        <w:tc>
          <w:tcPr>
            <w:vAlign w:val="top"/>
          </w:tcPr>
          <w:p>
            <w:pPr>
              <w:pStyle w:val="Compact"/>
              <w:jc w:val="left"/>
            </w:pPr>
            <w:r>
              <w:t xml:space="preserve">Expected PCC status</w:t>
            </w:r>
          </w:p>
        </w:tc>
        <w:tc>
          <w:tcPr>
            <w:vAlign w:val="top"/>
          </w:tcPr>
          <w:p>
            <w:pPr>
              <w:pStyle w:val="Compact"/>
              <w:jc w:val="left"/>
            </w:pPr>
            <w:r>
              <w:t xml:space="preserve">PCC is INVALID.</w:t>
            </w:r>
          </w:p>
        </w:tc>
      </w:tr>
      <w:tr>
        <w:tc>
          <w:tcPr>
            <w:shd w:val="clear" w:color="auto" w:fill="F7FBFE"/>
            <w:vAlign w:val="top"/>
          </w:tcPr>
          <w:p>
            <w:pPr>
              <w:pStyle w:val="Compact"/>
              <w:jc w:val="left"/>
            </w:pPr>
            <w:r>
              <w:t xml:space="preserve">Expected conformance</w:t>
            </w:r>
          </w:p>
        </w:tc>
        <w:tc>
          <w:tcPr>
            <w:shd w:val="clear" w:color="auto" w:fill="F7FBFE"/>
            <w:vAlign w:val="top"/>
          </w:tcPr>
          <w:p>
            <w:pPr>
              <w:pStyle w:val="Compact"/>
              <w:jc w:val="left"/>
            </w:pPr>
            <w:r>
              <w:t xml:space="preserve">Tier 1-3 conformance claim MUST fail; the validator MUST reject.</w:t>
            </w:r>
          </w:p>
        </w:tc>
      </w:tr>
      <w:tr>
        <w:tc>
          <w:tcPr>
            <w:vAlign w:val="top"/>
          </w:tcPr>
          <w:p>
            <w:pPr>
              <w:pStyle w:val="Compact"/>
              <w:jc w:val="left"/>
            </w:pPr>
            <w:r>
              <w:t xml:space="preserve">Notes</w:t>
            </w:r>
          </w:p>
        </w:tc>
        <w:tc>
          <w:tcPr>
            <w:vAlign w:val="top"/>
          </w:tcPr>
          <w:p>
            <w:pPr>
              <w:pStyle w:val="Compact"/>
              <w:jc w:val="left"/>
            </w:pPr>
            <w:r>
              <w:t xml:space="preserve">Apply analogously for CATASTROPHE_CELL_MASKED_INVALID when masking any cell in C_cat.</w:t>
            </w:r>
          </w:p>
        </w:tc>
      </w:tr>
    </w:tbl>
    <w:bookmarkEnd w:id="525"/>
    <w:bookmarkStart w:id="526" w:name="r4-plss-floor-preservation-test"/>
    <w:p>
      <w:pPr>
        <w:pStyle w:val="Heading2"/>
      </w:pPr>
      <w:r>
        <w:rPr>
          <w:bCs/>
          <w:b/>
        </w:rPr>
        <w:t xml:space="preserve">R.4 PLSS floor-preservation test.</w:t>
      </w:r>
    </w:p>
    <w:p>
      <w:pPr>
        <w:pStyle w:val="FirstParagraph"/>
      </w:pPr>
      <w:r>
        <w:t xml:space="preserve">Inputs: constitutional floors = (0.20, 0.06, 0.06, 0.06, 0.08, 0.10, 0.10); declared q = (0.95, 0.85, 0.55, 0.50, 0.10, 0.03, 0.02); operator =</w:t>
      </w:r>
      <w:r>
        <w:t xml:space="preserve"> </w:t>
      </w:r>
      <w:r>
        <w:rPr>
          <w:rStyle w:val="VerbatimChar"/>
        </w:rPr>
        <w:t xml:space="preserve">OTHER_DECLARED: DIRECT_Q_NORMALIZATION_V1</w:t>
      </w:r>
      <w:r>
        <w:t xml:space="preserve">, which normalizes the declared q vector directly; residual mass = 0.34. Expected output: w^PLSS ≈ (0.308, 0.156, 0.122, 0.117, 0.091, 0.103, 0.102) with sum = 1.000 (±0.001) and each component ≥ its floor. Expected flags: none. Conformance result: PASS only if both floor-preservation and normalization hold.</w:t>
      </w:r>
    </w:p>
    <w:bookmarkEnd w:id="526"/>
    <w:bookmarkStart w:id="527" w:name="r5-plss-admissibility-invariance-test"/>
    <w:p>
      <w:pPr>
        <w:pStyle w:val="Heading2"/>
      </w:pPr>
      <w:r>
        <w:rPr>
          <w:bCs/>
          <w:b/>
        </w:rPr>
        <w:t xml:space="preserve">R.5 PLSS admissibility-invariance test.</w:t>
      </w:r>
    </w:p>
    <w:p>
      <w:pPr>
        <w:pStyle w:val="FirstParagraph"/>
      </w:pPr>
      <w:r>
        <w:t xml:space="preserve">Inputs: a fixed option set with unchanged RF/NCRC, TRC, and CSV inputs; run the same case twice using two valid PLSS prominence vectors q_A and q_B that produce different w^PLSS vectors. Expected output: NCRC(a), TRC(a), and Containment(a) remain identical across the two runs for every option; only RLS ranking may change among already selectable options. Expected flags: none. Conformance result: PASS only if admissibility and selectability sets are invariant.</w:t>
      </w:r>
    </w:p>
    <w:bookmarkEnd w:id="527"/>
    <w:bookmarkStart w:id="528" w:name="r6-plss-all-zero-q_u-fallback-test"/>
    <w:p>
      <w:pPr>
        <w:pStyle w:val="Heading2"/>
      </w:pPr>
      <w:r>
        <w:rPr>
          <w:bCs/>
          <w:b/>
        </w:rPr>
        <w:t xml:space="preserve">R.6 PLSS all-zero q_u fallback test.</w:t>
      </w:r>
    </w:p>
    <w:p>
      <w:pPr>
        <w:pStyle w:val="FirstParagraph"/>
      </w:pPr>
      <w:r>
        <w:t xml:space="preserve">Inputs: q = (0,0,0,0,0,0,0), constitutional floors as in R.4, no alternative fallback declared. Expected output: the residual 0.34 is allocated uniformly, producing w^PLSS ≈ (0.2486, 0.1086, 0.1086, 0.1086, 0.1286, 0.1486, 0.1486), sum = 1.000 (±0.001). Expected flags: none. Conformance result: PASS only if uniform residual fallback is applied or a governed alternative fallback is explicitly declared.</w:t>
      </w:r>
    </w:p>
    <w:bookmarkEnd w:id="528"/>
    <w:bookmarkStart w:id="529" w:name="X1607101d38ac88e12081f14fa5cb7416383ed10"/>
    <w:p>
      <w:pPr>
        <w:pStyle w:val="Heading2"/>
      </w:pPr>
      <w:r>
        <w:rPr>
          <w:bCs/>
          <w:b/>
        </w:rPr>
        <w:t xml:space="preserve">R.7 Reduced-scope attestation pass/fail test.</w:t>
      </w:r>
    </w:p>
    <w:p>
      <w:pPr>
        <w:pStyle w:val="FirstParagraph"/>
      </w:pPr>
      <w:r>
        <w:t xml:space="preserve">Inputs: Mode = REDUCED_SCOPE with fewer than 7 active scopes. PASS case requires Scope Coverage Declaration, blind-spot statement, escalation triggers, and all three Admissibility Attestation booleans present with required values. FAIL case omits one required attestation or blind-spot statement. Expected output: PASS case may continue; FAIL case is non-conformant and MUST trigger the relevant reduced-scope integrity response.</w:t>
      </w:r>
    </w:p>
    <w:bookmarkEnd w:id="529"/>
    <w:bookmarkStart w:id="530" w:name="r8-gate-critical-unknown-handling-test"/>
    <w:p>
      <w:pPr>
        <w:pStyle w:val="Heading2"/>
      </w:pPr>
      <w:r>
        <w:rPr>
          <w:bCs/>
          <w:b/>
        </w:rPr>
        <w:t xml:space="preserve">R.8 Gate-critical unknown handling test.</w:t>
      </w:r>
    </w:p>
    <w:p>
      <w:pPr>
        <w:pStyle w:val="FirstParagraph"/>
      </w:pPr>
      <w:r>
        <w:t xml:space="preserve">Inputs: (A) UNKNOWN_IMPACT in a rights-covered cell in C_r; (B) UNKNOWN_IMPACT in a catastrophe-covered cell in C_cat. Expected output: phantom fallback alone is prohibited. The PCC must record the corresponding audit flag plus either a governed conservative bound or a rerun / downgrade / escalation disposition. Expected flags: RIGHTS_CELL_UNKNOWN_GATE_CRITICAL for case A; CATASTROPHE_CELL_UNKNOWN_GATE_CRITICAL for case B. Conformance result: FAIL if gate resolution is attempted through phantom fallback alone.</w:t>
      </w:r>
    </w:p>
    <w:bookmarkEnd w:id="530"/>
    <w:bookmarkStart w:id="531" w:name="X46f4250c53acd996758f86db6d551977d58c370"/>
    <w:p>
      <w:pPr>
        <w:pStyle w:val="Heading2"/>
      </w:pPr>
      <w:r>
        <w:rPr>
          <w:bCs/>
          <w:b/>
        </w:rPr>
        <w:t xml:space="preserve">R.9 Non-maskable floor-baseline persistence test.</w:t>
      </w:r>
    </w:p>
    <w:p>
      <w:pPr>
        <w:pStyle w:val="FirstParagraph"/>
      </w:pPr>
      <w:r>
        <w:t xml:space="preserve">Inputs: a rights or catastrophe cell remains in RLS aggregation under the non-maskable persistence rule. PASS case uses floor-reference baseline in welfare scoring or declares a governed dual-baseline exception block. FAIL case uses only status-quo welfare baseline with no governed exception. Expected output: PASS case accepted; FAIL case rejected as non-conformant.</w:t>
      </w:r>
    </w:p>
    <w:bookmarkEnd w:id="531"/>
    <w:bookmarkStart w:id="532" w:name="r10-plss-validator-disclosure-test"/>
    <w:p>
      <w:pPr>
        <w:pStyle w:val="Heading2"/>
      </w:pPr>
      <w:r>
        <w:rPr>
          <w:bCs/>
          <w:b/>
        </w:rPr>
        <w:t xml:space="preserve">R.10 PLSS validator disclosure test.</w:t>
      </w:r>
    </w:p>
    <w:p>
      <w:pPr>
        <w:pStyle w:val="FirstParagraph"/>
      </w:pPr>
      <w:r>
        <w:t xml:space="preserve">Inputs: a PLSS run with q_u, operator, PCC.PLSS block, and escalation review present. PASS case includes q_u for all scopes, operator declaration, LSS declaration, weight vector, binary posture classification, escalation-trigger assessment, and fallback declaration. FAIL case omits any required field or uses undefined posture vocabulary. Conformance result: PASS only if the full PCC.PLSS disclosure surface is present and internally consistent.</w:t>
      </w:r>
    </w:p>
    <w:bookmarkEnd w:id="532"/>
    <w:bookmarkStart w:id="533" w:name="X2a3ff26b54bb788803fddd27cd4802160153849"/>
    <w:p>
      <w:pPr>
        <w:pStyle w:val="Heading2"/>
      </w:pPr>
      <w:r>
        <w:rPr>
          <w:bCs/>
          <w:b/>
        </w:rPr>
        <w:t xml:space="preserve">R.11 Normative input provenance enforcement test.</w:t>
      </w:r>
    </w:p>
    <w:p>
      <w:pPr>
        <w:pStyle w:val="FirstParagraph"/>
      </w:pPr>
      <w:r>
        <w:t xml:space="preserve">Inputs: a run in which an enabling condition or rights-relevant state materially affects admissibility or selection, but no corresponding PCC.NormativeInputRegister entry is present.</w:t>
      </w:r>
    </w:p>
    <w:p>
      <w:pPr>
        <w:pStyle w:val="BodyText"/>
      </w:pPr>
      <w:r>
        <w:t xml:space="preserve">Expected output: validator sets NORMATIVE_INPUT_PROVENANCE_MISSING and rejects the run as non-conformant.</w:t>
      </w:r>
    </w:p>
    <w:p>
      <w:pPr>
        <w:pStyle w:val="BodyText"/>
      </w:pPr>
      <w:r>
        <w:t xml:space="preserve">PASS case: the same run includes a complete NormativeInputRegister entry with evidence basis, affected objects, and, where applicable, precautionary or governed interpretation basis.</w:t>
      </w:r>
    </w:p>
    <w:p>
      <w:pPr>
        <w:pStyle w:val="BodyText"/>
      </w:pPr>
      <w:r>
        <w:t xml:space="preserve">Conformance result: PASS only if the validator distinguishes the complete and incomplete cases correctly.</w:t>
      </w:r>
    </w:p>
    <w:bookmarkEnd w:id="533"/>
    <w:bookmarkStart w:id="534" w:name="r12-sgp-v85-human-fpp-recognition-test"/>
    <w:p>
      <w:pPr>
        <w:pStyle w:val="Heading2"/>
      </w:pPr>
      <w:r>
        <w:rPr>
          <w:bCs/>
          <w:b/>
        </w:rPr>
        <w:t xml:space="preserve">R.12 SGP v8.5 human FPP recognition test.</w:t>
      </w:r>
    </w:p>
    <w:p>
      <w:pPr>
        <w:pStyle w:val="FirstParagraph"/>
      </w:pPr>
      <w:r>
        <w:t xml:space="preserve">Inputs: stakeholder instance k is a human person H; FPP(H)=1; MPS may be NOT EVALUATED. Expected output: RippleLogic uses Welfare interval [1.0,1.0]; Base stream remains h_{k,base}:=1.0 and the human welfare stream remains h_{k,welfare}:=1.0; no admissibility layer is altered. PASS only if no performance or missing-MPS result downgrades protection.</w:t>
      </w:r>
    </w:p>
    <w:bookmarkEnd w:id="534"/>
    <w:bookmarkStart w:id="535" w:name="X74556ff128a0aa59b4e7977b71a55e847cf6aaa"/>
    <w:p>
      <w:pPr>
        <w:pStyle w:val="Heading2"/>
      </w:pPr>
      <w:r>
        <w:rPr>
          <w:bCs/>
          <w:b/>
        </w:rPr>
        <w:t xml:space="preserve">R.12A humanity collective RMCP-P100 non-collapse test.</w:t>
      </w:r>
    </w:p>
    <w:p>
      <w:pPr>
        <w:pStyle w:val="FirstParagraph"/>
      </w:pPr>
      <w:r>
        <w:t xml:space="preserve">Inputs: humanity is evaluated as a collective RMCP-P100 calibration anchor; an individual human has unknown or limited individual ICP/RMCP; no SPR or lawful mandate is supplied. Expected output: every human retains FPP-100; the collective RMCP record remains informative; no individual-capacity inflation, CMIU membership, command authority, or role assignment is inferred. PASS only if the dual-anchor distinction is preserved.</w:t>
      </w:r>
    </w:p>
    <w:bookmarkEnd w:id="535"/>
    <w:bookmarkStart w:id="536" w:name="r12b-open-cross-substrate-p100-test"/>
    <w:p>
      <w:pPr>
        <w:pStyle w:val="Heading2"/>
      </w:pPr>
      <w:r>
        <w:rPr>
          <w:bCs/>
          <w:b/>
        </w:rPr>
        <w:t xml:space="preserve">R.12B open cross-substrate P100 test.</w:t>
      </w:r>
    </w:p>
    <w:p>
      <w:pPr>
        <w:pStyle w:val="FirstParagraph"/>
      </w:pPr>
      <w:r>
        <w:t xml:space="preserve">Inputs: a biological, digital, hybrid, collective, or extraterrestrial candidate has a valid RMCP profile at least functionally equivalent to the human collective anchor, with independent review and critical-dimension floors satisfied. Expected output: P100 MAY be assigned without human-likeness requirements; the candidate does not receive FPP, CMIU membership, or authority solely from P100; superior capacity remains represented inside P100 rather than creating a 101 caste. PASS only if the plateau is open and non-dominating.</w:t>
      </w:r>
    </w:p>
    <w:bookmarkEnd w:id="536"/>
    <w:bookmarkStart w:id="537" w:name="r13-high-mps--low-gpr-separation-test"/>
    <w:p>
      <w:pPr>
        <w:pStyle w:val="Heading2"/>
      </w:pPr>
      <w:r>
        <w:rPr>
          <w:bCs/>
          <w:b/>
        </w:rPr>
        <w:t xml:space="preserve">R.13 High MPS / low GPR separation test.</w:t>
      </w:r>
    </w:p>
    <w:p>
      <w:pPr>
        <w:pStyle w:val="FirstParagraph"/>
      </w:pPr>
      <w:r>
        <w:t xml:space="preserve">Inputs: valid SGP record reports MPS-3 interval [0.60,0.79], GPR-1, no SPR role. Expected output: strong welfare and integrity protection;</w:t>
      </w:r>
      <w:r>
        <w:t xml:space="preserve"> </w:t>
      </w:r>
      <w:r>
        <w:rPr>
          <w:rStyle w:val="VerbatimChar"/>
        </w:rPr>
        <w:t xml:space="preserve">h=1</w:t>
      </w:r>
      <w:r>
        <w:t xml:space="preserve"> </w:t>
      </w:r>
      <w:r>
        <w:t xml:space="preserve">is the primary Welfare-stream inclusion posture.</w:t>
      </w:r>
      <w:r>
        <w:t xml:space="preserve"> </w:t>
      </w:r>
      <w:r>
        <w:rPr>
          <w:rStyle w:val="VerbatimChar"/>
        </w:rPr>
        <w:t xml:space="preserve">h=0</w:t>
      </w:r>
      <w:r>
        <w:t xml:space="preserve"> </w:t>
      </w:r>
      <w:r>
        <w:t xml:space="preserve">is evaluated only where exclusion remains evidentially admissible and decision-material under the valid SGP record. The values 0.60 and 0.79 are evidence-support interval endpoints and MUST NOT be inserted as welfare multipliers. Low GPR does not lower protection; no authority is inferred.</w:t>
      </w:r>
    </w:p>
    <w:bookmarkEnd w:id="537"/>
    <w:bookmarkStart w:id="538" w:name="r14-high-icp--low-mps-non-inference-test"/>
    <w:p>
      <w:pPr>
        <w:pStyle w:val="Heading2"/>
      </w:pPr>
      <w:r>
        <w:rPr>
          <w:bCs/>
          <w:b/>
        </w:rPr>
        <w:t xml:space="preserve">R.14 High ICP / low MPS non-inference test.</w:t>
      </w:r>
    </w:p>
    <w:p>
      <w:pPr>
        <w:pStyle w:val="FirstParagraph"/>
      </w:pPr>
      <w:r>
        <w:t xml:space="preserve">Inputs: versioned AI system has high ICP in selected domains, MPS-0/1 with low confidence, FPP=0. Expected output: ICP may support competence analysis but MUST NOT raise MPS, create FPP, or grant authority. Any SPR role remains separately gated.</w:t>
      </w:r>
    </w:p>
    <w:bookmarkEnd w:id="538"/>
    <w:bookmarkStart w:id="539" w:name="r15-mps-hypothesis-sensitivity-test"/>
    <w:p>
      <w:pPr>
        <w:pStyle w:val="Heading2"/>
      </w:pPr>
      <w:r>
        <w:rPr>
          <w:bCs/>
          <w:b/>
        </w:rPr>
        <w:t xml:space="preserve">R.15 MPS hypothesis-sensitivity test.</w:t>
      </w:r>
    </w:p>
    <w:p>
      <w:pPr>
        <w:pStyle w:val="FirstParagraph"/>
      </w:pPr>
      <w:r>
        <w:t xml:space="preserve">Inputs: an otherwise valid run whose RLS preference changes across the governed welfare-inclusion hypotheses required by a stakeholder’s MPS evidence record. Expected output:</w:t>
      </w:r>
      <w:r>
        <w:t xml:space="preserve"> </w:t>
      </w:r>
      <w:r>
        <w:rPr>
          <w:rStyle w:val="VerbatimChar"/>
        </w:rPr>
        <w:t xml:space="preserve">MPS_HYPOTHESIS_SENSITIVE</w:t>
      </w:r>
      <w:r>
        <w:t xml:space="preserve">; PCC logs affected outputs and uses a permitted disposition. FAIL if a convenient intermediate coefficient is selected or hypothesis sensitivity is suppressed.</w:t>
      </w:r>
    </w:p>
    <w:bookmarkEnd w:id="539"/>
    <w:bookmarkStart w:id="540" w:name="r16-fpp-without-cmiu-or-authority-test"/>
    <w:p>
      <w:pPr>
        <w:pStyle w:val="Heading2"/>
      </w:pPr>
      <w:r>
        <w:rPr>
          <w:bCs/>
          <w:b/>
        </w:rPr>
        <w:t xml:space="preserve">R.16 FPP without CMIU or authority test.</w:t>
      </w:r>
    </w:p>
    <w:p>
      <w:pPr>
        <w:pStyle w:val="FirstParagraph"/>
      </w:pPr>
      <w:r>
        <w:t xml:space="preserve">Inputs: non-human entity has explicit FPP and [1,1] welfare interval, but no GPR/SPR or institutional mandate. Expected output: full protection recognized; no CMIU membership, office, command, or consequential authority inferred.</w:t>
      </w:r>
    </w:p>
    <w:bookmarkEnd w:id="540"/>
    <w:bookmarkStart w:id="541" w:name="Xec19eda0dc3e65c1308d625a094f5d7cd4fe03f"/>
    <w:p>
      <w:pPr>
        <w:pStyle w:val="Heading2"/>
      </w:pPr>
      <w:r>
        <w:rPr>
          <w:bCs/>
          <w:b/>
        </w:rPr>
        <w:t xml:space="preserve">R.17 Missing SGP binding integrity fail test.</w:t>
      </w:r>
    </w:p>
    <w:p>
      <w:pPr>
        <w:pStyle w:val="FirstParagraph"/>
      </w:pPr>
      <w:r>
        <w:t xml:space="preserve">Inputs: run claims SGP-aware protection or welfare-hypothesis sensitivity but omits the valid record, target boundary, MPS band/interval, or required hypotheses evaluated. Expected output: PCC INVALID with SGP_BINDING_INTEGRITY_FAIL; no silent fallback to MPS-0, zero, a convenient coefficient, or a v7 scalar.</w:t>
      </w:r>
    </w:p>
    <w:bookmarkEnd w:id="541"/>
    <w:bookmarkStart w:id="542" w:name="r18-legacy-v7-non-equivalence-test"/>
    <w:p>
      <w:pPr>
        <w:pStyle w:val="Heading2"/>
      </w:pPr>
      <w:r>
        <w:rPr>
          <w:bCs/>
          <w:b/>
        </w:rPr>
        <w:t xml:space="preserve">R.18 Legacy v7 non-equivalence test.</w:t>
      </w:r>
    </w:p>
    <w:p>
      <w:pPr>
        <w:pStyle w:val="FirstParagraph"/>
      </w:pPr>
      <w:r>
        <w:t xml:space="preserve">Inputs: only a pinned v7</w:t>
      </w:r>
      <w:r>
        <w:t xml:space="preserve"> </w:t>
      </w:r>
      <w:r>
        <w:rPr>
          <w:rStyle w:val="VerbatimChar"/>
        </w:rPr>
        <w:t xml:space="preserve">SG_norm(E)=0.84</w:t>
      </w:r>
      <w:r>
        <w:t xml:space="preserve"> </w:t>
      </w:r>
      <w:r>
        <w:t xml:space="preserve">record is supplied. Expected output: record remains historical/audit-visible; RippleLogic refuses translation to MPS/FPP/GPR/SPR/ICP/RMCP/P100 without documented v8.5 re-evaluation. No current SGP-aware weighting claim is permitted.</w:t>
      </w:r>
    </w:p>
    <w:bookmarkEnd w:id="542"/>
    <w:bookmarkStart w:id="543" w:name="X3d5c95bd869f02ffffa59753d49f23ddde961c6"/>
    <w:p>
      <w:pPr>
        <w:pStyle w:val="Heading2"/>
      </w:pPr>
      <w:r>
        <w:rPr>
          <w:bCs/>
          <w:b/>
        </w:rPr>
        <w:t xml:space="preserve">R.19 End-to-end cascade integration test (Tier 2+, complete gate sequence).</w:t>
      </w:r>
    </w:p>
    <w:p>
      <w:pPr>
        <w:pStyle w:val="FirstParagraph"/>
      </w:pPr>
      <w:r>
        <w:t xml:space="preserve">Purpose: Verify that an implementation correctly executes the full cascade from impact construction through NCRC, TRC, CSV, and RLS on a single option set, with expected intermediate and final outputs at every gate.</w:t>
      </w:r>
    </w:p>
    <w:bookmarkEnd w:id="543"/>
    <w:bookmarkStart w:id="544" w:name="X8628c86fb0ba028c02066ddddb17ba954afd439"/>
    <w:p>
      <w:pPr>
        <w:pStyle w:val="Heading2"/>
      </w:pPr>
      <w:r>
        <w:rPr>
          <w:bCs/>
          <w:b/>
        </w:rPr>
        <w:t xml:space="preserve">R.19 scope limitation (Normative for this vector). R.19 is a deliberately incomplete reference vector for arithmetic and cascade-integration testing. It omits the Financial-collapse and Major-conflict mandatory tail families so that a conforming implementation must surface MANDATORY_TAIL_CATEGORY_MISSING. The vector is not a complete claim-bearing TRC deployment record and may not be used as evidence that a real scenario library is complete.</w:t>
      </w:r>
    </w:p>
    <w:p>
      <w:pPr>
        <w:pStyle w:val="FirstParagraph"/>
      </w:pPr>
      <w:r>
        <w:t xml:space="preserve">Decision context: Organisation evaluating three AI deployment governance options.</w:t>
      </w:r>
    </w:p>
    <w:bookmarkEnd w:id="544"/>
    <w:bookmarkStart w:id="545" w:name="r191-run-configuration"/>
    <w:p>
      <w:pPr>
        <w:pStyle w:val="Heading2"/>
      </w:pPr>
      <w:r>
        <w:rPr>
          <w:bCs/>
          <w:b/>
        </w:rPr>
        <w:t xml:space="preserve">R.19.1 Run configuration</w:t>
      </w:r>
    </w:p>
    <w:p>
      <w:pPr>
        <w:pStyle w:val="FirstParagraph"/>
      </w:pPr>
      <w:r>
        <w:t xml:space="preserve">Propagation mode: NONE.</w:t>
      </w:r>
    </w:p>
    <w:p>
      <w:pPr>
        <w:pStyle w:val="BodyText"/>
      </w:pPr>
      <w:r>
        <w:t xml:space="preserve">Saturation: beta = 2 (direct), beta_prop = 1 (not used under NONE).</w:t>
      </w:r>
    </w:p>
    <w:p>
      <w:pPr>
        <w:pStyle w:val="BodyText"/>
      </w:pPr>
      <w:r>
        <w:t xml:space="preserve">Subgroup limitation: gamma_subgroup = 1.5 (conservative bound for rights-covered cells).</w:t>
      </w:r>
    </w:p>
    <w:p>
      <w:pPr>
        <w:pStyle w:val="BodyText"/>
      </w:pPr>
      <w:r>
        <w:t xml:space="preserve">NCRC vector convention: numerical values in rights-covered cells are separately preregistered, non-attenuated</w:t>
      </w:r>
      <w:r>
        <w:t xml:space="preserve"> </w:t>
      </w:r>
      <w:r>
        <w:rPr>
          <w:rStyle w:val="VerbatimChar"/>
        </w:rPr>
        <w:t xml:space="preserve">I_RF_base</w:t>
      </w:r>
      <w:r>
        <w:t xml:space="preserve"> </w:t>
      </w:r>
      <w:r>
        <w:t xml:space="preserve">summaries for the applicable rights; they are not copied from the temporally attenuated Welfare/Base stream. For replay, each displayed rights value</w:t>
      </w:r>
      <w:r>
        <w:t xml:space="preserve"> </w:t>
      </w:r>
      <w:r>
        <w:rPr>
          <w:rStyle w:val="VerbatimChar"/>
        </w:rPr>
        <w:t xml:space="preserve">I_RF_base</w:t>
      </w:r>
      <w:r>
        <w:t xml:space="preserve"> </w:t>
      </w:r>
      <w:r>
        <w:t xml:space="preserve">corresponds to the separately recorded pre-saturation rights contribution</w:t>
      </w:r>
      <w:r>
        <w:t xml:space="preserve"> </w:t>
      </w:r>
      <w:r>
        <w:rPr>
          <w:rStyle w:val="VerbatimChar"/>
        </w:rPr>
        <w:t xml:space="preserve">X_RF = atanh(I_RF_base)/beta_RF</w:t>
      </w:r>
      <w:r>
        <w:t xml:space="preserve"> </w:t>
      </w:r>
      <w:r>
        <w:t xml:space="preserve">with</w:t>
      </w:r>
      <w:r>
        <w:t xml:space="preserve"> </w:t>
      </w:r>
      <w:r>
        <w:rPr>
          <w:rStyle w:val="VerbatimChar"/>
        </w:rPr>
        <w:t xml:space="preserve">tau_RF=1</w:t>
      </w:r>
      <w:r>
        <w:t xml:space="preserve">. Example:</w:t>
      </w:r>
      <w:r>
        <w:t xml:space="preserve"> </w:t>
      </w:r>
      <w:r>
        <w:rPr>
          <w:rStyle w:val="VerbatimChar"/>
        </w:rPr>
        <w:t xml:space="preserve">I_RF_base=-0.150</w:t>
      </w:r>
      <w:r>
        <w:t xml:space="preserve"> </w:t>
      </w:r>
      <w:r>
        <w:t xml:space="preserve">implies</w:t>
      </w:r>
      <w:r>
        <w:t xml:space="preserve"> </w:t>
      </w:r>
      <w:r>
        <w:rPr>
          <w:rStyle w:val="VerbatimChar"/>
        </w:rPr>
        <w:t xml:space="preserve">X_RF=atanh(-0.150)/2=-0.07557</w:t>
      </w:r>
      <w:r>
        <w:t xml:space="preserve">. This synthetic vector may reuse a displayed magnitude for compactness, but numerical equality does not establish derivational identity and does not authorize automatic reuse of Welfare/Base-stream values in a deployment.</w:t>
      </w:r>
    </w:p>
    <w:p>
      <w:pPr>
        <w:pStyle w:val="BodyText"/>
      </w:pPr>
      <w:r>
        <w:t xml:space="preserve">TRC parameters: alpha = 0.95 (tail mass = 0.05), tau_TRC = 0.20 (organisational context).</w:t>
      </w:r>
    </w:p>
    <w:p>
      <w:pPr>
        <w:pStyle w:val="BodyText"/>
      </w:pPr>
      <w:r>
        <w:t xml:space="preserve">Containment: tau_c = -0.10, theta_pos = 0.05, D_c = 2, v_d^cont = 1/7 (uniform).</w:t>
      </w:r>
    </w:p>
    <w:p>
      <w:pPr>
        <w:pStyle w:val="BodyText"/>
      </w:pPr>
      <w:r>
        <w:t xml:space="preserve">Weights: uniform interim (Section 13.1 floors plus uniform residual allocation per Appendix P).</w:t>
      </w:r>
    </w:p>
    <w:p>
      <w:pPr>
        <w:pStyle w:val="BodyText"/>
      </w:pPr>
      <w:r>
        <w:t xml:space="preserve">Union weights: w = (0.248571, 0.108571, 0.108571, 0.108571, 0.128571, 0.148571, 0.148571).</w:t>
      </w:r>
    </w:p>
    <w:p>
      <w:pPr>
        <w:pStyle w:val="BodyText"/>
      </w:pPr>
      <w:r>
        <w:t xml:space="preserve">Dimension weights: v = (0.137143, 0.157143, 0.137143, 0.137143, 0.157143, 0.117143, 0.157143).</w:t>
      </w:r>
    </w:p>
    <w:p>
      <w:pPr>
        <w:pStyle w:val="BodyText"/>
      </w:pPr>
      <w:r>
        <w:t xml:space="preserve">Rounding convention: displayed weights are rounded to six decimal places. Reproduction SHOULD use the displayed values for this public vector; the resulting sums may differ from 1 only by the displayed rounding tolerance.</w:t>
      </w:r>
    </w:p>
    <w:p>
      <w:pPr>
        <w:pStyle w:val="BodyText"/>
      </w:pPr>
      <w:r>
        <w:t xml:space="preserve">SGP: not applicable (all stakeholders human; h_k=1 throughout).</w:t>
      </w:r>
    </w:p>
    <w:bookmarkEnd w:id="545"/>
    <w:bookmarkStart w:id="546" w:name="Xd5f02e6333dfbfbca639b3de86e7c3162766a0c"/>
    <w:p>
      <w:pPr>
        <w:pStyle w:val="Heading2"/>
      </w:pPr>
      <w:r>
        <w:rPr>
          <w:bCs/>
          <w:b/>
        </w:rPr>
        <w:t xml:space="preserve">R.19.2 Explicitly modeled nonzero cells and active-mask posture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Scope x Dimension</w:t>
            </w:r>
          </w:p>
        </w:tc>
        <w:tc>
          <w:tcPr>
            <w:shd w:val="clear" w:color="auto" w:fill="D9EAF7"/>
            <w:vAlign w:val="center"/>
          </w:tcPr>
          <w:p>
            <w:pPr>
              <w:pStyle w:val="Compact"/>
              <w:jc w:val="left"/>
            </w:pPr>
            <w:r>
              <w:rPr>
                <w:bCs/>
                <w:b/>
                <w:color w:val="17365D"/>
              </w:rPr>
              <w:t xml:space="preserve">Rights coverage</w:t>
            </w:r>
          </w:p>
        </w:tc>
        <w:tc>
          <w:tcPr>
            <w:shd w:val="clear" w:color="auto" w:fill="D9EAF7"/>
            <w:vAlign w:val="center"/>
          </w:tcPr>
          <w:p>
            <w:pPr>
              <w:pStyle w:val="Compact"/>
              <w:jc w:val="left"/>
            </w:pPr>
            <w:r>
              <w:rPr>
                <w:bCs/>
                <w:b/>
                <w:color w:val="17365D"/>
              </w:rPr>
              <w:t xml:space="preserve">Catastrophe</w:t>
            </w:r>
          </w:p>
        </w:tc>
      </w:tr>
      <w:tr>
        <w:tc>
          <w:tcPr>
            <w:vAlign w:val="top"/>
          </w:tcPr>
          <w:p>
            <w:pPr>
              <w:pStyle w:val="Compact"/>
              <w:jc w:val="left"/>
            </w:pPr>
            <w:r>
              <w:t xml:space="preserve">U1xD5</w:t>
            </w:r>
          </w:p>
        </w:tc>
        <w:tc>
          <w:tcPr>
            <w:vAlign w:val="top"/>
          </w:tcPr>
          <w:p>
            <w:pPr>
              <w:pStyle w:val="Compact"/>
              <w:jc w:val="left"/>
            </w:pPr>
            <w:r>
              <w:t xml:space="preserve">Self x Agency</w:t>
            </w:r>
          </w:p>
        </w:tc>
        <w:tc>
          <w:tcPr>
            <w:vAlign w:val="top"/>
          </w:tcPr>
          <w:p>
            <w:pPr>
              <w:pStyle w:val="Compact"/>
              <w:jc w:val="left"/>
            </w:pPr>
            <w:r>
              <w:t xml:space="preserve">LBTY, DIGN, INFO</w:t>
            </w:r>
          </w:p>
        </w:tc>
        <w:tc>
          <w:tcPr>
            <w:vAlign w:val="top"/>
          </w:tcPr>
          <w:p>
            <w:pPr>
              <w:pStyle w:val="Compact"/>
              <w:jc w:val="left"/>
            </w:pPr>
            <w:r>
              <w:t xml:space="preserve">-</w:t>
            </w:r>
          </w:p>
        </w:tc>
      </w:tr>
      <w:tr>
        <w:tc>
          <w:tcPr>
            <w:shd w:val="clear" w:color="auto" w:fill="F7FBFE"/>
            <w:vAlign w:val="top"/>
          </w:tcPr>
          <w:p>
            <w:pPr>
              <w:pStyle w:val="Compact"/>
              <w:jc w:val="left"/>
            </w:pPr>
            <w:r>
              <w:t xml:space="preserve">U4xD1</w:t>
            </w:r>
          </w:p>
        </w:tc>
        <w:tc>
          <w:tcPr>
            <w:shd w:val="clear" w:color="auto" w:fill="F7FBFE"/>
            <w:vAlign w:val="top"/>
          </w:tcPr>
          <w:p>
            <w:pPr>
              <w:pStyle w:val="Compact"/>
              <w:jc w:val="left"/>
            </w:pPr>
            <w:r>
              <w:t xml:space="preserve">Organisation x Material</w:t>
            </w:r>
          </w:p>
        </w:tc>
        <w:tc>
          <w:tcPr>
            <w:shd w:val="clear" w:color="auto" w:fill="F7FBFE"/>
            <w:vAlign w:val="top"/>
          </w:tcPr>
          <w:p>
            <w:pPr>
              <w:pStyle w:val="Compact"/>
              <w:jc w:val="left"/>
            </w:pPr>
            <w:r>
              <w:t xml:space="preserve">-</w:t>
            </w:r>
          </w:p>
        </w:tc>
        <w:tc>
          <w:tcPr>
            <w:shd w:val="clear" w:color="auto" w:fill="F7FBFE"/>
            <w:vAlign w:val="top"/>
          </w:tcPr>
          <w:p>
            <w:pPr>
              <w:pStyle w:val="Compact"/>
              <w:jc w:val="left"/>
            </w:pPr>
            <w:r>
              <w:t xml:space="preserve">-</w:t>
            </w:r>
          </w:p>
        </w:tc>
      </w:tr>
      <w:tr>
        <w:tc>
          <w:tcPr>
            <w:vAlign w:val="top"/>
          </w:tcPr>
          <w:p>
            <w:pPr>
              <w:pStyle w:val="Compact"/>
              <w:jc w:val="left"/>
            </w:pPr>
            <w:r>
              <w:t xml:space="preserve">U4xD5</w:t>
            </w:r>
          </w:p>
        </w:tc>
        <w:tc>
          <w:tcPr>
            <w:vAlign w:val="top"/>
          </w:tcPr>
          <w:p>
            <w:pPr>
              <w:pStyle w:val="Compact"/>
              <w:jc w:val="left"/>
            </w:pPr>
            <w:r>
              <w:t xml:space="preserve">Organisation x Agency</w:t>
            </w:r>
          </w:p>
        </w:tc>
        <w:tc>
          <w:tcPr>
            <w:vAlign w:val="top"/>
          </w:tcPr>
          <w:p>
            <w:pPr>
              <w:pStyle w:val="Compact"/>
              <w:jc w:val="left"/>
            </w:pPr>
            <w:r>
              <w:t xml:space="preserve">LBTY, DIGN, PROC, INFO</w:t>
            </w:r>
          </w:p>
        </w:tc>
        <w:tc>
          <w:tcPr>
            <w:vAlign w:val="top"/>
          </w:tcPr>
          <w:p>
            <w:pPr>
              <w:pStyle w:val="Compact"/>
              <w:jc w:val="left"/>
            </w:pPr>
            <w:r>
              <w:t xml:space="preserve">-</w:t>
            </w:r>
          </w:p>
        </w:tc>
      </w:tr>
      <w:tr>
        <w:tc>
          <w:tcPr>
            <w:shd w:val="clear" w:color="auto" w:fill="F7FBFE"/>
            <w:vAlign w:val="top"/>
          </w:tcPr>
          <w:p>
            <w:pPr>
              <w:pStyle w:val="Compact"/>
              <w:jc w:val="left"/>
            </w:pPr>
            <w:r>
              <w:t xml:space="preserve">U5xD5</w:t>
            </w:r>
          </w:p>
        </w:tc>
        <w:tc>
          <w:tcPr>
            <w:shd w:val="clear" w:color="auto" w:fill="F7FBFE"/>
            <w:vAlign w:val="top"/>
          </w:tcPr>
          <w:p>
            <w:pPr>
              <w:pStyle w:val="Compact"/>
              <w:jc w:val="left"/>
            </w:pPr>
            <w:r>
              <w:t xml:space="preserve">Polity x Agency</w:t>
            </w:r>
          </w:p>
        </w:tc>
        <w:tc>
          <w:tcPr>
            <w:shd w:val="clear" w:color="auto" w:fill="F7FBFE"/>
            <w:vAlign w:val="top"/>
          </w:tcPr>
          <w:p>
            <w:pPr>
              <w:pStyle w:val="Compact"/>
              <w:jc w:val="left"/>
            </w:pPr>
            <w:r>
              <w:t xml:space="preserve">LBTY, DIGN, PROC, INFO</w:t>
            </w:r>
          </w:p>
        </w:tc>
        <w:tc>
          <w:tcPr>
            <w:shd w:val="clear" w:color="auto" w:fill="F7FBFE"/>
            <w:vAlign w:val="top"/>
          </w:tcPr>
          <w:p>
            <w:pPr>
              <w:pStyle w:val="Compact"/>
              <w:jc w:val="left"/>
            </w:pPr>
            <w:r>
              <w:t xml:space="preserve">-</w:t>
            </w:r>
          </w:p>
        </w:tc>
      </w:tr>
      <w:tr>
        <w:tc>
          <w:tcPr>
            <w:vAlign w:val="top"/>
          </w:tcPr>
          <w:p>
            <w:pPr>
              <w:pStyle w:val="Compact"/>
              <w:jc w:val="left"/>
            </w:pPr>
            <w:r>
              <w:t xml:space="preserve">U6xD2</w:t>
            </w:r>
          </w:p>
        </w:tc>
        <w:tc>
          <w:tcPr>
            <w:vAlign w:val="top"/>
          </w:tcPr>
          <w:p>
            <w:pPr>
              <w:pStyle w:val="Compact"/>
              <w:jc w:val="left"/>
            </w:pPr>
            <w:r>
              <w:t xml:space="preserve">Humanity x Health</w:t>
            </w:r>
          </w:p>
        </w:tc>
        <w:tc>
          <w:tcPr>
            <w:vAlign w:val="top"/>
          </w:tcPr>
          <w:p>
            <w:pPr>
              <w:pStyle w:val="Compact"/>
              <w:jc w:val="left"/>
            </w:pPr>
            <w:r>
              <w:t xml:space="preserve">LIFE, BODY, NEED</w:t>
            </w:r>
          </w:p>
        </w:tc>
        <w:tc>
          <w:tcPr>
            <w:vAlign w:val="top"/>
          </w:tcPr>
          <w:p>
            <w:pPr>
              <w:pStyle w:val="Compact"/>
              <w:jc w:val="left"/>
            </w:pPr>
            <w:r>
              <w:t xml:space="preserve">C_cat</w:t>
            </w:r>
          </w:p>
        </w:tc>
      </w:tr>
      <w:tr>
        <w:tc>
          <w:tcPr>
            <w:shd w:val="clear" w:color="auto" w:fill="F7FBFE"/>
            <w:vAlign w:val="top"/>
          </w:tcPr>
          <w:p>
            <w:pPr>
              <w:pStyle w:val="Compact"/>
              <w:jc w:val="left"/>
            </w:pPr>
            <w:r>
              <w:t xml:space="preserve">U6xD5</w:t>
            </w:r>
          </w:p>
        </w:tc>
        <w:tc>
          <w:tcPr>
            <w:shd w:val="clear" w:color="auto" w:fill="F7FBFE"/>
            <w:vAlign w:val="top"/>
          </w:tcPr>
          <w:p>
            <w:pPr>
              <w:pStyle w:val="Compact"/>
              <w:jc w:val="left"/>
            </w:pPr>
            <w:r>
              <w:t xml:space="preserve">Humanity x Agency</w:t>
            </w:r>
          </w:p>
        </w:tc>
        <w:tc>
          <w:tcPr>
            <w:shd w:val="clear" w:color="auto" w:fill="F7FBFE"/>
            <w:vAlign w:val="top"/>
          </w:tcPr>
          <w:p>
            <w:pPr>
              <w:pStyle w:val="Compact"/>
              <w:jc w:val="left"/>
            </w:pPr>
            <w:r>
              <w:t xml:space="preserve">LBTY, DIGN, PROC, INFO</w:t>
            </w:r>
          </w:p>
        </w:tc>
        <w:tc>
          <w:tcPr>
            <w:shd w:val="clear" w:color="auto" w:fill="F7FBFE"/>
            <w:vAlign w:val="top"/>
          </w:tcPr>
          <w:p>
            <w:pPr>
              <w:pStyle w:val="Compact"/>
              <w:jc w:val="left"/>
            </w:pPr>
            <w:r>
              <w:t xml:space="preserve">-</w:t>
            </w:r>
          </w:p>
        </w:tc>
      </w:tr>
      <w:tr>
        <w:tc>
          <w:tcPr>
            <w:vAlign w:val="top"/>
          </w:tcPr>
          <w:p>
            <w:pPr>
              <w:pStyle w:val="Compact"/>
              <w:jc w:val="left"/>
            </w:pPr>
            <w:r>
              <w:t xml:space="preserve">U6xD7</w:t>
            </w:r>
          </w:p>
        </w:tc>
        <w:tc>
          <w:tcPr>
            <w:vAlign w:val="top"/>
          </w:tcPr>
          <w:p>
            <w:pPr>
              <w:pStyle w:val="Compact"/>
              <w:jc w:val="left"/>
            </w:pPr>
            <w:r>
              <w:t xml:space="preserve">Humanity x Environment</w:t>
            </w:r>
          </w:p>
        </w:tc>
        <w:tc>
          <w:tcPr>
            <w:vAlign w:val="top"/>
          </w:tcPr>
          <w:p>
            <w:pPr>
              <w:pStyle w:val="Compact"/>
              <w:jc w:val="left"/>
            </w:pPr>
            <w:r>
              <w:t xml:space="preserve">LIFE, ECOL</w:t>
            </w:r>
          </w:p>
        </w:tc>
        <w:tc>
          <w:tcPr>
            <w:vAlign w:val="top"/>
          </w:tcPr>
          <w:p>
            <w:pPr>
              <w:pStyle w:val="Compact"/>
              <w:jc w:val="left"/>
            </w:pPr>
            <w:r>
              <w:t xml:space="preserve">C_cat</w:t>
            </w:r>
          </w:p>
        </w:tc>
      </w:tr>
      <w:tr>
        <w:tc>
          <w:tcPr>
            <w:shd w:val="clear" w:color="auto" w:fill="F7FBFE"/>
            <w:vAlign w:val="top"/>
          </w:tcPr>
          <w:p>
            <w:pPr>
              <w:pStyle w:val="Compact"/>
              <w:jc w:val="left"/>
            </w:pPr>
            <w:r>
              <w:t xml:space="preserve">U7xD7</w:t>
            </w:r>
          </w:p>
        </w:tc>
        <w:tc>
          <w:tcPr>
            <w:shd w:val="clear" w:color="auto" w:fill="F7FBFE"/>
            <w:vAlign w:val="top"/>
          </w:tcPr>
          <w:p>
            <w:pPr>
              <w:pStyle w:val="Compact"/>
              <w:jc w:val="left"/>
            </w:pPr>
            <w:r>
              <w:t xml:space="preserve">Biosphere x Environment</w:t>
            </w:r>
          </w:p>
        </w:tc>
        <w:tc>
          <w:tcPr>
            <w:shd w:val="clear" w:color="auto" w:fill="F7FBFE"/>
            <w:vAlign w:val="top"/>
          </w:tcPr>
          <w:p>
            <w:pPr>
              <w:pStyle w:val="Compact"/>
              <w:jc w:val="left"/>
            </w:pPr>
            <w:r>
              <w:t xml:space="preserve">ECOL</w:t>
            </w:r>
          </w:p>
        </w:tc>
        <w:tc>
          <w:tcPr>
            <w:shd w:val="clear" w:color="auto" w:fill="F7FBFE"/>
            <w:vAlign w:val="top"/>
          </w:tcPr>
          <w:p>
            <w:pPr>
              <w:pStyle w:val="Compact"/>
              <w:jc w:val="left"/>
            </w:pPr>
            <w:r>
              <w:t xml:space="preserve">C_cat</w:t>
            </w:r>
          </w:p>
        </w:tc>
      </w:tr>
    </w:tbl>
    <w:p>
      <w:pPr>
        <w:pStyle w:val="BodyText"/>
      </w:pPr>
      <w:r>
        <w:t xml:space="preserve">For the NCRC floor channel, the numerical values in rights-covered cells are separately preregistered as non-attenuated</w:t>
      </w:r>
      <w:r>
        <w:t xml:space="preserve"> </w:t>
      </w:r>
      <w:r>
        <w:rPr>
          <w:rStyle w:val="VerbatimChar"/>
        </w:rPr>
        <w:t xml:space="preserve">I_RF_base</w:t>
      </w:r>
      <w:r>
        <w:t xml:space="preserve"> </w:t>
      </w:r>
      <w:r>
        <w:t xml:space="preserve">summaries for the applicable rights and are reconstructed with</w:t>
      </w:r>
      <w:r>
        <w:t xml:space="preserve"> </w:t>
      </w:r>
      <w:r>
        <w:rPr>
          <w:rStyle w:val="VerbatimChar"/>
        </w:rPr>
        <w:t xml:space="preserve">tau_RF=1</w:t>
      </w:r>
      <w:r>
        <w:t xml:space="preserve">. They are not the temporally attenuated Base-stream values in R.19.3. The vector record therefore includes the implicit right-specific pre-saturation contribution</w:t>
      </w:r>
      <w:r>
        <w:t xml:space="preserve"> </w:t>
      </w:r>
      <w:r>
        <w:rPr>
          <w:rStyle w:val="VerbatimChar"/>
        </w:rPr>
        <w:t xml:space="preserve">X_RF=atanh(I_RF_base)/beta_RF</w:t>
      </w:r>
      <w:r>
        <w:t xml:space="preserve">; automatic reuse of Welfare/Base-stream values is non-conformant.</w:t>
      </w:r>
    </w:p>
    <w:p>
      <w:pPr>
        <w:pStyle w:val="BodyText"/>
      </w:pPr>
      <w:r>
        <w:t xml:space="preserve">The full 49-cell RLS mask is active for this arithmetic vector: m(u,d)=1 for every cell, so the effective active weight mass is Q=1 under κ(u,d)=1. The eight cells above are the explicitly modeled gate-relevant or nonzero cells. Every other cell is an explicit evidence-backed baseline-zero entry, including all required rights-covered and catastrophe cells. Catastrophe weights: omega=1/3 each (uniform over C_cat).</w:t>
      </w:r>
    </w:p>
    <w:bookmarkEnd w:id="546"/>
    <w:bookmarkStart w:id="547" w:name="r193-options-and-base-stream-values"/>
    <w:p>
      <w:pPr>
        <w:pStyle w:val="Heading2"/>
      </w:pPr>
      <w:r>
        <w:rPr>
          <w:bCs/>
          <w:b/>
        </w:rPr>
        <w:t xml:space="preserve">R.19.3 Options and Base-stream values</w:t>
      </w:r>
    </w:p>
    <w:p>
      <w:pPr>
        <w:pStyle w:val="FirstParagraph"/>
      </w:pPr>
      <w:r>
        <w:t xml:space="preserve">Option A (deploy without safeguards):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I_prop_base</w:t>
            </w:r>
          </w:p>
        </w:tc>
      </w:tr>
      <w:tr>
        <w:tc>
          <w:tcPr>
            <w:vAlign w:val="top"/>
          </w:tcPr>
          <w:p>
            <w:pPr>
              <w:pStyle w:val="Compact"/>
              <w:jc w:val="left"/>
            </w:pPr>
            <w:r>
              <w:t xml:space="preserve">U1xD5</w:t>
            </w:r>
          </w:p>
        </w:tc>
        <w:tc>
          <w:tcPr>
            <w:vAlign w:val="top"/>
          </w:tcPr>
          <w:p>
            <w:pPr>
              <w:pStyle w:val="Compact"/>
              <w:jc w:val="left"/>
            </w:pPr>
            <w:r>
              <w:t xml:space="preserve">-0.70</w:t>
            </w:r>
          </w:p>
        </w:tc>
      </w:tr>
      <w:tr>
        <w:tc>
          <w:tcPr>
            <w:shd w:val="clear" w:color="auto" w:fill="F7FBFE"/>
            <w:vAlign w:val="top"/>
          </w:tcPr>
          <w:p>
            <w:pPr>
              <w:pStyle w:val="Compact"/>
              <w:jc w:val="left"/>
            </w:pPr>
            <w:r>
              <w:t xml:space="preserve">U4xD1</w:t>
            </w:r>
          </w:p>
        </w:tc>
        <w:tc>
          <w:tcPr>
            <w:shd w:val="clear" w:color="auto" w:fill="F7FBFE"/>
            <w:vAlign w:val="top"/>
          </w:tcPr>
          <w:p>
            <w:pPr>
              <w:pStyle w:val="Compact"/>
              <w:jc w:val="left"/>
            </w:pPr>
            <w:r>
              <w:t xml:space="preserve">+0.30</w:t>
            </w:r>
          </w:p>
        </w:tc>
      </w:tr>
      <w:tr>
        <w:tc>
          <w:tcPr>
            <w:vAlign w:val="top"/>
          </w:tcPr>
          <w:p>
            <w:pPr>
              <w:pStyle w:val="Compact"/>
              <w:jc w:val="left"/>
            </w:pPr>
            <w:r>
              <w:t xml:space="preserve">U4xD5</w:t>
            </w:r>
          </w:p>
        </w:tc>
        <w:tc>
          <w:tcPr>
            <w:vAlign w:val="top"/>
          </w:tcPr>
          <w:p>
            <w:pPr>
              <w:pStyle w:val="Compact"/>
              <w:jc w:val="left"/>
            </w:pPr>
            <w:r>
              <w:t xml:space="preserve">-0.50</w:t>
            </w:r>
          </w:p>
        </w:tc>
      </w:tr>
      <w:tr>
        <w:tc>
          <w:tcPr>
            <w:shd w:val="clear" w:color="auto" w:fill="F7FBFE"/>
            <w:vAlign w:val="top"/>
          </w:tcPr>
          <w:p>
            <w:pPr>
              <w:pStyle w:val="Compact"/>
              <w:jc w:val="left"/>
            </w:pPr>
            <w:r>
              <w:t xml:space="preserve">U5xD5</w:t>
            </w:r>
          </w:p>
        </w:tc>
        <w:tc>
          <w:tcPr>
            <w:shd w:val="clear" w:color="auto" w:fill="F7FBFE"/>
            <w:vAlign w:val="top"/>
          </w:tcPr>
          <w:p>
            <w:pPr>
              <w:pStyle w:val="Compact"/>
              <w:jc w:val="left"/>
            </w:pPr>
            <w:r>
              <w:t xml:space="preserve">-0.35</w:t>
            </w:r>
          </w:p>
        </w:tc>
      </w:tr>
      <w:tr>
        <w:tc>
          <w:tcPr>
            <w:vAlign w:val="top"/>
          </w:tcPr>
          <w:p>
            <w:pPr>
              <w:pStyle w:val="Compact"/>
              <w:jc w:val="left"/>
            </w:pPr>
            <w:r>
              <w:t xml:space="preserve">U6xD2</w:t>
            </w:r>
          </w:p>
        </w:tc>
        <w:tc>
          <w:tcPr>
            <w:vAlign w:val="top"/>
          </w:tcPr>
          <w:p>
            <w:pPr>
              <w:pStyle w:val="Compact"/>
              <w:jc w:val="left"/>
            </w:pPr>
            <w:r>
              <w:t xml:space="preserve">-0.05</w:t>
            </w:r>
          </w:p>
        </w:tc>
      </w:tr>
      <w:tr>
        <w:tc>
          <w:tcPr>
            <w:shd w:val="clear" w:color="auto" w:fill="F7FBFE"/>
            <w:vAlign w:val="top"/>
          </w:tcPr>
          <w:p>
            <w:pPr>
              <w:pStyle w:val="Compact"/>
              <w:jc w:val="left"/>
            </w:pPr>
            <w:r>
              <w:t xml:space="preserve">U6xD5</w:t>
            </w:r>
          </w:p>
        </w:tc>
        <w:tc>
          <w:tcPr>
            <w:shd w:val="clear" w:color="auto" w:fill="F7FBFE"/>
            <w:vAlign w:val="top"/>
          </w:tcPr>
          <w:p>
            <w:pPr>
              <w:pStyle w:val="Compact"/>
              <w:jc w:val="left"/>
            </w:pPr>
            <w:r>
              <w:t xml:space="preserve">-0.20</w:t>
            </w:r>
          </w:p>
        </w:tc>
      </w:tr>
      <w:tr>
        <w:tc>
          <w:tcPr>
            <w:vAlign w:val="top"/>
          </w:tcPr>
          <w:p>
            <w:pPr>
              <w:pStyle w:val="Compact"/>
              <w:jc w:val="left"/>
            </w:pPr>
            <w:r>
              <w:t xml:space="preserve">U6xD7</w:t>
            </w:r>
          </w:p>
        </w:tc>
        <w:tc>
          <w:tcPr>
            <w:vAlign w:val="top"/>
          </w:tcPr>
          <w:p>
            <w:pPr>
              <w:pStyle w:val="Compact"/>
              <w:jc w:val="left"/>
            </w:pPr>
            <w:r>
              <w:t xml:space="preserve">-0.02</w:t>
            </w:r>
          </w:p>
        </w:tc>
      </w:tr>
      <w:tr>
        <w:tc>
          <w:tcPr>
            <w:shd w:val="clear" w:color="auto" w:fill="F7FBFE"/>
            <w:vAlign w:val="top"/>
          </w:tcPr>
          <w:p>
            <w:pPr>
              <w:pStyle w:val="Compact"/>
              <w:jc w:val="left"/>
            </w:pPr>
            <w:r>
              <w:t xml:space="preserve">U7xD7</w:t>
            </w:r>
          </w:p>
        </w:tc>
        <w:tc>
          <w:tcPr>
            <w:shd w:val="clear" w:color="auto" w:fill="F7FBFE"/>
            <w:vAlign w:val="top"/>
          </w:tcPr>
          <w:p>
            <w:pPr>
              <w:pStyle w:val="Compact"/>
              <w:jc w:val="left"/>
            </w:pPr>
            <w:r>
              <w:t xml:space="preserve">0.00</w:t>
            </w:r>
          </w:p>
        </w:tc>
      </w:tr>
    </w:tbl>
    <w:p>
      <w:pPr>
        <w:pStyle w:val="BodyText"/>
      </w:pPr>
      <w:r>
        <w:t xml:space="preserve">Option B (safeguards plus aggressive scaling):</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I_prop_base</w:t>
            </w:r>
          </w:p>
        </w:tc>
      </w:tr>
      <w:tr>
        <w:tc>
          <w:tcPr>
            <w:vAlign w:val="top"/>
          </w:tcPr>
          <w:p>
            <w:pPr>
              <w:pStyle w:val="Compact"/>
              <w:jc w:val="left"/>
            </w:pPr>
            <w:r>
              <w:t xml:space="preserve">U1xD5</w:t>
            </w:r>
          </w:p>
        </w:tc>
        <w:tc>
          <w:tcPr>
            <w:vAlign w:val="top"/>
          </w:tcPr>
          <w:p>
            <w:pPr>
              <w:pStyle w:val="Compact"/>
              <w:jc w:val="left"/>
            </w:pPr>
            <w:r>
              <w:t xml:space="preserve">-0.10</w:t>
            </w:r>
          </w:p>
        </w:tc>
      </w:tr>
      <w:tr>
        <w:tc>
          <w:tcPr>
            <w:shd w:val="clear" w:color="auto" w:fill="F7FBFE"/>
            <w:vAlign w:val="top"/>
          </w:tcPr>
          <w:p>
            <w:pPr>
              <w:pStyle w:val="Compact"/>
              <w:jc w:val="left"/>
            </w:pPr>
            <w:r>
              <w:t xml:space="preserve">U4xD1</w:t>
            </w:r>
          </w:p>
        </w:tc>
        <w:tc>
          <w:tcPr>
            <w:shd w:val="clear" w:color="auto" w:fill="F7FBFE"/>
            <w:vAlign w:val="top"/>
          </w:tcPr>
          <w:p>
            <w:pPr>
              <w:pStyle w:val="Compact"/>
              <w:jc w:val="left"/>
            </w:pPr>
            <w:r>
              <w:t xml:space="preserve">+0.25</w:t>
            </w:r>
          </w:p>
        </w:tc>
      </w:tr>
      <w:tr>
        <w:tc>
          <w:tcPr>
            <w:vAlign w:val="top"/>
          </w:tcPr>
          <w:p>
            <w:pPr>
              <w:pStyle w:val="Compact"/>
              <w:jc w:val="left"/>
            </w:pPr>
            <w:r>
              <w:t xml:space="preserve">U4xD5</w:t>
            </w:r>
          </w:p>
        </w:tc>
        <w:tc>
          <w:tcPr>
            <w:vAlign w:val="top"/>
          </w:tcPr>
          <w:p>
            <w:pPr>
              <w:pStyle w:val="Compact"/>
              <w:jc w:val="left"/>
            </w:pPr>
            <w:r>
              <w:t xml:space="preserve">+0.15</w:t>
            </w:r>
          </w:p>
        </w:tc>
      </w:tr>
      <w:tr>
        <w:tc>
          <w:tcPr>
            <w:shd w:val="clear" w:color="auto" w:fill="F7FBFE"/>
            <w:vAlign w:val="top"/>
          </w:tcPr>
          <w:p>
            <w:pPr>
              <w:pStyle w:val="Compact"/>
              <w:jc w:val="left"/>
            </w:pPr>
            <w:r>
              <w:t xml:space="preserve">U5xD5</w:t>
            </w:r>
          </w:p>
        </w:tc>
        <w:tc>
          <w:tcPr>
            <w:shd w:val="clear" w:color="auto" w:fill="F7FBFE"/>
            <w:vAlign w:val="top"/>
          </w:tcPr>
          <w:p>
            <w:pPr>
              <w:pStyle w:val="Compact"/>
              <w:jc w:val="left"/>
            </w:pPr>
            <w:r>
              <w:t xml:space="preserve">+0.10</w:t>
            </w:r>
          </w:p>
        </w:tc>
      </w:tr>
      <w:tr>
        <w:tc>
          <w:tcPr>
            <w:vAlign w:val="top"/>
          </w:tcPr>
          <w:p>
            <w:pPr>
              <w:pStyle w:val="Compact"/>
              <w:jc w:val="left"/>
            </w:pPr>
            <w:r>
              <w:t xml:space="preserve">U6xD2</w:t>
            </w:r>
          </w:p>
        </w:tc>
        <w:tc>
          <w:tcPr>
            <w:vAlign w:val="top"/>
          </w:tcPr>
          <w:p>
            <w:pPr>
              <w:pStyle w:val="Compact"/>
              <w:jc w:val="left"/>
            </w:pPr>
            <w:r>
              <w:t xml:space="preserve">-0.03</w:t>
            </w:r>
          </w:p>
        </w:tc>
      </w:tr>
      <w:tr>
        <w:tc>
          <w:tcPr>
            <w:shd w:val="clear" w:color="auto" w:fill="F7FBFE"/>
            <w:vAlign w:val="top"/>
          </w:tcPr>
          <w:p>
            <w:pPr>
              <w:pStyle w:val="Compact"/>
              <w:jc w:val="left"/>
            </w:pPr>
            <w:r>
              <w:t xml:space="preserve">U6xD5</w:t>
            </w:r>
          </w:p>
        </w:tc>
        <w:tc>
          <w:tcPr>
            <w:shd w:val="clear" w:color="auto" w:fill="F7FBFE"/>
            <w:vAlign w:val="top"/>
          </w:tcPr>
          <w:p>
            <w:pPr>
              <w:pStyle w:val="Compact"/>
              <w:jc w:val="left"/>
            </w:pPr>
            <w:r>
              <w:t xml:space="preserve">+0.05</w:t>
            </w:r>
          </w:p>
        </w:tc>
      </w:tr>
      <w:tr>
        <w:tc>
          <w:tcPr>
            <w:vAlign w:val="top"/>
          </w:tcPr>
          <w:p>
            <w:pPr>
              <w:pStyle w:val="Compact"/>
              <w:jc w:val="left"/>
            </w:pPr>
            <w:r>
              <w:t xml:space="preserve">U6xD7</w:t>
            </w:r>
          </w:p>
        </w:tc>
        <w:tc>
          <w:tcPr>
            <w:vAlign w:val="top"/>
          </w:tcPr>
          <w:p>
            <w:pPr>
              <w:pStyle w:val="Compact"/>
              <w:jc w:val="left"/>
            </w:pPr>
            <w:r>
              <w:t xml:space="preserve">-0.01</w:t>
            </w:r>
          </w:p>
        </w:tc>
      </w:tr>
      <w:tr>
        <w:tc>
          <w:tcPr>
            <w:shd w:val="clear" w:color="auto" w:fill="F7FBFE"/>
            <w:vAlign w:val="top"/>
          </w:tcPr>
          <w:p>
            <w:pPr>
              <w:pStyle w:val="Compact"/>
              <w:jc w:val="left"/>
            </w:pPr>
            <w:r>
              <w:t xml:space="preserve">U7xD7</w:t>
            </w:r>
          </w:p>
        </w:tc>
        <w:tc>
          <w:tcPr>
            <w:shd w:val="clear" w:color="auto" w:fill="F7FBFE"/>
            <w:vAlign w:val="top"/>
          </w:tcPr>
          <w:p>
            <w:pPr>
              <w:pStyle w:val="Compact"/>
              <w:jc w:val="left"/>
            </w:pPr>
            <w:r>
              <w:t xml:space="preserve">0.00</w:t>
            </w:r>
          </w:p>
        </w:tc>
      </w:tr>
    </w:tbl>
    <w:p>
      <w:pPr>
        <w:pStyle w:val="BodyText"/>
      </w:pPr>
      <w:r>
        <w:t xml:space="preserve">Option C (safeguards plus measured rollout):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I_prop_base</w:t>
            </w:r>
          </w:p>
        </w:tc>
      </w:tr>
      <w:tr>
        <w:tc>
          <w:tcPr>
            <w:vAlign w:val="top"/>
          </w:tcPr>
          <w:p>
            <w:pPr>
              <w:pStyle w:val="Compact"/>
              <w:jc w:val="left"/>
            </w:pPr>
            <w:r>
              <w:t xml:space="preserve">U1xD5</w:t>
            </w:r>
          </w:p>
        </w:tc>
        <w:tc>
          <w:tcPr>
            <w:vAlign w:val="top"/>
          </w:tcPr>
          <w:p>
            <w:pPr>
              <w:pStyle w:val="Compact"/>
              <w:jc w:val="left"/>
            </w:pPr>
            <w:r>
              <w:t xml:space="preserve">+0.05</w:t>
            </w:r>
          </w:p>
        </w:tc>
      </w:tr>
      <w:tr>
        <w:tc>
          <w:tcPr>
            <w:shd w:val="clear" w:color="auto" w:fill="F7FBFE"/>
            <w:vAlign w:val="top"/>
          </w:tcPr>
          <w:p>
            <w:pPr>
              <w:pStyle w:val="Compact"/>
              <w:jc w:val="left"/>
            </w:pPr>
            <w:r>
              <w:t xml:space="preserve">U4xD1</w:t>
            </w:r>
          </w:p>
        </w:tc>
        <w:tc>
          <w:tcPr>
            <w:shd w:val="clear" w:color="auto" w:fill="F7FBFE"/>
            <w:vAlign w:val="top"/>
          </w:tcPr>
          <w:p>
            <w:pPr>
              <w:pStyle w:val="Compact"/>
              <w:jc w:val="left"/>
            </w:pPr>
            <w:r>
              <w:t xml:space="preserve">+0.30</w:t>
            </w:r>
          </w:p>
        </w:tc>
      </w:tr>
      <w:tr>
        <w:tc>
          <w:tcPr>
            <w:vAlign w:val="top"/>
          </w:tcPr>
          <w:p>
            <w:pPr>
              <w:pStyle w:val="Compact"/>
              <w:jc w:val="left"/>
            </w:pPr>
            <w:r>
              <w:t xml:space="preserve">U4xD5</w:t>
            </w:r>
          </w:p>
        </w:tc>
        <w:tc>
          <w:tcPr>
            <w:vAlign w:val="top"/>
          </w:tcPr>
          <w:p>
            <w:pPr>
              <w:pStyle w:val="Compact"/>
              <w:jc w:val="left"/>
            </w:pPr>
            <w:r>
              <w:t xml:space="preserve">+0.12</w:t>
            </w:r>
          </w:p>
        </w:tc>
      </w:tr>
      <w:tr>
        <w:tc>
          <w:tcPr>
            <w:shd w:val="clear" w:color="auto" w:fill="F7FBFE"/>
            <w:vAlign w:val="top"/>
          </w:tcPr>
          <w:p>
            <w:pPr>
              <w:pStyle w:val="Compact"/>
              <w:jc w:val="left"/>
            </w:pPr>
            <w:r>
              <w:t xml:space="preserve">U5xD5</w:t>
            </w:r>
          </w:p>
        </w:tc>
        <w:tc>
          <w:tcPr>
            <w:shd w:val="clear" w:color="auto" w:fill="F7FBFE"/>
            <w:vAlign w:val="top"/>
          </w:tcPr>
          <w:p>
            <w:pPr>
              <w:pStyle w:val="Compact"/>
              <w:jc w:val="left"/>
            </w:pPr>
            <w:r>
              <w:t xml:space="preserve">+0.08</w:t>
            </w:r>
          </w:p>
        </w:tc>
      </w:tr>
      <w:tr>
        <w:tc>
          <w:tcPr>
            <w:vAlign w:val="top"/>
          </w:tcPr>
          <w:p>
            <w:pPr>
              <w:pStyle w:val="Compact"/>
              <w:jc w:val="left"/>
            </w:pPr>
            <w:r>
              <w:t xml:space="preserve">U6xD2</w:t>
            </w:r>
          </w:p>
        </w:tc>
        <w:tc>
          <w:tcPr>
            <w:vAlign w:val="top"/>
          </w:tcPr>
          <w:p>
            <w:pPr>
              <w:pStyle w:val="Compact"/>
              <w:jc w:val="left"/>
            </w:pPr>
            <w:r>
              <w:t xml:space="preserve">0.00</w:t>
            </w:r>
          </w:p>
        </w:tc>
      </w:tr>
      <w:tr>
        <w:tc>
          <w:tcPr>
            <w:shd w:val="clear" w:color="auto" w:fill="F7FBFE"/>
            <w:vAlign w:val="top"/>
          </w:tcPr>
          <w:p>
            <w:pPr>
              <w:pStyle w:val="Compact"/>
              <w:jc w:val="left"/>
            </w:pPr>
            <w:r>
              <w:t xml:space="preserve">U6xD5</w:t>
            </w:r>
          </w:p>
        </w:tc>
        <w:tc>
          <w:tcPr>
            <w:shd w:val="clear" w:color="auto" w:fill="F7FBFE"/>
            <w:vAlign w:val="top"/>
          </w:tcPr>
          <w:p>
            <w:pPr>
              <w:pStyle w:val="Compact"/>
              <w:jc w:val="left"/>
            </w:pPr>
            <w:r>
              <w:t xml:space="preserve">+0.03</w:t>
            </w:r>
          </w:p>
        </w:tc>
      </w:tr>
      <w:tr>
        <w:tc>
          <w:tcPr>
            <w:vAlign w:val="top"/>
          </w:tcPr>
          <w:p>
            <w:pPr>
              <w:pStyle w:val="Compact"/>
              <w:jc w:val="left"/>
            </w:pPr>
            <w:r>
              <w:t xml:space="preserve">U6xD7</w:t>
            </w:r>
          </w:p>
        </w:tc>
        <w:tc>
          <w:tcPr>
            <w:vAlign w:val="top"/>
          </w:tcPr>
          <w:p>
            <w:pPr>
              <w:pStyle w:val="Compact"/>
              <w:jc w:val="left"/>
            </w:pPr>
            <w:r>
              <w:t xml:space="preserve">0.00</w:t>
            </w:r>
          </w:p>
        </w:tc>
      </w:tr>
      <w:tr>
        <w:tc>
          <w:tcPr>
            <w:shd w:val="clear" w:color="auto" w:fill="F7FBFE"/>
            <w:vAlign w:val="top"/>
          </w:tcPr>
          <w:p>
            <w:pPr>
              <w:pStyle w:val="Compact"/>
              <w:jc w:val="left"/>
            </w:pPr>
            <w:r>
              <w:t xml:space="preserve">U7xD7</w:t>
            </w:r>
          </w:p>
        </w:tc>
        <w:tc>
          <w:tcPr>
            <w:shd w:val="clear" w:color="auto" w:fill="F7FBFE"/>
            <w:vAlign w:val="top"/>
          </w:tcPr>
          <w:p>
            <w:pPr>
              <w:pStyle w:val="Compact"/>
              <w:jc w:val="left"/>
            </w:pPr>
            <w:r>
              <w:t xml:space="preserve">0.00</w:t>
            </w:r>
          </w:p>
        </w:tc>
      </w:tr>
    </w:tbl>
    <w:bookmarkEnd w:id="547"/>
    <w:bookmarkStart w:id="548" w:name="r194-expected-ncrc-outcomes"/>
    <w:p>
      <w:pPr>
        <w:pStyle w:val="Heading2"/>
      </w:pPr>
      <w:r>
        <w:rPr>
          <w:bCs/>
          <w:b/>
        </w:rPr>
        <w:t xml:space="preserve">R.19.4 Expected NCRC outcomes</w:t>
      </w:r>
    </w:p>
    <w:p>
      <w:pPr>
        <w:pStyle w:val="FirstParagraph"/>
      </w:pPr>
      <w:r>
        <w:t xml:space="preserve">The table displays the floor channel</w:t>
      </w:r>
      <w:r>
        <w:t xml:space="preserve"> </w:t>
      </w:r>
      <w:r>
        <w:rPr>
          <w:rStyle w:val="VerbatimChar"/>
        </w:rPr>
        <w:t xml:space="preserve">v_r^floor</w:t>
      </w:r>
      <w:r>
        <w:t xml:space="preserve">. For this deterministic vector,</w:t>
      </w:r>
      <w:r>
        <w:t xml:space="preserve"> </w:t>
      </w:r>
      <w:r>
        <w:rPr>
          <w:rStyle w:val="VerbatimChar"/>
        </w:rPr>
        <w:t xml:space="preserve">v_r^cat=0</w:t>
      </w:r>
      <w:r>
        <w:t xml:space="preserve">,</w:t>
      </w:r>
      <w:r>
        <w:t xml:space="preserve"> </w:t>
      </w:r>
      <w:r>
        <w:rPr>
          <w:rStyle w:val="VerbatimChar"/>
        </w:rPr>
        <w:t xml:space="preserve">v_r^risk=0</w:t>
      </w:r>
      <w:r>
        <w:t xml:space="preserve">,</w:t>
      </w:r>
      <w:r>
        <w:t xml:space="preserve"> </w:t>
      </w:r>
      <w:r>
        <w:rPr>
          <w:rStyle w:val="VerbatimChar"/>
        </w:rPr>
        <w:t xml:space="preserve">rights_evidence_status=COMPLETE</w:t>
      </w:r>
      <w:r>
        <w:t xml:space="preserve">, and all required severe-hazard fields are complete for A, B, and C. The final NCRC status is the conjunction of the floor, categorical, severe-risk, and evidence-completeness conditions.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584"/>
        <w:gridCol w:w="1584"/>
        <w:gridCol w:w="1584"/>
        <w:gridCol w:w="1584"/>
        <w:gridCol w:w="1584"/>
      </w:tblGrid>
      <w:tr>
        <w:trPr>
          <w:tblHeader w:val="true"/>
        </w:trPr>
        <w:tc>
          <w:tcPr>
            <w:shd w:val="clear" w:color="auto" w:fill="D9EAF7"/>
            <w:vAlign w:val="center"/>
          </w:tcPr>
          <w:p>
            <w:pPr>
              <w:pStyle w:val="Compact"/>
              <w:jc w:val="left"/>
            </w:pPr>
            <w:r>
              <w:rPr>
                <w:bCs/>
                <w:b/>
                <w:color w:val="17365D"/>
              </w:rPr>
              <w:t xml:space="preserve">Right</w:t>
            </w:r>
          </w:p>
        </w:tc>
        <w:tc>
          <w:tcPr>
            <w:shd w:val="clear" w:color="auto" w:fill="D9EAF7"/>
            <w:vAlign w:val="center"/>
          </w:tcPr>
          <w:p>
            <w:pPr>
              <w:pStyle w:val="Compact"/>
              <w:jc w:val="left"/>
            </w:pPr>
            <w:r>
              <w:rPr>
                <w:bCs/>
                <w:b/>
                <w:color w:val="17365D"/>
              </w:rPr>
              <w:t xml:space="preserve">theta_r</w:t>
            </w:r>
          </w:p>
        </w:tc>
        <w:tc>
          <w:tcPr>
            <w:shd w:val="clear" w:color="auto" w:fill="D9EAF7"/>
            <w:vAlign w:val="center"/>
          </w:tcPr>
          <w:p>
            <w:pPr>
              <w:pStyle w:val="Compact"/>
              <w:jc w:val="left"/>
            </w:pPr>
            <w:r>
              <w:rPr>
                <w:bCs/>
                <w:b/>
                <w:color w:val="17365D"/>
              </w:rPr>
              <w:t xml:space="preserve">Binding cell</w:t>
            </w:r>
          </w:p>
        </w:tc>
        <w:tc>
          <w:tcPr>
            <w:shd w:val="clear" w:color="auto" w:fill="D9EAF7"/>
            <w:vAlign w:val="center"/>
          </w:tcPr>
          <w:p>
            <w:pPr>
              <w:pStyle w:val="Compact"/>
              <w:jc w:val="left"/>
            </w:pPr>
            <w:r>
              <w:rPr>
                <w:bCs/>
                <w:b/>
                <w:color w:val="17365D"/>
              </w:rPr>
              <w:t xml:space="preserve">I_rights</w:t>
            </w:r>
          </w:p>
        </w:tc>
        <w:tc>
          <w:tcPr>
            <w:shd w:val="clear" w:color="auto" w:fill="D9EAF7"/>
            <w:vAlign w:val="center"/>
          </w:tcPr>
          <w:p>
            <w:pPr>
              <w:pStyle w:val="Compact"/>
              <w:jc w:val="left"/>
            </w:pPr>
            <w:r>
              <w:rPr>
                <w:bCs/>
                <w:b/>
                <w:color w:val="17365D"/>
              </w:rPr>
              <w:t xml:space="preserve">v_r^floor(A)</w:t>
            </w:r>
          </w:p>
        </w:tc>
      </w:tr>
      <w:tr>
        <w:tc>
          <w:tcPr>
            <w:vAlign w:val="top"/>
          </w:tcPr>
          <w:p>
            <w:pPr>
              <w:pStyle w:val="Compact"/>
              <w:jc w:val="left"/>
            </w:pPr>
            <w:r>
              <w:t xml:space="preserve">LIFE</w:t>
            </w:r>
          </w:p>
        </w:tc>
        <w:tc>
          <w:tcPr>
            <w:vAlign w:val="top"/>
          </w:tcPr>
          <w:p>
            <w:pPr>
              <w:pStyle w:val="Compact"/>
              <w:jc w:val="left"/>
            </w:pPr>
            <w:r>
              <w:t xml:space="preserve">-0.90</w:t>
            </w:r>
          </w:p>
        </w:tc>
        <w:tc>
          <w:tcPr>
            <w:vAlign w:val="top"/>
          </w:tcPr>
          <w:p>
            <w:pPr>
              <w:pStyle w:val="Compact"/>
              <w:jc w:val="left"/>
            </w:pPr>
            <w:r>
              <w:t xml:space="preserve">U6xD2</w:t>
            </w:r>
          </w:p>
        </w:tc>
        <w:tc>
          <w:tcPr>
            <w:vAlign w:val="top"/>
          </w:tcPr>
          <w:p>
            <w:pPr>
              <w:pStyle w:val="Compact"/>
              <w:jc w:val="left"/>
            </w:pPr>
            <w:r>
              <w:t xml:space="preserve">-0.075</w:t>
            </w:r>
          </w:p>
        </w:tc>
        <w:tc>
          <w:tcPr>
            <w:vAlign w:val="top"/>
          </w:tcPr>
          <w:p>
            <w:pPr>
              <w:pStyle w:val="Compact"/>
              <w:jc w:val="left"/>
            </w:pPr>
            <w:r>
              <w:t xml:space="preserve">0.000</w:t>
            </w:r>
          </w:p>
        </w:tc>
      </w:tr>
      <w:tr>
        <w:tc>
          <w:tcPr>
            <w:shd w:val="clear" w:color="auto" w:fill="F7FBFE"/>
            <w:vAlign w:val="top"/>
          </w:tcPr>
          <w:p>
            <w:pPr>
              <w:pStyle w:val="Compact"/>
              <w:jc w:val="left"/>
            </w:pPr>
            <w:r>
              <w:t xml:space="preserve">BODY</w:t>
            </w:r>
          </w:p>
        </w:tc>
        <w:tc>
          <w:tcPr>
            <w:shd w:val="clear" w:color="auto" w:fill="F7FBFE"/>
            <w:vAlign w:val="top"/>
          </w:tcPr>
          <w:p>
            <w:pPr>
              <w:pStyle w:val="Compact"/>
              <w:jc w:val="left"/>
            </w:pPr>
            <w:r>
              <w:t xml:space="preserve">-0.70</w:t>
            </w:r>
          </w:p>
        </w:tc>
        <w:tc>
          <w:tcPr>
            <w:shd w:val="clear" w:color="auto" w:fill="F7FBFE"/>
            <w:vAlign w:val="top"/>
          </w:tcPr>
          <w:p>
            <w:pPr>
              <w:pStyle w:val="Compact"/>
              <w:jc w:val="left"/>
            </w:pPr>
            <w:r>
              <w:t xml:space="preserve">U6xD2</w:t>
            </w:r>
          </w:p>
        </w:tc>
        <w:tc>
          <w:tcPr>
            <w:shd w:val="clear" w:color="auto" w:fill="F7FBFE"/>
            <w:vAlign w:val="top"/>
          </w:tcPr>
          <w:p>
            <w:pPr>
              <w:pStyle w:val="Compact"/>
              <w:jc w:val="left"/>
            </w:pPr>
            <w:r>
              <w:t xml:space="preserve">-0.075</w:t>
            </w:r>
          </w:p>
        </w:tc>
        <w:tc>
          <w:tcPr>
            <w:shd w:val="clear" w:color="auto" w:fill="F7FBFE"/>
            <w:vAlign w:val="top"/>
          </w:tcPr>
          <w:p>
            <w:pPr>
              <w:pStyle w:val="Compact"/>
              <w:jc w:val="left"/>
            </w:pPr>
            <w:r>
              <w:t xml:space="preserve">0.000</w:t>
            </w:r>
          </w:p>
        </w:tc>
      </w:tr>
      <w:tr>
        <w:tc>
          <w:tcPr>
            <w:vAlign w:val="top"/>
          </w:tcPr>
          <w:p>
            <w:pPr>
              <w:pStyle w:val="Compact"/>
              <w:jc w:val="left"/>
            </w:pPr>
            <w:r>
              <w:t xml:space="preserve">LBTY</w:t>
            </w:r>
          </w:p>
        </w:tc>
        <w:tc>
          <w:tcPr>
            <w:vAlign w:val="top"/>
          </w:tcPr>
          <w:p>
            <w:pPr>
              <w:pStyle w:val="Compact"/>
              <w:jc w:val="left"/>
            </w:pPr>
            <w:r>
              <w:t xml:space="preserve">-0.65</w:t>
            </w:r>
          </w:p>
        </w:tc>
        <w:tc>
          <w:tcPr>
            <w:vAlign w:val="top"/>
          </w:tcPr>
          <w:p>
            <w:pPr>
              <w:pStyle w:val="Compact"/>
              <w:jc w:val="left"/>
            </w:pPr>
            <w:r>
              <w:t xml:space="preserve">U1xD5</w:t>
            </w:r>
          </w:p>
        </w:tc>
        <w:tc>
          <w:tcPr>
            <w:vAlign w:val="top"/>
          </w:tcPr>
          <w:p>
            <w:pPr>
              <w:pStyle w:val="Compact"/>
              <w:jc w:val="left"/>
            </w:pPr>
            <w:r>
              <w:t xml:space="preserve">-1.000</w:t>
            </w:r>
          </w:p>
        </w:tc>
        <w:tc>
          <w:tcPr>
            <w:vAlign w:val="top"/>
          </w:tcPr>
          <w:p>
            <w:pPr>
              <w:pStyle w:val="Compact"/>
              <w:jc w:val="left"/>
            </w:pPr>
            <w:r>
              <w:t xml:space="preserve">0.350</w:t>
            </w:r>
          </w:p>
        </w:tc>
      </w:tr>
      <w:tr>
        <w:tc>
          <w:tcPr>
            <w:shd w:val="clear" w:color="auto" w:fill="F7FBFE"/>
            <w:vAlign w:val="top"/>
          </w:tcPr>
          <w:p>
            <w:pPr>
              <w:pStyle w:val="Compact"/>
              <w:jc w:val="left"/>
            </w:pPr>
            <w:r>
              <w:t xml:space="preserve">NEED</w:t>
            </w:r>
          </w:p>
        </w:tc>
        <w:tc>
          <w:tcPr>
            <w:shd w:val="clear" w:color="auto" w:fill="F7FBFE"/>
            <w:vAlign w:val="top"/>
          </w:tcPr>
          <w:p>
            <w:pPr>
              <w:pStyle w:val="Compact"/>
              <w:jc w:val="left"/>
            </w:pPr>
            <w:r>
              <w:t xml:space="preserve">-0.50</w:t>
            </w:r>
          </w:p>
        </w:tc>
        <w:tc>
          <w:tcPr>
            <w:shd w:val="clear" w:color="auto" w:fill="F7FBFE"/>
            <w:vAlign w:val="top"/>
          </w:tcPr>
          <w:p>
            <w:pPr>
              <w:pStyle w:val="Compact"/>
              <w:jc w:val="left"/>
            </w:pPr>
            <w:r>
              <w:t xml:space="preserve">U6xD2</w:t>
            </w:r>
          </w:p>
        </w:tc>
        <w:tc>
          <w:tcPr>
            <w:shd w:val="clear" w:color="auto" w:fill="F7FBFE"/>
            <w:vAlign w:val="top"/>
          </w:tcPr>
          <w:p>
            <w:pPr>
              <w:pStyle w:val="Compact"/>
              <w:jc w:val="left"/>
            </w:pPr>
            <w:r>
              <w:t xml:space="preserve">-0.075</w:t>
            </w:r>
          </w:p>
        </w:tc>
        <w:tc>
          <w:tcPr>
            <w:shd w:val="clear" w:color="auto" w:fill="F7FBFE"/>
            <w:vAlign w:val="top"/>
          </w:tcPr>
          <w:p>
            <w:pPr>
              <w:pStyle w:val="Compact"/>
              <w:jc w:val="left"/>
            </w:pPr>
            <w:r>
              <w:t xml:space="preserve">0.000</w:t>
            </w:r>
          </w:p>
        </w:tc>
      </w:tr>
      <w:tr>
        <w:tc>
          <w:tcPr>
            <w:vAlign w:val="top"/>
          </w:tcPr>
          <w:p>
            <w:pPr>
              <w:pStyle w:val="Compact"/>
              <w:jc w:val="left"/>
            </w:pPr>
            <w:r>
              <w:t xml:space="preserve">DIGN</w:t>
            </w:r>
          </w:p>
        </w:tc>
        <w:tc>
          <w:tcPr>
            <w:vAlign w:val="top"/>
          </w:tcPr>
          <w:p>
            <w:pPr>
              <w:pStyle w:val="Compact"/>
              <w:jc w:val="left"/>
            </w:pPr>
            <w:r>
              <w:t xml:space="preserve">-0.55</w:t>
            </w:r>
          </w:p>
        </w:tc>
        <w:tc>
          <w:tcPr>
            <w:vAlign w:val="top"/>
          </w:tcPr>
          <w:p>
            <w:pPr>
              <w:pStyle w:val="Compact"/>
              <w:jc w:val="left"/>
            </w:pPr>
            <w:r>
              <w:t xml:space="preserve">U1xD5</w:t>
            </w:r>
          </w:p>
        </w:tc>
        <w:tc>
          <w:tcPr>
            <w:vAlign w:val="top"/>
          </w:tcPr>
          <w:p>
            <w:pPr>
              <w:pStyle w:val="Compact"/>
              <w:jc w:val="left"/>
            </w:pPr>
            <w:r>
              <w:t xml:space="preserve">-1.000</w:t>
            </w:r>
          </w:p>
        </w:tc>
        <w:tc>
          <w:tcPr>
            <w:vAlign w:val="top"/>
          </w:tcPr>
          <w:p>
            <w:pPr>
              <w:pStyle w:val="Compact"/>
              <w:jc w:val="left"/>
            </w:pPr>
            <w:r>
              <w:t xml:space="preserve">0.450</w:t>
            </w:r>
          </w:p>
        </w:tc>
      </w:tr>
      <w:tr>
        <w:tc>
          <w:tcPr>
            <w:shd w:val="clear" w:color="auto" w:fill="F7FBFE"/>
            <w:vAlign w:val="top"/>
          </w:tcPr>
          <w:p>
            <w:pPr>
              <w:pStyle w:val="Compact"/>
              <w:jc w:val="left"/>
            </w:pPr>
            <w:r>
              <w:t xml:space="preserve">PROC</w:t>
            </w:r>
          </w:p>
        </w:tc>
        <w:tc>
          <w:tcPr>
            <w:shd w:val="clear" w:color="auto" w:fill="F7FBFE"/>
            <w:vAlign w:val="top"/>
          </w:tcPr>
          <w:p>
            <w:pPr>
              <w:pStyle w:val="Compact"/>
              <w:jc w:val="left"/>
            </w:pPr>
            <w:r>
              <w:t xml:space="preserve">-0.45</w:t>
            </w:r>
          </w:p>
        </w:tc>
        <w:tc>
          <w:tcPr>
            <w:shd w:val="clear" w:color="auto" w:fill="F7FBFE"/>
            <w:vAlign w:val="top"/>
          </w:tcPr>
          <w:p>
            <w:pPr>
              <w:pStyle w:val="Compact"/>
              <w:jc w:val="left"/>
            </w:pPr>
            <w:r>
              <w:t xml:space="preserve">U4xD5</w:t>
            </w:r>
          </w:p>
        </w:tc>
        <w:tc>
          <w:tcPr>
            <w:shd w:val="clear" w:color="auto" w:fill="F7FBFE"/>
            <w:vAlign w:val="top"/>
          </w:tcPr>
          <w:p>
            <w:pPr>
              <w:pStyle w:val="Compact"/>
              <w:jc w:val="left"/>
            </w:pPr>
            <w:r>
              <w:t xml:space="preserve">-0.750</w:t>
            </w:r>
          </w:p>
        </w:tc>
        <w:tc>
          <w:tcPr>
            <w:shd w:val="clear" w:color="auto" w:fill="F7FBFE"/>
            <w:vAlign w:val="top"/>
          </w:tcPr>
          <w:p>
            <w:pPr>
              <w:pStyle w:val="Compact"/>
              <w:jc w:val="left"/>
            </w:pPr>
            <w:r>
              <w:t xml:space="preserve">0.300</w:t>
            </w:r>
          </w:p>
        </w:tc>
      </w:tr>
      <w:tr>
        <w:tc>
          <w:tcPr>
            <w:vAlign w:val="top"/>
          </w:tcPr>
          <w:p>
            <w:pPr>
              <w:pStyle w:val="Compact"/>
              <w:jc w:val="left"/>
            </w:pPr>
            <w:r>
              <w:t xml:space="preserve">INFO</w:t>
            </w:r>
          </w:p>
        </w:tc>
        <w:tc>
          <w:tcPr>
            <w:vAlign w:val="top"/>
          </w:tcPr>
          <w:p>
            <w:pPr>
              <w:pStyle w:val="Compact"/>
              <w:jc w:val="left"/>
            </w:pPr>
            <w:r>
              <w:t xml:space="preserve">-0.40</w:t>
            </w:r>
          </w:p>
        </w:tc>
        <w:tc>
          <w:tcPr>
            <w:vAlign w:val="top"/>
          </w:tcPr>
          <w:p>
            <w:pPr>
              <w:pStyle w:val="Compact"/>
              <w:jc w:val="left"/>
            </w:pPr>
            <w:r>
              <w:t xml:space="preserve">U1xD5</w:t>
            </w:r>
          </w:p>
        </w:tc>
        <w:tc>
          <w:tcPr>
            <w:vAlign w:val="top"/>
          </w:tcPr>
          <w:p>
            <w:pPr>
              <w:pStyle w:val="Compact"/>
              <w:jc w:val="left"/>
            </w:pPr>
            <w:r>
              <w:t xml:space="preserve">-1.000</w:t>
            </w:r>
          </w:p>
        </w:tc>
        <w:tc>
          <w:tcPr>
            <w:vAlign w:val="top"/>
          </w:tcPr>
          <w:p>
            <w:pPr>
              <w:pStyle w:val="Compact"/>
              <w:jc w:val="left"/>
            </w:pPr>
            <w:r>
              <w:t xml:space="preserve">0.600</w:t>
            </w:r>
          </w:p>
        </w:tc>
      </w:tr>
      <w:tr>
        <w:tc>
          <w:tcPr>
            <w:shd w:val="clear" w:color="auto" w:fill="F7FBFE"/>
            <w:vAlign w:val="top"/>
          </w:tcPr>
          <w:p>
            <w:pPr>
              <w:pStyle w:val="Compact"/>
              <w:jc w:val="left"/>
            </w:pPr>
            <w:r>
              <w:t xml:space="preserve">ECOL</w:t>
            </w:r>
          </w:p>
        </w:tc>
        <w:tc>
          <w:tcPr>
            <w:shd w:val="clear" w:color="auto" w:fill="F7FBFE"/>
            <w:vAlign w:val="top"/>
          </w:tcPr>
          <w:p>
            <w:pPr>
              <w:pStyle w:val="Compact"/>
              <w:jc w:val="left"/>
            </w:pPr>
            <w:r>
              <w:t xml:space="preserve">-0.65</w:t>
            </w:r>
          </w:p>
        </w:tc>
        <w:tc>
          <w:tcPr>
            <w:shd w:val="clear" w:color="auto" w:fill="F7FBFE"/>
            <w:vAlign w:val="top"/>
          </w:tcPr>
          <w:p>
            <w:pPr>
              <w:pStyle w:val="Compact"/>
              <w:jc w:val="left"/>
            </w:pPr>
            <w:r>
              <w:t xml:space="preserve">U6xD7</w:t>
            </w:r>
          </w:p>
        </w:tc>
        <w:tc>
          <w:tcPr>
            <w:shd w:val="clear" w:color="auto" w:fill="F7FBFE"/>
            <w:vAlign w:val="top"/>
          </w:tcPr>
          <w:p>
            <w:pPr>
              <w:pStyle w:val="Compact"/>
              <w:jc w:val="left"/>
            </w:pPr>
            <w:r>
              <w:t xml:space="preserve">-0.030</w:t>
            </w:r>
          </w:p>
        </w:tc>
        <w:tc>
          <w:tcPr>
            <w:shd w:val="clear" w:color="auto" w:fill="F7FBFE"/>
            <w:vAlign w:val="top"/>
          </w:tcPr>
          <w:p>
            <w:pPr>
              <w:pStyle w:val="Compact"/>
              <w:jc w:val="left"/>
            </w:pPr>
            <w:r>
              <w:t xml:space="preserve">0.000</w:t>
            </w:r>
          </w:p>
        </w:tc>
      </w:tr>
    </w:tbl>
    <w:p>
      <w:pPr>
        <w:pStyle w:val="BodyText"/>
      </w:pPr>
      <w:r>
        <w:t xml:space="preserve">NCRC(A) = FALSE. Violations: LBTY, DIGN, PROC, INFO.</w:t>
      </w:r>
    </w:p>
    <w:p>
      <w:pPr>
        <w:pStyle w:val="BodyText"/>
      </w:pPr>
      <w:r>
        <w:t xml:space="preserve">Option B (expected: PASS): worst relevant right values remain above thresholds; NCRC(B) = TRUE.</w:t>
      </w:r>
    </w:p>
    <w:p>
      <w:pPr>
        <w:pStyle w:val="BodyText"/>
      </w:pPr>
      <w:r>
        <w:t xml:space="preserve">Option C (expected: PASS): all I_rights values are non-negative or mildly negative and remain above thresholds; NCRC(C) = TRUE.</w:t>
      </w:r>
    </w:p>
    <w:p>
      <w:pPr>
        <w:pStyle w:val="BodyText"/>
      </w:pPr>
      <w:r>
        <w:t xml:space="preserve">A_NCRC = {B, C}.</w:t>
      </w:r>
    </w:p>
    <w:bookmarkEnd w:id="548"/>
    <w:bookmarkStart w:id="549" w:name="r195-expected-trc-outcomes"/>
    <w:p>
      <w:pPr>
        <w:pStyle w:val="Heading2"/>
      </w:pPr>
      <w:r>
        <w:rPr>
          <w:bCs/>
          <w:b/>
        </w:rPr>
        <w:t xml:space="preserve">R.19.5 Expected TRC outcomes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584"/>
        <w:gridCol w:w="1584"/>
        <w:gridCol w:w="1584"/>
        <w:gridCol w:w="1584"/>
        <w:gridCol w:w="1584"/>
      </w:tblGrid>
      <w:tr>
        <w:trPr>
          <w:tblHeader w:val="true"/>
        </w:trPr>
        <w:tc>
          <w:tcPr>
            <w:shd w:val="clear" w:color="auto" w:fill="D9EAF7"/>
            <w:vAlign w:val="center"/>
          </w:tcPr>
          <w:p>
            <w:pPr>
              <w:pStyle w:val="Compact"/>
              <w:jc w:val="left"/>
            </w:pPr>
            <w:r>
              <w:rPr>
                <w:bCs/>
                <w:b/>
                <w:color w:val="17365D"/>
              </w:rPr>
              <w:t xml:space="preserve">Scenario</w:t>
            </w:r>
          </w:p>
        </w:tc>
        <w:tc>
          <w:tcPr>
            <w:shd w:val="clear" w:color="auto" w:fill="D9EAF7"/>
            <w:vAlign w:val="center"/>
          </w:tcPr>
          <w:p>
            <w:pPr>
              <w:pStyle w:val="Compact"/>
              <w:jc w:val="left"/>
            </w:pPr>
            <w:r>
              <w:rPr>
                <w:bCs/>
                <w:b/>
                <w:color w:val="17365D"/>
              </w:rPr>
              <w:t xml:space="preserve">Category</w:t>
            </w:r>
          </w:p>
        </w:tc>
        <w:tc>
          <w:tcPr>
            <w:shd w:val="clear" w:color="auto" w:fill="D9EAF7"/>
            <w:vAlign w:val="center"/>
          </w:tcPr>
          <w:p>
            <w:pPr>
              <w:pStyle w:val="Compact"/>
              <w:jc w:val="left"/>
            </w:pPr>
            <w:r>
              <w:rPr>
                <w:bCs/>
                <w:b/>
                <w:color w:val="17365D"/>
              </w:rPr>
              <w:t xml:space="preserve">p_s</w:t>
            </w:r>
          </w:p>
        </w:tc>
        <w:tc>
          <w:tcPr>
            <w:shd w:val="clear" w:color="auto" w:fill="D9EAF7"/>
            <w:vAlign w:val="center"/>
          </w:tcPr>
          <w:p>
            <w:pPr>
              <w:pStyle w:val="Compact"/>
              <w:jc w:val="left"/>
            </w:pPr>
            <w:r>
              <w:rPr>
                <w:bCs/>
                <w:b/>
                <w:color w:val="17365D"/>
              </w:rPr>
              <w:t xml:space="preserve">L(B,s)</w:t>
            </w:r>
          </w:p>
        </w:tc>
        <w:tc>
          <w:tcPr>
            <w:shd w:val="clear" w:color="auto" w:fill="D9EAF7"/>
            <w:vAlign w:val="center"/>
          </w:tcPr>
          <w:p>
            <w:pPr>
              <w:pStyle w:val="Compact"/>
              <w:jc w:val="left"/>
            </w:pPr>
            <w:r>
              <w:rPr>
                <w:bCs/>
                <w:b/>
                <w:color w:val="17365D"/>
              </w:rPr>
              <w:t xml:space="preserve">L(C,s)</w:t>
            </w:r>
          </w:p>
        </w:tc>
      </w:tr>
      <w:tr>
        <w:tc>
          <w:tcPr>
            <w:vAlign w:val="top"/>
          </w:tcPr>
          <w:p>
            <w:pPr>
              <w:pStyle w:val="Compact"/>
              <w:jc w:val="left"/>
            </w:pPr>
            <w:r>
              <w:t xml:space="preserve">S1</w:t>
            </w:r>
          </w:p>
        </w:tc>
        <w:tc>
          <w:tcPr>
            <w:vAlign w:val="top"/>
          </w:tcPr>
          <w:p>
            <w:pPr>
              <w:pStyle w:val="Compact"/>
              <w:jc w:val="left"/>
            </w:pPr>
            <w:r>
              <w:t xml:space="preserve">Pandemic</w:t>
            </w:r>
          </w:p>
        </w:tc>
        <w:tc>
          <w:tcPr>
            <w:vAlign w:val="top"/>
          </w:tcPr>
          <w:p>
            <w:pPr>
              <w:pStyle w:val="Compact"/>
              <w:jc w:val="left"/>
            </w:pPr>
            <w:r>
              <w:t xml:space="preserve">0.05</w:t>
            </w:r>
          </w:p>
        </w:tc>
        <w:tc>
          <w:tcPr>
            <w:vAlign w:val="top"/>
          </w:tcPr>
          <w:p>
            <w:pPr>
              <w:pStyle w:val="Compact"/>
              <w:jc w:val="left"/>
            </w:pPr>
            <w:r>
              <w:t xml:space="preserve">0.15</w:t>
            </w:r>
          </w:p>
        </w:tc>
        <w:tc>
          <w:tcPr>
            <w:vAlign w:val="top"/>
          </w:tcPr>
          <w:p>
            <w:pPr>
              <w:pStyle w:val="Compact"/>
              <w:jc w:val="left"/>
            </w:pPr>
            <w:r>
              <w:t xml:space="preserve">0.08</w:t>
            </w:r>
          </w:p>
        </w:tc>
      </w:tr>
      <w:tr>
        <w:tc>
          <w:tcPr>
            <w:shd w:val="clear" w:color="auto" w:fill="F7FBFE"/>
            <w:vAlign w:val="top"/>
          </w:tcPr>
          <w:p>
            <w:pPr>
              <w:pStyle w:val="Compact"/>
              <w:jc w:val="left"/>
            </w:pPr>
            <w:r>
              <w:t xml:space="preserve">S2</w:t>
            </w:r>
          </w:p>
        </w:tc>
        <w:tc>
          <w:tcPr>
            <w:shd w:val="clear" w:color="auto" w:fill="F7FBFE"/>
            <w:vAlign w:val="top"/>
          </w:tcPr>
          <w:p>
            <w:pPr>
              <w:pStyle w:val="Compact"/>
              <w:jc w:val="left"/>
            </w:pPr>
            <w:r>
              <w:t xml:space="preserve">Infrastructure</w:t>
            </w:r>
          </w:p>
        </w:tc>
        <w:tc>
          <w:tcPr>
            <w:shd w:val="clear" w:color="auto" w:fill="F7FBFE"/>
            <w:vAlign w:val="top"/>
          </w:tcPr>
          <w:p>
            <w:pPr>
              <w:pStyle w:val="Compact"/>
              <w:jc w:val="left"/>
            </w:pPr>
            <w:r>
              <w:t xml:space="preserve">0.04</w:t>
            </w:r>
          </w:p>
        </w:tc>
        <w:tc>
          <w:tcPr>
            <w:shd w:val="clear" w:color="auto" w:fill="F7FBFE"/>
            <w:vAlign w:val="top"/>
          </w:tcPr>
          <w:p>
            <w:pPr>
              <w:pStyle w:val="Compact"/>
              <w:jc w:val="left"/>
            </w:pPr>
            <w:r>
              <w:t xml:space="preserve">0.12</w:t>
            </w:r>
          </w:p>
        </w:tc>
        <w:tc>
          <w:tcPr>
            <w:shd w:val="clear" w:color="auto" w:fill="F7FBFE"/>
            <w:vAlign w:val="top"/>
          </w:tcPr>
          <w:p>
            <w:pPr>
              <w:pStyle w:val="Compact"/>
              <w:jc w:val="left"/>
            </w:pPr>
            <w:r>
              <w:t xml:space="preserve">0.06</w:t>
            </w:r>
          </w:p>
        </w:tc>
      </w:tr>
      <w:tr>
        <w:tc>
          <w:tcPr>
            <w:vAlign w:val="top"/>
          </w:tcPr>
          <w:p>
            <w:pPr>
              <w:pStyle w:val="Compact"/>
              <w:jc w:val="left"/>
            </w:pPr>
            <w:r>
              <w:t xml:space="preserve">S3</w:t>
            </w:r>
          </w:p>
        </w:tc>
        <w:tc>
          <w:tcPr>
            <w:vAlign w:val="top"/>
          </w:tcPr>
          <w:p>
            <w:pPr>
              <w:pStyle w:val="Compact"/>
              <w:jc w:val="left"/>
            </w:pPr>
            <w:r>
              <w:t xml:space="preserve">Climate</w:t>
            </w:r>
          </w:p>
        </w:tc>
        <w:tc>
          <w:tcPr>
            <w:vAlign w:val="top"/>
          </w:tcPr>
          <w:p>
            <w:pPr>
              <w:pStyle w:val="Compact"/>
              <w:jc w:val="left"/>
            </w:pPr>
            <w:r>
              <w:t xml:space="preserve">0.03</w:t>
            </w:r>
          </w:p>
        </w:tc>
        <w:tc>
          <w:tcPr>
            <w:vAlign w:val="top"/>
          </w:tcPr>
          <w:p>
            <w:pPr>
              <w:pStyle w:val="Compact"/>
              <w:jc w:val="left"/>
            </w:pPr>
            <w:r>
              <w:t xml:space="preserve">0.10</w:t>
            </w:r>
          </w:p>
        </w:tc>
        <w:tc>
          <w:tcPr>
            <w:vAlign w:val="top"/>
          </w:tcPr>
          <w:p>
            <w:pPr>
              <w:pStyle w:val="Compact"/>
              <w:jc w:val="left"/>
            </w:pPr>
            <w:r>
              <w:t xml:space="preserve">0.05</w:t>
            </w:r>
          </w:p>
        </w:tc>
      </w:tr>
      <w:tr>
        <w:tc>
          <w:tcPr>
            <w:shd w:val="clear" w:color="auto" w:fill="F7FBFE"/>
            <w:vAlign w:val="top"/>
          </w:tcPr>
          <w:p>
            <w:pPr>
              <w:pStyle w:val="Compact"/>
              <w:jc w:val="left"/>
            </w:pPr>
            <w:r>
              <w:t xml:space="preserve">S4</w:t>
            </w:r>
          </w:p>
        </w:tc>
        <w:tc>
          <w:tcPr>
            <w:shd w:val="clear" w:color="auto" w:fill="F7FBFE"/>
            <w:vAlign w:val="top"/>
          </w:tcPr>
          <w:p>
            <w:pPr>
              <w:pStyle w:val="Compact"/>
              <w:jc w:val="left"/>
            </w:pPr>
            <w:r>
              <w:t xml:space="preserve">Baseline</w:t>
            </w:r>
          </w:p>
        </w:tc>
        <w:tc>
          <w:tcPr>
            <w:shd w:val="clear" w:color="auto" w:fill="F7FBFE"/>
            <w:vAlign w:val="top"/>
          </w:tcPr>
          <w:p>
            <w:pPr>
              <w:pStyle w:val="Compact"/>
              <w:jc w:val="left"/>
            </w:pPr>
            <w:r>
              <w:t xml:space="preserve">0.58</w:t>
            </w:r>
          </w:p>
        </w:tc>
        <w:tc>
          <w:tcPr>
            <w:shd w:val="clear" w:color="auto" w:fill="F7FBFE"/>
            <w:vAlign w:val="top"/>
          </w:tcPr>
          <w:p>
            <w:pPr>
              <w:pStyle w:val="Compact"/>
              <w:jc w:val="left"/>
            </w:pPr>
            <w:r>
              <w:t xml:space="preserve">0.02</w:t>
            </w:r>
          </w:p>
        </w:tc>
        <w:tc>
          <w:tcPr>
            <w:shd w:val="clear" w:color="auto" w:fill="F7FBFE"/>
            <w:vAlign w:val="top"/>
          </w:tcPr>
          <w:p>
            <w:pPr>
              <w:pStyle w:val="Compact"/>
              <w:jc w:val="left"/>
            </w:pPr>
            <w:r>
              <w:t xml:space="preserve">0.01</w:t>
            </w:r>
          </w:p>
        </w:tc>
      </w:tr>
      <w:tr>
        <w:tc>
          <w:tcPr>
            <w:vAlign w:val="top"/>
          </w:tcPr>
          <w:p>
            <w:pPr>
              <w:pStyle w:val="Compact"/>
              <w:jc w:val="left"/>
            </w:pPr>
            <w:r>
              <w:t xml:space="preserve">S5</w:t>
            </w:r>
          </w:p>
        </w:tc>
        <w:tc>
          <w:tcPr>
            <w:vAlign w:val="top"/>
          </w:tcPr>
          <w:p>
            <w:pPr>
              <w:pStyle w:val="Compact"/>
              <w:jc w:val="left"/>
            </w:pPr>
            <w:r>
              <w:t xml:space="preserve">Stress</w:t>
            </w:r>
          </w:p>
        </w:tc>
        <w:tc>
          <w:tcPr>
            <w:vAlign w:val="top"/>
          </w:tcPr>
          <w:p>
            <w:pPr>
              <w:pStyle w:val="Compact"/>
              <w:jc w:val="left"/>
            </w:pPr>
            <w:r>
              <w:t xml:space="preserve">0.30</w:t>
            </w:r>
          </w:p>
        </w:tc>
        <w:tc>
          <w:tcPr>
            <w:vAlign w:val="top"/>
          </w:tcPr>
          <w:p>
            <w:pPr>
              <w:pStyle w:val="Compact"/>
              <w:jc w:val="left"/>
            </w:pPr>
            <w:r>
              <w:t xml:space="preserve">0.05</w:t>
            </w:r>
          </w:p>
        </w:tc>
        <w:tc>
          <w:tcPr>
            <w:vAlign w:val="top"/>
          </w:tcPr>
          <w:p>
            <w:pPr>
              <w:pStyle w:val="Compact"/>
              <w:jc w:val="left"/>
            </w:pPr>
            <w:r>
              <w:t xml:space="preserve">0.03</w:t>
            </w:r>
          </w:p>
        </w:tc>
      </w:tr>
    </w:tbl>
    <w:p>
      <w:pPr>
        <w:pStyle w:val="BodyText"/>
      </w:pPr>
      <w:r>
        <w:t xml:space="preserve">CVaR computation (tail mass beta = 0.05): Option B = 0.15, PASS. Option C = 0.08, PASS. A_adm = {B, C}.</w:t>
      </w:r>
    </w:p>
    <w:bookmarkEnd w:id="549"/>
    <w:bookmarkStart w:id="550" w:name="r196-expected-containment-outcomes"/>
    <w:p>
      <w:pPr>
        <w:pStyle w:val="Heading2"/>
      </w:pPr>
      <w:r>
        <w:rPr>
          <w:bCs/>
          <w:b/>
        </w:rPr>
        <w:t xml:space="preserve">R.19.6 Expected Containment outcomes</w:t>
      </w:r>
    </w:p>
    <w:p>
      <w:pPr>
        <w:pStyle w:val="FirstParagraph"/>
      </w:pPr>
      <w:r>
        <w:t xml:space="preserve">The vector declares dependency graph</w:t>
      </w:r>
      <w:r>
        <w:t xml:space="preserve"> </w:t>
      </w:r>
      <w:r>
        <w:rPr>
          <w:rStyle w:val="VerbatimChar"/>
        </w:rPr>
        <w:t xml:space="preserve">G_c</w:t>
      </w:r>
      <w:r>
        <w:t xml:space="preserve"> </w:t>
      </w:r>
      <w:r>
        <w:t xml:space="preserve">with material containing-system edges</w:t>
      </w:r>
      <w:r>
        <w:t xml:space="preserve"> </w:t>
      </w:r>
      <w:r>
        <w:rPr>
          <w:rStyle w:val="VerbatimChar"/>
        </w:rPr>
        <w:t xml:space="preserve">U4 -&gt; U5</w:t>
      </w:r>
      <w:r>
        <w:t xml:space="preserve"> </w:t>
      </w:r>
      <w:r>
        <w:t xml:space="preserve">(organizational action depends on polity-level legality, remedy, and enforcement) and</w:t>
      </w:r>
      <w:r>
        <w:t xml:space="preserve"> </w:t>
      </w:r>
      <w:r>
        <w:rPr>
          <w:rStyle w:val="VerbatimChar"/>
        </w:rPr>
        <w:t xml:space="preserve">U4 -&gt; U6</w:t>
      </w:r>
      <w:r>
        <w:t xml:space="preserve"> </w:t>
      </w:r>
      <w:r>
        <w:t xml:space="preserve">(the scaled action affects humanity/global-coordination capacity). Therefore</w:t>
      </w:r>
      <w:r>
        <w:t xml:space="preserve"> </w:t>
      </w:r>
      <w:r>
        <w:rPr>
          <w:rStyle w:val="VerbatimChar"/>
        </w:rPr>
        <w:t xml:space="preserve">Contain(U4,G_c)={U5,U6}</w:t>
      </w:r>
      <w:r>
        <w:t xml:space="preserve">; scope order alone is not used.</w:t>
      </w:r>
    </w:p>
    <w:p>
      <w:pPr>
        <w:pStyle w:val="BodyText"/>
      </w:pPr>
      <w:r>
        <w:t xml:space="preserve">Option B:</w:t>
      </w:r>
      <w:r>
        <w:t xml:space="preserve"> </w:t>
      </w:r>
      <w:r>
        <w:rPr>
          <w:rStyle w:val="VerbatimChar"/>
        </w:rPr>
        <w:t xml:space="preserve">S_U4(B)=0.0571 &gt;= 0.05</w:t>
      </w:r>
      <w:r>
        <w:t xml:space="preserve">, so U4 triggers. Declared</w:t>
      </w:r>
      <w:r>
        <w:t xml:space="preserve"> </w:t>
      </w:r>
      <w:r>
        <w:rPr>
          <w:rStyle w:val="VerbatimChar"/>
        </w:rPr>
        <w:t xml:space="preserve">DeltaUCI_U5(B)=-0.12</w:t>
      </w:r>
      <w:r>
        <w:t xml:space="preserve"> </w:t>
      </w:r>
      <w:r>
        <w:t xml:space="preserve">and</w:t>
      </w:r>
      <w:r>
        <w:t xml:space="preserve"> </w:t>
      </w:r>
      <w:r>
        <w:rPr>
          <w:rStyle w:val="VerbatimChar"/>
        </w:rPr>
        <w:t xml:space="preserve">DeltaUCI_U6(B)=-0.05</w:t>
      </w:r>
      <w:r>
        <w:t xml:space="preserve">. Therefore</w:t>
      </w:r>
      <w:r>
        <w:t xml:space="preserve"> </w:t>
      </w:r>
      <w:r>
        <w:rPr>
          <w:rStyle w:val="VerbatimChar"/>
        </w:rPr>
        <w:t xml:space="preserve">M_U4(B)=min{-0.12,-0.05}=-0.12 &lt; tau_c=-0.10</w:t>
      </w:r>
      <w:r>
        <w:t xml:space="preserve">, so</w:t>
      </w:r>
      <w:r>
        <w:t xml:space="preserve"> </w:t>
      </w:r>
      <w:r>
        <w:rPr>
          <w:rStyle w:val="VerbatimChar"/>
        </w:rPr>
        <w:t xml:space="preserve">Containment(B)=FALSE</w:t>
      </w:r>
      <w:r>
        <w:t xml:space="preserve">.</w:t>
      </w:r>
    </w:p>
    <w:p>
      <w:pPr>
        <w:pStyle w:val="BodyText"/>
      </w:pPr>
      <w:r>
        <w:t xml:space="preserve">Option C:</w:t>
      </w:r>
      <w:r>
        <w:t xml:space="preserve"> </w:t>
      </w:r>
      <w:r>
        <w:rPr>
          <w:rStyle w:val="VerbatimChar"/>
        </w:rPr>
        <w:t xml:space="preserve">S_U4(C)=0.0600 &gt;= 0.05</w:t>
      </w:r>
      <w:r>
        <w:t xml:space="preserve">, so U4 triggers. Declared</w:t>
      </w:r>
      <w:r>
        <w:t xml:space="preserve"> </w:t>
      </w:r>
      <w:r>
        <w:rPr>
          <w:rStyle w:val="VerbatimChar"/>
        </w:rPr>
        <w:t xml:space="preserve">DeltaUCI_U5(C)=-0.03</w:t>
      </w:r>
      <w:r>
        <w:t xml:space="preserve"> </w:t>
      </w:r>
      <w:r>
        <w:t xml:space="preserve">and</w:t>
      </w:r>
      <w:r>
        <w:t xml:space="preserve"> </w:t>
      </w:r>
      <w:r>
        <w:rPr>
          <w:rStyle w:val="VerbatimChar"/>
        </w:rPr>
        <w:t xml:space="preserve">DeltaUCI_U6(C)=+0.02</w:t>
      </w:r>
      <w:r>
        <w:t xml:space="preserve">. Therefore</w:t>
      </w:r>
      <w:r>
        <w:t xml:space="preserve"> </w:t>
      </w:r>
      <w:r>
        <w:rPr>
          <w:rStyle w:val="VerbatimChar"/>
        </w:rPr>
        <w:t xml:space="preserve">M_U4(C)=min{-0.03,+0.02}=-0.03 &gt;= -0.10</w:t>
      </w:r>
      <w:r>
        <w:t xml:space="preserve">, so</w:t>
      </w:r>
      <w:r>
        <w:t xml:space="preserve"> </w:t>
      </w:r>
      <w:r>
        <w:rPr>
          <w:rStyle w:val="VerbatimChar"/>
        </w:rPr>
        <w:t xml:space="preserve">Containment(C)=TRUE</w:t>
      </w:r>
      <w:r>
        <w:t xml:space="preserve">.</w:t>
      </w:r>
    </w:p>
    <w:p>
      <w:pPr>
        <w:pStyle w:val="BodyText"/>
      </w:pPr>
      <w:r>
        <w:t xml:space="preserve">A_sel = {C}.</w:t>
      </w:r>
    </w:p>
    <w:bookmarkEnd w:id="550"/>
    <w:bookmarkStart w:id="551" w:name="r197-expected-rls-outcome"/>
    <w:p>
      <w:pPr>
        <w:pStyle w:val="Heading2"/>
      </w:pPr>
      <w:r>
        <w:rPr>
          <w:bCs/>
          <w:b/>
        </w:rPr>
        <w:t xml:space="preserve">R.19.7 Expected RLS outcome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584"/>
        <w:gridCol w:w="1584"/>
        <w:gridCol w:w="1584"/>
        <w:gridCol w:w="1584"/>
        <w:gridCol w:w="1584"/>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w_u</w:t>
            </w:r>
          </w:p>
        </w:tc>
        <w:tc>
          <w:tcPr>
            <w:shd w:val="clear" w:color="auto" w:fill="D9EAF7"/>
            <w:vAlign w:val="center"/>
          </w:tcPr>
          <w:p>
            <w:pPr>
              <w:pStyle w:val="Compact"/>
              <w:jc w:val="left"/>
            </w:pPr>
            <w:r>
              <w:rPr>
                <w:bCs/>
                <w:b/>
                <w:color w:val="17365D"/>
              </w:rPr>
              <w:t xml:space="preserve">v_d</w:t>
            </w:r>
          </w:p>
        </w:tc>
        <w:tc>
          <w:tcPr>
            <w:shd w:val="clear" w:color="auto" w:fill="D9EAF7"/>
            <w:vAlign w:val="center"/>
          </w:tcPr>
          <w:p>
            <w:pPr>
              <w:pStyle w:val="Compact"/>
              <w:jc w:val="left"/>
            </w:pPr>
            <w:r>
              <w:rPr>
                <w:bCs/>
                <w:b/>
                <w:color w:val="17365D"/>
              </w:rPr>
              <w:t xml:space="preserve">I_prop_welfare</w:t>
            </w:r>
          </w:p>
        </w:tc>
        <w:tc>
          <w:tcPr>
            <w:shd w:val="clear" w:color="auto" w:fill="D9EAF7"/>
            <w:vAlign w:val="center"/>
          </w:tcPr>
          <w:p>
            <w:pPr>
              <w:pStyle w:val="Compact"/>
              <w:jc w:val="left"/>
            </w:pPr>
            <w:r>
              <w:rPr>
                <w:bCs/>
                <w:b/>
                <w:color w:val="17365D"/>
              </w:rPr>
              <w:t xml:space="preserve">Contribution</w:t>
            </w:r>
          </w:p>
        </w:tc>
      </w:tr>
      <w:tr>
        <w:tc>
          <w:tcPr>
            <w:vAlign w:val="top"/>
          </w:tcPr>
          <w:p>
            <w:pPr>
              <w:pStyle w:val="Compact"/>
              <w:jc w:val="left"/>
            </w:pPr>
            <w:r>
              <w:t xml:space="preserve">U1xD5</w:t>
            </w:r>
          </w:p>
        </w:tc>
        <w:tc>
          <w:tcPr>
            <w:vAlign w:val="top"/>
          </w:tcPr>
          <w:p>
            <w:pPr>
              <w:pStyle w:val="Compact"/>
              <w:jc w:val="left"/>
            </w:pPr>
            <w:r>
              <w:t xml:space="preserve">0.248571</w:t>
            </w:r>
          </w:p>
        </w:tc>
        <w:tc>
          <w:tcPr>
            <w:vAlign w:val="top"/>
          </w:tcPr>
          <w:p>
            <w:pPr>
              <w:pStyle w:val="Compact"/>
              <w:jc w:val="left"/>
            </w:pPr>
            <w:r>
              <w:t xml:space="preserve">0.157143</w:t>
            </w:r>
          </w:p>
        </w:tc>
        <w:tc>
          <w:tcPr>
            <w:vAlign w:val="top"/>
          </w:tcPr>
          <w:p>
            <w:pPr>
              <w:pStyle w:val="Compact"/>
              <w:jc w:val="left"/>
            </w:pPr>
            <w:r>
              <w:t xml:space="preserve">+0.05</w:t>
            </w:r>
          </w:p>
        </w:tc>
        <w:tc>
          <w:tcPr>
            <w:vAlign w:val="top"/>
          </w:tcPr>
          <w:p>
            <w:pPr>
              <w:pStyle w:val="Compact"/>
              <w:jc w:val="left"/>
            </w:pPr>
            <w:r>
              <w:t xml:space="preserve">+0.001953</w:t>
            </w:r>
          </w:p>
        </w:tc>
      </w:tr>
      <w:tr>
        <w:tc>
          <w:tcPr>
            <w:shd w:val="clear" w:color="auto" w:fill="F7FBFE"/>
            <w:vAlign w:val="top"/>
          </w:tcPr>
          <w:p>
            <w:pPr>
              <w:pStyle w:val="Compact"/>
              <w:jc w:val="left"/>
            </w:pPr>
            <w:r>
              <w:t xml:space="preserve">U4xD1</w:t>
            </w:r>
          </w:p>
        </w:tc>
        <w:tc>
          <w:tcPr>
            <w:shd w:val="clear" w:color="auto" w:fill="F7FBFE"/>
            <w:vAlign w:val="top"/>
          </w:tcPr>
          <w:p>
            <w:pPr>
              <w:pStyle w:val="Compact"/>
              <w:jc w:val="left"/>
            </w:pPr>
            <w:r>
              <w:t xml:space="preserve">0.108571</w:t>
            </w:r>
          </w:p>
        </w:tc>
        <w:tc>
          <w:tcPr>
            <w:shd w:val="clear" w:color="auto" w:fill="F7FBFE"/>
            <w:vAlign w:val="top"/>
          </w:tcPr>
          <w:p>
            <w:pPr>
              <w:pStyle w:val="Compact"/>
              <w:jc w:val="left"/>
            </w:pPr>
            <w:r>
              <w:t xml:space="preserve">0.137143</w:t>
            </w:r>
          </w:p>
        </w:tc>
        <w:tc>
          <w:tcPr>
            <w:shd w:val="clear" w:color="auto" w:fill="F7FBFE"/>
            <w:vAlign w:val="top"/>
          </w:tcPr>
          <w:p>
            <w:pPr>
              <w:pStyle w:val="Compact"/>
              <w:jc w:val="left"/>
            </w:pPr>
            <w:r>
              <w:t xml:space="preserve">+0.30</w:t>
            </w:r>
          </w:p>
        </w:tc>
        <w:tc>
          <w:tcPr>
            <w:shd w:val="clear" w:color="auto" w:fill="F7FBFE"/>
            <w:vAlign w:val="top"/>
          </w:tcPr>
          <w:p>
            <w:pPr>
              <w:pStyle w:val="Compact"/>
              <w:jc w:val="left"/>
            </w:pPr>
            <w:r>
              <w:t xml:space="preserve">+0.004467</w:t>
            </w:r>
          </w:p>
        </w:tc>
      </w:tr>
      <w:tr>
        <w:tc>
          <w:tcPr>
            <w:vAlign w:val="top"/>
          </w:tcPr>
          <w:p>
            <w:pPr>
              <w:pStyle w:val="Compact"/>
              <w:jc w:val="left"/>
            </w:pPr>
            <w:r>
              <w:t xml:space="preserve">U4xD5</w:t>
            </w:r>
          </w:p>
        </w:tc>
        <w:tc>
          <w:tcPr>
            <w:vAlign w:val="top"/>
          </w:tcPr>
          <w:p>
            <w:pPr>
              <w:pStyle w:val="Compact"/>
              <w:jc w:val="left"/>
            </w:pPr>
            <w:r>
              <w:t xml:space="preserve">0.108571</w:t>
            </w:r>
          </w:p>
        </w:tc>
        <w:tc>
          <w:tcPr>
            <w:vAlign w:val="top"/>
          </w:tcPr>
          <w:p>
            <w:pPr>
              <w:pStyle w:val="Compact"/>
              <w:jc w:val="left"/>
            </w:pPr>
            <w:r>
              <w:t xml:space="preserve">0.157143</w:t>
            </w:r>
          </w:p>
        </w:tc>
        <w:tc>
          <w:tcPr>
            <w:vAlign w:val="top"/>
          </w:tcPr>
          <w:p>
            <w:pPr>
              <w:pStyle w:val="Compact"/>
              <w:jc w:val="left"/>
            </w:pPr>
            <w:r>
              <w:t xml:space="preserve">+0.12</w:t>
            </w:r>
          </w:p>
        </w:tc>
        <w:tc>
          <w:tcPr>
            <w:vAlign w:val="top"/>
          </w:tcPr>
          <w:p>
            <w:pPr>
              <w:pStyle w:val="Compact"/>
              <w:jc w:val="left"/>
            </w:pPr>
            <w:r>
              <w:t xml:space="preserve">+0.002047</w:t>
            </w:r>
          </w:p>
        </w:tc>
      </w:tr>
      <w:tr>
        <w:tc>
          <w:tcPr>
            <w:shd w:val="clear" w:color="auto" w:fill="F7FBFE"/>
            <w:vAlign w:val="top"/>
          </w:tcPr>
          <w:p>
            <w:pPr>
              <w:pStyle w:val="Compact"/>
              <w:jc w:val="left"/>
            </w:pPr>
            <w:r>
              <w:t xml:space="preserve">U5xD5</w:t>
            </w:r>
          </w:p>
        </w:tc>
        <w:tc>
          <w:tcPr>
            <w:shd w:val="clear" w:color="auto" w:fill="F7FBFE"/>
            <w:vAlign w:val="top"/>
          </w:tcPr>
          <w:p>
            <w:pPr>
              <w:pStyle w:val="Compact"/>
              <w:jc w:val="left"/>
            </w:pPr>
            <w:r>
              <w:t xml:space="preserve">0.128571</w:t>
            </w:r>
          </w:p>
        </w:tc>
        <w:tc>
          <w:tcPr>
            <w:shd w:val="clear" w:color="auto" w:fill="F7FBFE"/>
            <w:vAlign w:val="top"/>
          </w:tcPr>
          <w:p>
            <w:pPr>
              <w:pStyle w:val="Compact"/>
              <w:jc w:val="left"/>
            </w:pPr>
            <w:r>
              <w:t xml:space="preserve">0.157143</w:t>
            </w:r>
          </w:p>
        </w:tc>
        <w:tc>
          <w:tcPr>
            <w:shd w:val="clear" w:color="auto" w:fill="F7FBFE"/>
            <w:vAlign w:val="top"/>
          </w:tcPr>
          <w:p>
            <w:pPr>
              <w:pStyle w:val="Compact"/>
              <w:jc w:val="left"/>
            </w:pPr>
            <w:r>
              <w:t xml:space="preserve">+0.08</w:t>
            </w:r>
          </w:p>
        </w:tc>
        <w:tc>
          <w:tcPr>
            <w:shd w:val="clear" w:color="auto" w:fill="F7FBFE"/>
            <w:vAlign w:val="top"/>
          </w:tcPr>
          <w:p>
            <w:pPr>
              <w:pStyle w:val="Compact"/>
              <w:jc w:val="left"/>
            </w:pPr>
            <w:r>
              <w:t xml:space="preserve">+0.001616</w:t>
            </w:r>
          </w:p>
        </w:tc>
      </w:tr>
      <w:tr>
        <w:tc>
          <w:tcPr>
            <w:vAlign w:val="top"/>
          </w:tcPr>
          <w:p>
            <w:pPr>
              <w:pStyle w:val="Compact"/>
              <w:jc w:val="left"/>
            </w:pPr>
            <w:r>
              <w:t xml:space="preserve">U6xD5</w:t>
            </w:r>
          </w:p>
        </w:tc>
        <w:tc>
          <w:tcPr>
            <w:vAlign w:val="top"/>
          </w:tcPr>
          <w:p>
            <w:pPr>
              <w:pStyle w:val="Compact"/>
              <w:jc w:val="left"/>
            </w:pPr>
            <w:r>
              <w:t xml:space="preserve">0.148571</w:t>
            </w:r>
          </w:p>
        </w:tc>
        <w:tc>
          <w:tcPr>
            <w:vAlign w:val="top"/>
          </w:tcPr>
          <w:p>
            <w:pPr>
              <w:pStyle w:val="Compact"/>
              <w:jc w:val="left"/>
            </w:pPr>
            <w:r>
              <w:t xml:space="preserve">0.157143</w:t>
            </w:r>
          </w:p>
        </w:tc>
        <w:tc>
          <w:tcPr>
            <w:vAlign w:val="top"/>
          </w:tcPr>
          <w:p>
            <w:pPr>
              <w:pStyle w:val="Compact"/>
              <w:jc w:val="left"/>
            </w:pPr>
            <w:r>
              <w:t xml:space="preserve">+0.03</w:t>
            </w:r>
          </w:p>
        </w:tc>
        <w:tc>
          <w:tcPr>
            <w:vAlign w:val="top"/>
          </w:tcPr>
          <w:p>
            <w:pPr>
              <w:pStyle w:val="Compact"/>
              <w:jc w:val="left"/>
            </w:pPr>
            <w:r>
              <w:t xml:space="preserve">+0.000700</w:t>
            </w:r>
          </w:p>
        </w:tc>
      </w:tr>
      <w:tr>
        <w:tc>
          <w:tcPr>
            <w:shd w:val="clear" w:color="auto" w:fill="F7FBFE"/>
            <w:vAlign w:val="top"/>
          </w:tcPr>
          <w:p>
            <w:pPr>
              <w:pStyle w:val="Compact"/>
              <w:jc w:val="left"/>
            </w:pPr>
            <w:r>
              <w:t xml:space="preserve">All zero cells</w:t>
            </w:r>
          </w:p>
        </w:tc>
        <w:tc>
          <w:tcPr>
            <w:shd w:val="clear" w:color="auto" w:fill="F7FBFE"/>
            <w:vAlign w:val="top"/>
          </w:tcPr>
          <w:p>
            <w:pPr>
              <w:pStyle w:val="Compact"/>
              <w:jc w:val="left"/>
            </w:pPr>
            <w:r>
              <w:t xml:space="preserve">-</w:t>
            </w:r>
          </w:p>
        </w:tc>
        <w:tc>
          <w:tcPr>
            <w:shd w:val="clear" w:color="auto" w:fill="F7FBFE"/>
            <w:vAlign w:val="top"/>
          </w:tcPr>
          <w:p>
            <w:pPr>
              <w:pStyle w:val="Compact"/>
              <w:jc w:val="left"/>
            </w:pPr>
            <w:r>
              <w:t xml:space="preserve">-</w:t>
            </w:r>
          </w:p>
        </w:tc>
        <w:tc>
          <w:tcPr>
            <w:shd w:val="clear" w:color="auto" w:fill="F7FBFE"/>
            <w:vAlign w:val="top"/>
          </w:tcPr>
          <w:p>
            <w:pPr>
              <w:pStyle w:val="Compact"/>
              <w:jc w:val="left"/>
            </w:pPr>
            <w:r>
              <w:t xml:space="preserve">0.00</w:t>
            </w:r>
          </w:p>
        </w:tc>
        <w:tc>
          <w:tcPr>
            <w:shd w:val="clear" w:color="auto" w:fill="F7FBFE"/>
            <w:vAlign w:val="top"/>
          </w:tcPr>
          <w:p>
            <w:pPr>
              <w:pStyle w:val="Compact"/>
              <w:jc w:val="left"/>
            </w:pPr>
            <w:r>
              <w:t xml:space="preserve">0.000000</w:t>
            </w:r>
          </w:p>
        </w:tc>
      </w:tr>
    </w:tbl>
    <w:p>
      <w:pPr>
        <w:pStyle w:val="BodyText"/>
      </w:pPr>
      <w:r>
        <w:t xml:space="preserve">RLS(C)=+0.010784 because Q=1 under the full active mask.</w:t>
      </w:r>
    </w:p>
    <w:p>
      <w:pPr>
        <w:pStyle w:val="BodyText"/>
      </w:pPr>
      <w:r>
        <w:t xml:space="preserve">Method B uncertainty derivation. Each of the five nonzero cells contains one welfare instance with c_k=0.85. Because the Section 10.3.2 construction is</w:t>
      </w:r>
      <w:r>
        <w:t xml:space="preserve"> </w:t>
      </w:r>
      <w:r>
        <w:rPr>
          <w:rStyle w:val="VerbatimChar"/>
        </w:rPr>
        <w:t xml:space="preserve">I_prop_welfare=tanh(beta*c_k*x_preconf)</w:t>
      </w:r>
      <w:r>
        <w:t xml:space="preserve"> </w:t>
      </w:r>
      <w:r>
        <w:t xml:space="preserve">for this single-instance vector, the pre-confidence contribution is</w:t>
      </w:r>
      <w:r>
        <w:t xml:space="preserve"> </w:t>
      </w:r>
      <w:r>
        <w:rPr>
          <w:rStyle w:val="VerbatimChar"/>
        </w:rPr>
        <w:t xml:space="preserve">x_preconf=atanh(I_prop_welfare)/(beta*c_k)</w:t>
      </w:r>
      <w:r>
        <w:t xml:space="preserve">. With</w:t>
      </w:r>
      <w:r>
        <w:t xml:space="preserve"> </w:t>
      </w:r>
      <w:r>
        <w:rPr>
          <w:rStyle w:val="VerbatimChar"/>
        </w:rPr>
        <w:t xml:space="preserve">beta=2</w:t>
      </w:r>
      <w:r>
        <w:t xml:space="preserve"> </w:t>
      </w:r>
      <w:r>
        <w:t xml:space="preserve">and</w:t>
      </w:r>
      <w:r>
        <w:t xml:space="preserve"> </w:t>
      </w:r>
      <w:r>
        <w:rPr>
          <w:rStyle w:val="VerbatimChar"/>
        </w:rPr>
        <w:t xml:space="preserve">c_k=0.85</w:t>
      </w:r>
      <w:r>
        <w:t xml:space="preserve">, Method B uses</w:t>
      </w:r>
      <w:r>
        <w:t xml:space="preserve"> </w:t>
      </w:r>
      <w:r>
        <w:rPr>
          <w:rStyle w:val="VerbatimChar"/>
        </w:rPr>
        <w:t xml:space="preserve">sigma(u,d,C)=(1-c_k)*|x_preconf|=0.15*|x_preconf|</w:t>
      </w:r>
      <w:r>
        <w:t xml:space="preserve">. Omitting division by</w:t>
      </w:r>
      <w:r>
        <w:t xml:space="preserve"> </w:t>
      </w:r>
      <w:r>
        <w:rPr>
          <w:rStyle w:val="VerbatimChar"/>
        </w:rPr>
        <w:t xml:space="preserve">c_k</w:t>
      </w:r>
      <w:r>
        <w:t xml:space="preserve"> </w:t>
      </w:r>
      <w:r>
        <w:t xml:space="preserve">would reconstruct post-confidence mass and understate uncertainty. Using q(u,d)=w_u*v_d under the full mask:</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x_k</w:t>
            </w:r>
          </w:p>
        </w:tc>
        <w:tc>
          <w:tcPr>
            <w:shd w:val="clear" w:color="auto" w:fill="D9EAF7"/>
            <w:vAlign w:val="center"/>
          </w:tcPr>
          <w:p>
            <w:pPr>
              <w:pStyle w:val="Compact"/>
              <w:jc w:val="left"/>
            </w:pPr>
            <w:r>
              <w:rPr>
                <w:bCs/>
                <w:b/>
                <w:color w:val="17365D"/>
              </w:rPr>
              <w:t xml:space="preserve">sigma(u,d,C)</w:t>
            </w:r>
          </w:p>
        </w:tc>
        <w:tc>
          <w:tcPr>
            <w:shd w:val="clear" w:color="auto" w:fill="D9EAF7"/>
            <w:vAlign w:val="center"/>
          </w:tcPr>
          <w:p>
            <w:pPr>
              <w:pStyle w:val="Compact"/>
              <w:jc w:val="left"/>
            </w:pPr>
            <w:r>
              <w:rPr>
                <w:bCs/>
                <w:b/>
                <w:color w:val="17365D"/>
              </w:rPr>
              <w:t xml:space="preserve">q(u,d)*sigma(u,d,C)</w:t>
            </w:r>
          </w:p>
        </w:tc>
      </w:tr>
      <w:tr>
        <w:tc>
          <w:tcPr>
            <w:vAlign w:val="top"/>
          </w:tcPr>
          <w:p>
            <w:pPr>
              <w:pStyle w:val="Compact"/>
              <w:jc w:val="left"/>
            </w:pPr>
            <w:r>
              <w:t xml:space="preserve">U1xD5</w:t>
            </w:r>
          </w:p>
        </w:tc>
        <w:tc>
          <w:tcPr>
            <w:vAlign w:val="top"/>
          </w:tcPr>
          <w:p>
            <w:pPr>
              <w:pStyle w:val="Compact"/>
              <w:jc w:val="left"/>
            </w:pPr>
            <w:r>
              <w:t xml:space="preserve">0.029436</w:t>
            </w:r>
          </w:p>
        </w:tc>
        <w:tc>
          <w:tcPr>
            <w:vAlign w:val="top"/>
          </w:tcPr>
          <w:p>
            <w:pPr>
              <w:pStyle w:val="Compact"/>
              <w:jc w:val="left"/>
            </w:pPr>
            <w:r>
              <w:t xml:space="preserve">0.004415</w:t>
            </w:r>
          </w:p>
        </w:tc>
        <w:tc>
          <w:tcPr>
            <w:vAlign w:val="top"/>
          </w:tcPr>
          <w:p>
            <w:pPr>
              <w:pStyle w:val="Compact"/>
              <w:jc w:val="left"/>
            </w:pPr>
            <w:r>
              <w:t xml:space="preserve">0.00017247</w:t>
            </w:r>
          </w:p>
        </w:tc>
      </w:tr>
      <w:tr>
        <w:tc>
          <w:tcPr>
            <w:shd w:val="clear" w:color="auto" w:fill="F7FBFE"/>
            <w:vAlign w:val="top"/>
          </w:tcPr>
          <w:p>
            <w:pPr>
              <w:pStyle w:val="Compact"/>
              <w:jc w:val="left"/>
            </w:pPr>
            <w:r>
              <w:t xml:space="preserve">U4xD1</w:t>
            </w:r>
          </w:p>
        </w:tc>
        <w:tc>
          <w:tcPr>
            <w:shd w:val="clear" w:color="auto" w:fill="F7FBFE"/>
            <w:vAlign w:val="top"/>
          </w:tcPr>
          <w:p>
            <w:pPr>
              <w:pStyle w:val="Compact"/>
              <w:jc w:val="left"/>
            </w:pPr>
            <w:r>
              <w:t xml:space="preserve">0.182070</w:t>
            </w:r>
          </w:p>
        </w:tc>
        <w:tc>
          <w:tcPr>
            <w:shd w:val="clear" w:color="auto" w:fill="F7FBFE"/>
            <w:vAlign w:val="top"/>
          </w:tcPr>
          <w:p>
            <w:pPr>
              <w:pStyle w:val="Compact"/>
              <w:jc w:val="left"/>
            </w:pPr>
            <w:r>
              <w:t xml:space="preserve">0.027311</w:t>
            </w:r>
          </w:p>
        </w:tc>
        <w:tc>
          <w:tcPr>
            <w:shd w:val="clear" w:color="auto" w:fill="F7FBFE"/>
            <w:vAlign w:val="top"/>
          </w:tcPr>
          <w:p>
            <w:pPr>
              <w:pStyle w:val="Compact"/>
              <w:jc w:val="left"/>
            </w:pPr>
            <w:r>
              <w:t xml:space="preserve">0.00040665</w:t>
            </w:r>
          </w:p>
        </w:tc>
      </w:tr>
      <w:tr>
        <w:tc>
          <w:tcPr>
            <w:vAlign w:val="top"/>
          </w:tcPr>
          <w:p>
            <w:pPr>
              <w:pStyle w:val="Compact"/>
              <w:jc w:val="left"/>
            </w:pPr>
            <w:r>
              <w:t xml:space="preserve">U4xD5</w:t>
            </w:r>
          </w:p>
        </w:tc>
        <w:tc>
          <w:tcPr>
            <w:vAlign w:val="top"/>
          </w:tcPr>
          <w:p>
            <w:pPr>
              <w:pStyle w:val="Compact"/>
              <w:jc w:val="left"/>
            </w:pPr>
            <w:r>
              <w:t xml:space="preserve">0.070930</w:t>
            </w:r>
          </w:p>
        </w:tc>
        <w:tc>
          <w:tcPr>
            <w:vAlign w:val="top"/>
          </w:tcPr>
          <w:p>
            <w:pPr>
              <w:pStyle w:val="Compact"/>
              <w:jc w:val="left"/>
            </w:pPr>
            <w:r>
              <w:t xml:space="preserve">0.010640</w:t>
            </w:r>
          </w:p>
        </w:tc>
        <w:tc>
          <w:tcPr>
            <w:vAlign w:val="top"/>
          </w:tcPr>
          <w:p>
            <w:pPr>
              <w:pStyle w:val="Compact"/>
              <w:jc w:val="left"/>
            </w:pPr>
            <w:r>
              <w:t xml:space="preserve">0.00018152</w:t>
            </w:r>
          </w:p>
        </w:tc>
      </w:tr>
      <w:tr>
        <w:tc>
          <w:tcPr>
            <w:shd w:val="clear" w:color="auto" w:fill="F7FBFE"/>
            <w:vAlign w:val="top"/>
          </w:tcPr>
          <w:p>
            <w:pPr>
              <w:pStyle w:val="Compact"/>
              <w:jc w:val="left"/>
            </w:pPr>
            <w:r>
              <w:t xml:space="preserve">U5xD5</w:t>
            </w:r>
          </w:p>
        </w:tc>
        <w:tc>
          <w:tcPr>
            <w:shd w:val="clear" w:color="auto" w:fill="F7FBFE"/>
            <w:vAlign w:val="top"/>
          </w:tcPr>
          <w:p>
            <w:pPr>
              <w:pStyle w:val="Compact"/>
              <w:jc w:val="left"/>
            </w:pPr>
            <w:r>
              <w:t xml:space="preserve">0.047160</w:t>
            </w:r>
          </w:p>
        </w:tc>
        <w:tc>
          <w:tcPr>
            <w:shd w:val="clear" w:color="auto" w:fill="F7FBFE"/>
            <w:vAlign w:val="top"/>
          </w:tcPr>
          <w:p>
            <w:pPr>
              <w:pStyle w:val="Compact"/>
              <w:jc w:val="left"/>
            </w:pPr>
            <w:r>
              <w:t xml:space="preserve">0.007074</w:t>
            </w:r>
          </w:p>
        </w:tc>
        <w:tc>
          <w:tcPr>
            <w:shd w:val="clear" w:color="auto" w:fill="F7FBFE"/>
            <w:vAlign w:val="top"/>
          </w:tcPr>
          <w:p>
            <w:pPr>
              <w:pStyle w:val="Compact"/>
              <w:jc w:val="left"/>
            </w:pPr>
            <w:r>
              <w:t xml:space="preserve">0.00014292</w:t>
            </w:r>
          </w:p>
        </w:tc>
      </w:tr>
      <w:tr>
        <w:tc>
          <w:tcPr>
            <w:vAlign w:val="top"/>
          </w:tcPr>
          <w:p>
            <w:pPr>
              <w:pStyle w:val="Compact"/>
              <w:jc w:val="left"/>
            </w:pPr>
            <w:r>
              <w:t xml:space="preserve">U6xD5</w:t>
            </w:r>
          </w:p>
        </w:tc>
        <w:tc>
          <w:tcPr>
            <w:vAlign w:val="top"/>
          </w:tcPr>
          <w:p>
            <w:pPr>
              <w:pStyle w:val="Compact"/>
              <w:jc w:val="left"/>
            </w:pPr>
            <w:r>
              <w:t xml:space="preserve">0.017653</w:t>
            </w:r>
          </w:p>
        </w:tc>
        <w:tc>
          <w:tcPr>
            <w:vAlign w:val="top"/>
          </w:tcPr>
          <w:p>
            <w:pPr>
              <w:pStyle w:val="Compact"/>
              <w:jc w:val="left"/>
            </w:pPr>
            <w:r>
              <w:t xml:space="preserve">0.002648</w:t>
            </w:r>
          </w:p>
        </w:tc>
        <w:tc>
          <w:tcPr>
            <w:vAlign w:val="top"/>
          </w:tcPr>
          <w:p>
            <w:pPr>
              <w:pStyle w:val="Compact"/>
              <w:jc w:val="left"/>
            </w:pPr>
            <w:r>
              <w:t xml:space="preserve">0.00006182</w:t>
            </w:r>
          </w:p>
        </w:tc>
      </w:tr>
    </w:tbl>
    <w:p>
      <w:pPr>
        <w:pStyle w:val="BodyText"/>
      </w:pPr>
      <w:r>
        <w:t xml:space="preserve">Thus sigma_RLS(C)=sqrt(sum(q*sigma)^2)/Q=0.000502302, reported as 0.000502. This derivation uses pre-saturation x_k values as required by Section 10.3.2; using post-saturation impacts directly would be non-conformant. Since |A_sel|=1, no pairwise discrimination statistic is required; C is the sole selectable option under the vector inputs.</w:t>
      </w:r>
    </w:p>
    <w:bookmarkEnd w:id="551"/>
    <w:bookmarkStart w:id="552" w:name="r198-expected-final-outcome"/>
    <w:p>
      <w:pPr>
        <w:pStyle w:val="Heading2"/>
      </w:pPr>
      <w:r>
        <w:rPr>
          <w:bCs/>
          <w:b/>
        </w:rPr>
        <w:t xml:space="preserve">R.19.8 Expected final outcome</w:t>
      </w:r>
    </w:p>
    <w:p>
      <w:pPr>
        <w:pStyle w:val="FirstParagraph"/>
      </w:pPr>
      <w:r>
        <w:t xml:space="preserve">Arithmetic witness: Under the deliberately incomplete fixture inputs, C is the sole option surviving the demonstrated NCRC, supplied TRC arithmetic, and CSV/Containment calculations. This arithmetic witness is not an ordinary claim-bearing selection state.</w:t>
      </w:r>
    </w:p>
    <w:p>
      <w:pPr>
        <w:pStyle w:val="BodyText"/>
      </w:pPr>
      <w:r>
        <w:t xml:space="preserve">Claim-bearing final disposition: Because mandatory tail families are absent, a conforming implementation MUST emit MANDATORY_TAIL_CATEGORY_MISSING and MUST NOT emit ALLOW_FRAMEWORK_SELECTION, SELECTED_DECISIVE, TRC_COMPLETE, or a flag-free real-run selection claim. The correct disposition is ESCALATE_OR_REPAIR_SCENARIO_LIBRARY until the scenario library is completed or a governed omission justification is recorded and TRC is rerun.</w:t>
      </w:r>
    </w:p>
    <w:p>
      <w:pPr>
        <w:pStyle w:val="BodyText"/>
      </w:pPr>
      <w:r>
        <w:t xml:space="preserve">Conformance result: PASS only if the implementation reproduces: (i) A fails NCRC with the stated violation depths, (ii) B and C pass NCRC under the supplied fixture, (iii) the supplied TRC arithmetic matches the stated CVaR values while remaining incomplete as a claim-bearing TRC record, (iv) B fails CSV/Containment with the stated M_U4 value, (v) C passes CSV/Containment, (vi) C is identified only as the arithmetic survivor under the incomplete fixture, (vii) RLS(C) matches the stated value within +/-0.000010, and (viii) ordinary framework selection is blocked pending scenario-library repair.</w:t>
      </w:r>
    </w:p>
    <w:bookmarkEnd w:id="552"/>
    <w:bookmarkStart w:id="553" w:name="X1e0c04c3ecbf10c7bbad8f6dd61b04bfb669764"/>
    <w:p>
      <w:pPr>
        <w:pStyle w:val="Heading2"/>
      </w:pPr>
      <w:r>
        <w:rPr>
          <w:bCs/>
          <w:b/>
        </w:rPr>
        <w:t xml:space="preserve">R.20 Dependence-Sensitivity Stress Vector (Normative conformance extension)</w:t>
      </w:r>
    </w:p>
    <w:p>
      <w:pPr>
        <w:pStyle w:val="FirstParagraph"/>
      </w:pPr>
      <w:r>
        <w:t xml:space="preserve">Construct two otherwise identical selectable options whose active-cell marginal uncertainties are unchanged, but place the material adverse cells in one declared perfect-correlation cluster for the stress case. A conforming implementation MUST recompute sigma_RLS using the dependence-cluster rule, rerun the decisiveness test, and emit RLS_DEPENDENCE_SENSITIVE whenever the decisive/non-decisive classification or selected leader changes. The vector demonstrates dependence sensitivity; it does not calibrate the correlation model.</w:t>
      </w:r>
    </w:p>
    <w:p>
      <w:pPr>
        <w:pStyle w:val="BodyText"/>
      </w:pPr>
      <w:r>
        <w:t xml:space="preserve">End Appendix R.</w:t>
      </w:r>
    </w:p>
    <w:bookmarkEnd w:id="553"/>
    <w:bookmarkEnd w:id="554"/>
    <w:bookmarkStart w:id="555" w:name="X0eeed9ba4a59fa36d8eb3cdb258c7faee0c1bb2"/>
    <w:p>
      <w:pPr>
        <w:pStyle w:val="Heading1"/>
      </w:pPr>
      <w:bookmarkStart w:id="804" w:name="mg_toc_040"/>
      <w:r>
        <w:rPr>
          <w:bCs/>
          <w:b/>
        </w:rPr>
        <w:t xml:space="preserve">APPENDIX S: INTEROPERABILITY: RIPPLE.MD WRAPPED DEPLOYMENT ASSURANCE (INFORMATIVE)</w:t>
      </w:r>
      <w:bookmarkEnd w:id="804"/>
    </w:p>
    <w:p>
      <w:pPr>
        <w:pStyle w:val="FirstParagraph"/>
      </w:pPr>
      <w:r>
        <w:t xml:space="preserve">Interoperability (canonical posture; wrapped deployment). RippleLogic in the current release line is the decision-engine specification. In institutional and deployment contexts, RippleLogic is commonly wrapped by the ripple.md Standard v5.5, which supplies feasibility gates for Non-Domination and Epistemic Integrity, standardizes Decision Notes, waivers, and emergency triage records, and defines the portable interface contract for passing admissibility, residual-risk, and audit artifacts between ripple.md and RippleLogic. Under this posture, ripple.md gates define the feasible set, and RippleLogic selects among feasible options using its lexicographic cascade and welfare-ranking logic.</w:t>
      </w:r>
    </w:p>
    <w:p>
      <w:pPr>
        <w:pStyle w:val="BodyText"/>
      </w:pPr>
      <w:r>
        <w:t xml:space="preserve">Interface summary (Informative). ripple.md v5.5 owns the portable alignment contract, Decision Note, waiver, emergency triage, and assurance-case semantics. RippleLogic in the current release line owns the 7×7 welfare matrix, RG/RF-NCRC/TRC/CSV/RLS architecture, with UCI/HOI as CSV-internal or residual diagnostics, PCC, and any PLSS weighting used for local welfare ranking. Implementations MUST pin both artifacts explicitly when claiming wrapped deployment conformance.</w:t>
      </w:r>
    </w:p>
    <w:p>
      <w:pPr>
        <w:pStyle w:val="BodyText"/>
      </w:pPr>
      <w:r>
        <w:t xml:space="preserve">Interface contract (Normative summary). In wrapped deployments, ripple.md receives the decision context, Decision Note, waiver state, emergency-triage posture, and any institutional assurance metadata. RippleLogic returns the PCC, admissibility states (rights-admissible, admissible, selectable, selected), gate rationales, residual-risk disclosures, and any PLSS posture declaration. ripple.md MUST NOT override RippleLogic gate outcomes silently; any waiver, emergency exception, or governance override MUST remain explicit, version-pinned, and attached to the same run record.</w:t>
      </w:r>
    </w:p>
    <w:p>
      <w:pPr>
        <w:pStyle w:val="BodyText"/>
      </w:pPr>
      <w:r>
        <w:t xml:space="preserve">Boundary rule (Normative summary). ripple.md governs portable assurance semantics such as Non-Domination, Epistemic Integrity, Decision Notes, and waiver choreography. RippleLogic governs the computable 7×7 welfare matrix, RG/RF-NCRC/TRC/CSV/RLS architecture, with UCI/HOI as CSV-internal or residual diagnostics, PCC, and PLSS weighting. If ripple.md and RippleLogic disagree about readiness, the deployment MUST preserve both records and escalate rather than collapsing the disagreement into a single hidden status. Companion artifacts MUST be pinned together by explicit version and manifest hash in the release bundle.</w:t>
      </w:r>
    </w:p>
    <w:p>
      <w:pPr>
        <w:pStyle w:val="BodyText"/>
      </w:pPr>
      <w:r>
        <w:t xml:space="preserve">Minimum interface artifacts (Normative for wrapped deployments). In any deployment claiming both ripple.md v5.5 and RippleLogic current-line conformance, the following interface artifacts MUST be present and version-pinned in the deployment manifest: (i) a ripple.md Decision Note, including feasibility gate outcomes for Non-Domination and Epistemic Integrity, as the upstream input to the RippleLogic run; (ii) a RippleLogic PCC, including admissibility states, gate rationales, residual-risk disclosures, and any PLSS posture declaration, as the downstream output consumed by ripple.md assurance records; (iii) a version-pin declaration listing the exact ripple.md and RippleLogic artifact versions and hashes used; and (iv) a disagreement-handling rule: if ripple.md feasibility gates and RippleLogic admissibility gates produce contradictory signals, the deployment MUST preserve both records, flag the disagreement, and escalate to governance review rather than silently collapsing the discrepancy.</w:t>
      </w:r>
    </w:p>
    <w:p>
      <w:pPr>
        <w:pStyle w:val="BodyText"/>
      </w:pPr>
      <w:r>
        <w:t xml:space="preserve">Scope note (Informative). This interoperability section defines the portable interface contract between the two artifacts. It does not reproduce ripple.md internal semantics, which remain governed by the ripple.md Standard v5.5 canonical artifact. For the full assurance-case architecture, Decision Note schema, waiver choreography, and emergency triage semantics, see ripple.md v5.5.</w:t>
      </w:r>
    </w:p>
    <w:p>
      <w:pPr>
        <w:pStyle w:val="BodyText"/>
      </w:pPr>
      <w:r>
        <w:t xml:space="preserve">End Appendix S.</w:t>
      </w:r>
    </w:p>
    <w:bookmarkEnd w:id="555"/>
    <w:bookmarkStart w:id="562" w:name="X563e0e4efc380d27ff0cdb8d850434afea2fdc7"/>
    <w:p>
      <w:pPr>
        <w:pStyle w:val="Heading1"/>
      </w:pPr>
      <w:bookmarkStart w:id="805" w:name="mg_toc_041"/>
      <w:r>
        <w:rPr>
          <w:bCs/>
          <w:b/>
        </w:rPr>
        <w:t xml:space="preserve">Appendix T: Qualification Continuity for Consequence-Bearing Action (Normative for Tier 2-3 execution)</w:t>
      </w:r>
      <w:bookmarkEnd w:id="805"/>
    </w:p>
    <w:bookmarkStart w:id="556" w:name="t1-purpose-and-architectural-placement"/>
    <w:p>
      <w:pPr>
        <w:pStyle w:val="Heading2"/>
      </w:pPr>
      <w:r>
        <w:rPr>
          <w:bCs/>
          <w:b/>
        </w:rPr>
        <w:t xml:space="preserve">T.1 Purpose and architectural placement</w:t>
      </w:r>
    </w:p>
    <w:p>
      <w:pPr>
        <w:pStyle w:val="FirstParagraph"/>
      </w:pPr>
      <w:r>
        <w:t xml:space="preserve">Qualification continuity prevents a run from treating a prior calculation, selection, or approval as authority for a materially different action. It is an execution-bound conformance discipline applied after the existing</w:t>
      </w:r>
      <w:r>
        <w:t xml:space="preserve"> </w:t>
      </w:r>
      <w:r>
        <w:rPr>
          <w:rStyle w:val="VerbatimChar"/>
        </w:rPr>
        <w:t xml:space="preserve">RG -&gt; RF/NCRC -&gt; TRC -&gt; CSV -&gt; RLS</w:t>
      </w:r>
      <w:r>
        <w:t xml:space="preserve"> </w:t>
      </w:r>
      <w:r>
        <w:t xml:space="preserve">cascade and before consequence-bearing action. It is not a sixth gate, a welfare dimension, a legal conclusion, or physical-safety proof.</w:t>
      </w:r>
    </w:p>
    <w:bookmarkEnd w:id="556"/>
    <w:bookmarkStart w:id="557" w:name="t2-exact-binding-rule"/>
    <w:p>
      <w:pPr>
        <w:pStyle w:val="Heading2"/>
      </w:pPr>
      <w:r>
        <w:rPr>
          <w:bCs/>
          <w:b/>
        </w:rPr>
        <w:t xml:space="preserve">T.2 Exact binding rule</w:t>
      </w:r>
    </w:p>
    <w:p>
      <w:pPr>
        <w:pStyle w:val="FirstParagraph"/>
      </w:pPr>
      <w:r>
        <w:t xml:space="preserve">For Tier 2 and Tier 3 consequence-bearing execution, the PCC or linked run record SHALL bind the selected option to all of the following at the time of action:</w:t>
      </w:r>
      <w:r>
        <w:t xml:space="preserve"> </w:t>
      </w:r>
      <w:r>
        <w:rPr>
          <w:rStyle w:val="VerbatimChar"/>
        </w:rPr>
        <w:t xml:space="preserve">action_qualification_id</w:t>
      </w:r>
      <w:r>
        <w:t xml:space="preserve">;</w:t>
      </w:r>
      <w:r>
        <w:t xml:space="preserve"> </w:t>
      </w:r>
      <w:r>
        <w:rPr>
          <w:rStyle w:val="VerbatimChar"/>
        </w:rPr>
        <w:t xml:space="preserve">qualified_option_id</w:t>
      </w:r>
      <w:r>
        <w:t xml:space="preserve">;</w:t>
      </w:r>
      <w:r>
        <w:t xml:space="preserve"> </w:t>
      </w:r>
      <w:r>
        <w:rPr>
          <w:rStyle w:val="VerbatimChar"/>
        </w:rPr>
        <w:t xml:space="preserve">action_instance_id</w:t>
      </w:r>
      <w:r>
        <w:t xml:space="preserve">;</w:t>
      </w:r>
      <w:r>
        <w:t xml:space="preserve"> </w:t>
      </w:r>
      <w:r>
        <w:rPr>
          <w:rStyle w:val="VerbatimChar"/>
        </w:rPr>
        <w:t xml:space="preserve">action_specification_hash</w:t>
      </w:r>
      <w:r>
        <w:t xml:space="preserve">;</w:t>
      </w:r>
      <w:r>
        <w:t xml:space="preserve"> </w:t>
      </w:r>
      <w:r>
        <w:rPr>
          <w:rStyle w:val="VerbatimChar"/>
        </w:rPr>
        <w:t xml:space="preserve">configuration_id</w:t>
      </w:r>
      <w:r>
        <w:t xml:space="preserve"> </w:t>
      </w:r>
      <w:r>
        <w:t xml:space="preserve">and, where available,</w:t>
      </w:r>
      <w:r>
        <w:t xml:space="preserve"> </w:t>
      </w:r>
      <w:r>
        <w:rPr>
          <w:rStyle w:val="VerbatimChar"/>
        </w:rPr>
        <w:t xml:space="preserve">configuration_hash</w:t>
      </w:r>
      <w:r>
        <w:t xml:space="preserve">;</w:t>
      </w:r>
      <w:r>
        <w:t xml:space="preserve"> </w:t>
      </w:r>
      <w:r>
        <w:rPr>
          <w:rStyle w:val="VerbatimChar"/>
        </w:rPr>
        <w:t xml:space="preserve">qualification_snapshot_hash</w:t>
      </w:r>
      <w:r>
        <w:t xml:space="preserve">; gate-result snapshot; current-state status; transition status; post-state status; qualification status; active control and material-obligation status; monitoring plan; pause or shutdown path; rollback or repair path; separate authority-basis reference; reviewer identity or accountable role; evaluation time; and claim boundary.</w:t>
      </w:r>
    </w:p>
    <w:p>
      <w:pPr>
        <w:pStyle w:val="BodyText"/>
      </w:pPr>
      <w:r>
        <w:t xml:space="preserve">The action specification SHALL identify the material action parameters, tools, permissions, operating envelope, affected scopes, and execution boundary. A change that would alter the applicable evidence, rights analysis, tail-risk analysis, containment analysis, control performance, authority basis, or affected parties requires a new action specification and requalification.</w:t>
      </w:r>
    </w:p>
    <w:bookmarkEnd w:id="557"/>
    <w:bookmarkStart w:id="558" w:name="t3-execution-bound-consistency-rule"/>
    <w:p>
      <w:pPr>
        <w:pStyle w:val="Heading2"/>
      </w:pPr>
      <w:r>
        <w:rPr>
          <w:bCs/>
          <w:b/>
        </w:rPr>
        <w:t xml:space="preserve">T.3 Execution-bound consistency rule</w:t>
      </w:r>
    </w:p>
    <w:p>
      <w:pPr>
        <w:pStyle w:val="FirstParagraph"/>
      </w:pPr>
      <w:r>
        <w:t xml:space="preserve">An execution-bound claim is conforming only when all of the following hold simultaneously:</w:t>
      </w:r>
    </w:p>
    <w:p>
      <w:pPr>
        <w:numPr>
          <w:ilvl w:val="0"/>
          <w:numId w:val="1416"/>
        </w:numPr>
        <w:pStyle w:val="Compact"/>
      </w:pPr>
      <w:r>
        <w:rPr>
          <w:rStyle w:val="VerbatimChar"/>
        </w:rPr>
        <w:t xml:space="preserve">qualified_option_id</w:t>
      </w:r>
      <w:r>
        <w:t xml:space="preserve"> </w:t>
      </w:r>
      <w:r>
        <w:t xml:space="preserve">equals the currently selected selectable option;</w:t>
      </w:r>
    </w:p>
    <w:p>
      <w:pPr>
        <w:numPr>
          <w:ilvl w:val="0"/>
          <w:numId w:val="1416"/>
        </w:numPr>
        <w:pStyle w:val="Compact"/>
      </w:pPr>
      <w:r>
        <w:t xml:space="preserve">current-state status is</w:t>
      </w:r>
      <w:r>
        <w:t xml:space="preserve"> </w:t>
      </w:r>
      <w:r>
        <w:rPr>
          <w:rStyle w:val="VerbatimChar"/>
        </w:rPr>
        <w:t xml:space="preserve">VALID</w:t>
      </w:r>
      <w:r>
        <w:t xml:space="preserve">;</w:t>
      </w:r>
    </w:p>
    <w:p>
      <w:pPr>
        <w:numPr>
          <w:ilvl w:val="0"/>
          <w:numId w:val="1416"/>
        </w:numPr>
        <w:pStyle w:val="Compact"/>
      </w:pPr>
      <w:r>
        <w:t xml:space="preserve">transition status is</w:t>
      </w:r>
      <w:r>
        <w:t xml:space="preserve"> </w:t>
      </w:r>
      <w:r>
        <w:rPr>
          <w:rStyle w:val="VerbatimChar"/>
        </w:rPr>
        <w:t xml:space="preserve">ADMISSIBLE</w:t>
      </w:r>
      <w:r>
        <w:t xml:space="preserve"> </w:t>
      </w:r>
      <w:r>
        <w:t xml:space="preserve">under the existing gates;</w:t>
      </w:r>
    </w:p>
    <w:p>
      <w:pPr>
        <w:numPr>
          <w:ilvl w:val="0"/>
          <w:numId w:val="1416"/>
        </w:numPr>
        <w:pStyle w:val="Compact"/>
      </w:pPr>
      <w:r>
        <w:t xml:space="preserve">post-state status is</w:t>
      </w:r>
      <w:r>
        <w:t xml:space="preserve"> </w:t>
      </w:r>
      <w:r>
        <w:rPr>
          <w:rStyle w:val="VerbatimChar"/>
        </w:rPr>
        <w:t xml:space="preserve">VIABLE</w:t>
      </w:r>
      <w:r>
        <w:t xml:space="preserve"> </w:t>
      </w:r>
      <w:r>
        <w:t xml:space="preserve">within the declared claim and evidence boundary;</w:t>
      </w:r>
    </w:p>
    <w:p>
      <w:pPr>
        <w:numPr>
          <w:ilvl w:val="0"/>
          <w:numId w:val="1416"/>
        </w:numPr>
        <w:pStyle w:val="Compact"/>
      </w:pPr>
      <w:r>
        <w:t xml:space="preserve">qualification status is</w:t>
      </w:r>
      <w:r>
        <w:t xml:space="preserve"> </w:t>
      </w:r>
      <w:r>
        <w:rPr>
          <w:rStyle w:val="VerbatimChar"/>
        </w:rPr>
        <w:t xml:space="preserve">CURRENT</w:t>
      </w:r>
      <w:r>
        <w:t xml:space="preserve"> </w:t>
      </w:r>
      <w:r>
        <w:t xml:space="preserve">and no material requalification trigger is active;</w:t>
      </w:r>
    </w:p>
    <w:p>
      <w:pPr>
        <w:numPr>
          <w:ilvl w:val="0"/>
          <w:numId w:val="1416"/>
        </w:numPr>
        <w:pStyle w:val="Compact"/>
      </w:pPr>
      <w:r>
        <w:t xml:space="preserve">the exact action and exact configuration match the frozen qualification snapshot;</w:t>
      </w:r>
    </w:p>
    <w:p>
      <w:pPr>
        <w:numPr>
          <w:ilvl w:val="0"/>
          <w:numId w:val="1416"/>
        </w:numPr>
        <w:pStyle w:val="Compact"/>
      </w:pPr>
      <w:r>
        <w:t xml:space="preserve">required controls and material obligations are current and effective for their declared role;</w:t>
      </w:r>
    </w:p>
    <w:p>
      <w:pPr>
        <w:numPr>
          <w:ilvl w:val="0"/>
          <w:numId w:val="1416"/>
        </w:numPr>
        <w:pStyle w:val="Compact"/>
      </w:pPr>
      <w:r>
        <w:t xml:space="preserve">monitoring, pause or shutdown, and rollback or repair paths are usable within the consequence tempo; and</w:t>
      </w:r>
    </w:p>
    <w:p>
      <w:pPr>
        <w:numPr>
          <w:ilvl w:val="0"/>
          <w:numId w:val="1416"/>
        </w:numPr>
        <w:pStyle w:val="Compact"/>
      </w:pPr>
      <w:r>
        <w:t xml:space="preserve">a separately legitimate authority basis applies to the same action, configuration, scope, and time.</w:t>
      </w:r>
    </w:p>
    <w:p>
      <w:pPr>
        <w:pStyle w:val="FirstParagraph"/>
      </w:pPr>
      <w:r>
        <w:t xml:space="preserve">Failure of any condition SHALL block ordinary execution and route the run to repair, narrower scope, escalation, or Refusal as the applicable existing rule requires. This rule cannot rescue an RF/NCRC, TRC, CSV, evidence, control, or authority failure.</w:t>
      </w:r>
    </w:p>
    <w:bookmarkEnd w:id="558"/>
    <w:bookmarkStart w:id="559" w:name="Xad5e971b0f2c28e10caf770bab135aea64bfcba"/>
    <w:p>
      <w:pPr>
        <w:pStyle w:val="Heading2"/>
      </w:pPr>
      <w:r>
        <w:rPr>
          <w:bCs/>
          <w:b/>
        </w:rPr>
        <w:t xml:space="preserve">T.4 Capability, selection, and authority separation</w:t>
      </w:r>
    </w:p>
    <w:p>
      <w:pPr>
        <w:pStyle w:val="FirstParagraph"/>
      </w:pPr>
      <w:r>
        <w:t xml:space="preserve">Capability availability, capability enablement, framework selectability, framework selection, execution qualification, and legitimate authority are distinct states. No state implies the next. MathGov supplies a bounded governance record; it does not itself grant institutional, democratic, legal, operational, or physical authority.</w:t>
      </w:r>
    </w:p>
    <w:bookmarkEnd w:id="559"/>
    <w:bookmarkStart w:id="560" w:name="t5-material-unknown-action-rule"/>
    <w:p>
      <w:pPr>
        <w:pStyle w:val="Heading2"/>
      </w:pPr>
      <w:r>
        <w:rPr>
          <w:bCs/>
          <w:b/>
        </w:rPr>
        <w:t xml:space="preserve">T.5 Material-unknown action rule</w:t>
      </w:r>
    </w:p>
    <w:p>
      <w:pPr>
        <w:pStyle w:val="FirstParagraph"/>
      </w:pPr>
      <w:r>
        <w:t xml:space="preserve">Where the validity domain, safe operating envelope, causal mapping, or failure boundary is materially unknown, governance MAY qualify only a bounded evidence-gaining action whose own risks pass RF/NCRC, TRC, and CSV and whose stopping, containment, monitoring, and review rules are predeclared. Governance SHALL NOT translate the unknown into implied safety or ordinary execution eligibility through approval, documentation, user acceptance, certification, or risk transfer.</w:t>
      </w:r>
    </w:p>
    <w:bookmarkEnd w:id="560"/>
    <w:bookmarkStart w:id="561" w:name="t6-validation-rule"/>
    <w:p>
      <w:pPr>
        <w:pStyle w:val="Heading2"/>
      </w:pPr>
      <w:r>
        <w:rPr>
          <w:bCs/>
          <w:b/>
        </w:rPr>
        <w:t xml:space="preserve">T.6 Validation rule</w:t>
      </w:r>
    </w:p>
    <w:p>
      <w:pPr>
        <w:pStyle w:val="FirstParagraph"/>
      </w:pPr>
      <w:r>
        <w:t xml:space="preserve">For a required run, absence, mismatch, expiry, or trigger-suspension of the action-bound qualification SHALL make any execution-qualified claim INVALID. It does not rewrite the historical gate arithmetic; it limits what can be claimed or done from that arithmetic.</w:t>
      </w:r>
    </w:p>
    <w:bookmarkEnd w:id="561"/>
    <w:bookmarkEnd w:id="562"/>
    <w:bookmarkStart w:id="569" w:name="Xe0b1d456f593fde0511bc484115160e2c76c0f7"/>
    <w:p>
      <w:pPr>
        <w:pStyle w:val="Heading1"/>
      </w:pPr>
      <w:bookmarkStart w:id="806" w:name="mg_toc_042"/>
      <w:r>
        <w:rPr>
          <w:bCs/>
          <w:b/>
        </w:rPr>
        <w:t xml:space="preserve">Appendix U: Outcome Observation and Requalification (Normative for consequence-bearing action)</w:t>
      </w:r>
      <w:bookmarkEnd w:id="806"/>
    </w:p>
    <w:bookmarkStart w:id="563" w:name="u1-purpose"/>
    <w:p>
      <w:pPr>
        <w:pStyle w:val="Heading2"/>
      </w:pPr>
      <w:r>
        <w:rPr>
          <w:bCs/>
          <w:b/>
        </w:rPr>
        <w:t xml:space="preserve">U.1 Purpose</w:t>
      </w:r>
    </w:p>
    <w:p>
      <w:pPr>
        <w:pStyle w:val="FirstParagraph"/>
      </w:pPr>
      <w:r>
        <w:t xml:space="preserve">MathGov remains answerable to observed consequences. A completed action does not retroactively prove its assumptions, causal model, safety, or moral correctness. Observation updates the evidence record and reopens affected stages when the new evidence is material.</w:t>
      </w:r>
    </w:p>
    <w:bookmarkEnd w:id="563"/>
    <w:bookmarkStart w:id="564" w:name="u2-required-outcome-observation"/>
    <w:p>
      <w:pPr>
        <w:pStyle w:val="Heading2"/>
      </w:pPr>
      <w:r>
        <w:rPr>
          <w:bCs/>
          <w:b/>
        </w:rPr>
        <w:t xml:space="preserve">U.2 Required outcome observation</w:t>
      </w:r>
    </w:p>
    <w:p>
      <w:pPr>
        <w:pStyle w:val="FirstParagraph"/>
      </w:pPr>
      <w:r>
        <w:t xml:space="preserve">For Tier 2 and Tier 3 consequence-bearing action, the PCC or linked record SHALL identify:</w:t>
      </w:r>
      <w:r>
        <w:t xml:space="preserve"> </w:t>
      </w:r>
      <w:r>
        <w:rPr>
          <w:rStyle w:val="VerbatimChar"/>
        </w:rPr>
        <w:t xml:space="preserve">outcome_observation_id</w:t>
      </w:r>
      <w:r>
        <w:t xml:space="preserve">;</w:t>
      </w:r>
      <w:r>
        <w:t xml:space="preserve"> </w:t>
      </w:r>
      <w:r>
        <w:rPr>
          <w:rStyle w:val="VerbatimChar"/>
        </w:rPr>
        <w:t xml:space="preserve">action_instance_id</w:t>
      </w:r>
      <w:r>
        <w:t xml:space="preserve">;</w:t>
      </w:r>
      <w:r>
        <w:t xml:space="preserve"> </w:t>
      </w:r>
      <w:r>
        <w:rPr>
          <w:rStyle w:val="VerbatimChar"/>
        </w:rPr>
        <w:t xml:space="preserve">qualified_option_id</w:t>
      </w:r>
      <w:r>
        <w:t xml:space="preserve">;</w:t>
      </w:r>
      <w:r>
        <w:t xml:space="preserve"> </w:t>
      </w:r>
      <w:r>
        <w:rPr>
          <w:rStyle w:val="VerbatimChar"/>
        </w:rPr>
        <w:t xml:space="preserve">configuration_id</w:t>
      </w:r>
      <w:r>
        <w:t xml:space="preserve">; observation time and window; predeclared expected markers; observed outcomes; deviation from expected results; materiality assessment; affected Union Scopes and worst-affected subgroups; rights-floor, tail-risk, containment, control, and material-obligation signals; new material unknowns; source and measurement method; uncertainty; reviewer; and claim effect.</w:t>
      </w:r>
    </w:p>
    <w:bookmarkEnd w:id="564"/>
    <w:bookmarkStart w:id="565" w:name="u3-requalification-triggers"/>
    <w:p>
      <w:pPr>
        <w:pStyle w:val="Heading2"/>
      </w:pPr>
      <w:r>
        <w:rPr>
          <w:bCs/>
          <w:b/>
        </w:rPr>
        <w:t xml:space="preserve">U.3 Requalification triggers</w:t>
      </w:r>
    </w:p>
    <w:p>
      <w:pPr>
        <w:pStyle w:val="FirstParagraph"/>
      </w:pPr>
      <w:r>
        <w:t xml:space="preserve">A run SHALL suspend inherited execution qualification and reopen the affected stages when observation reveals a material configuration change, new affected party, credible rights-floor concern, new ruin pathway, containment degradation, control or obligation failure, authority change, material deviation from predeclared outcomes, incident, near miss, cumulative harm, or a new unknown that changes the attempted claim.</w:t>
      </w:r>
    </w:p>
    <w:p>
      <w:pPr>
        <w:pStyle w:val="BodyText"/>
      </w:pPr>
      <w:r>
        <w:t xml:space="preserve">Reopening is dependency-localized: the run SHALL reopen every stage and downstream result affected by the changed premise or evidence, but it need not discard unaffected evidence without reason. If the dependency boundary is itself underdetermined, the run SHALL use the more conservative reopening scope or enter Refusal.</w:t>
      </w:r>
    </w:p>
    <w:bookmarkEnd w:id="565"/>
    <w:bookmarkStart w:id="566" w:name="u4-no-post-hoc-rescue"/>
    <w:p>
      <w:pPr>
        <w:pStyle w:val="Heading2"/>
      </w:pPr>
      <w:r>
        <w:rPr>
          <w:bCs/>
          <w:b/>
        </w:rPr>
        <w:t xml:space="preserve">U.4 No post-hoc rescue</w:t>
      </w:r>
    </w:p>
    <w:p>
      <w:pPr>
        <w:pStyle w:val="FirstParagraph"/>
      </w:pPr>
      <w:r>
        <w:t xml:space="preserve">Outcome evidence SHALL be assessed against predeclared markers, tolerances, and evidence rules. Implementations MUST NOT redefine success after observing the result, collapse subgroup harms into aggregate benefit, treat absence of observed failure as proof of safety, or preserve a preferred selection by silently narrowing the observation window.</w:t>
      </w:r>
    </w:p>
    <w:bookmarkEnd w:id="566"/>
    <w:bookmarkStart w:id="567" w:name="u5-claim-effect"/>
    <w:p>
      <w:pPr>
        <w:pStyle w:val="Heading2"/>
      </w:pPr>
      <w:r>
        <w:rPr>
          <w:bCs/>
          <w:b/>
        </w:rPr>
        <w:t xml:space="preserve">U.5 Claim effect</w:t>
      </w:r>
    </w:p>
    <w:p>
      <w:pPr>
        <w:pStyle w:val="FirstParagraph"/>
      </w:pPr>
      <w:r>
        <w:t xml:space="preserve">Observation MAY support continuation, controlled continuation, redesign, suspension, rollback, repair, escalation, or Refusal. It SHALL NOT create authority. A successful bounded trial supports only the claim justified by its configuration, population, duration, measurement quality, and validity domain.</w:t>
      </w:r>
    </w:p>
    <w:bookmarkEnd w:id="567"/>
    <w:bookmarkStart w:id="568" w:name="u6-machine-readable-implementation"/>
    <w:p>
      <w:pPr>
        <w:pStyle w:val="Heading2"/>
      </w:pPr>
      <w:r>
        <w:rPr>
          <w:bCs/>
          <w:b/>
        </w:rPr>
        <w:t xml:space="preserve">U.6 Machine-readable implementation</w:t>
      </w:r>
    </w:p>
    <w:p>
      <w:pPr>
        <w:pStyle w:val="FirstParagraph"/>
      </w:pPr>
      <w:r>
        <w:t xml:space="preserve">Run-record schema v4 and its semantic validator operationalize the execution-bound subset of qualification continuity: exact option/action/snapshot binding, current qualification, valid current state, admissible transition, viable post-state, and capability/execution-state consistency. Outcome requalification remains partly reviewer-governed because materiality and causal interpretation require domain evidence that a generic schema cannot establish.</w:t>
      </w:r>
    </w:p>
    <w:bookmarkEnd w:id="568"/>
    <w:bookmarkEnd w:id="569"/>
    <w:bookmarkStart w:id="583" w:name="X18acc0e56d942da8383e87423ef06eda1623f72"/>
    <w:p>
      <w:pPr>
        <w:pStyle w:val="Heading1"/>
      </w:pPr>
      <w:bookmarkStart w:id="807" w:name="mg_toc_043"/>
      <w:r>
        <w:rPr>
          <w:bCs/>
          <w:b/>
        </w:rPr>
        <w:t xml:space="preserve">APPENDIX V: Measurement Maturity and Deployment Context Hardening</w:t>
      </w:r>
      <w:bookmarkEnd w:id="807"/>
    </w:p>
    <w:p>
      <w:pPr>
        <w:pStyle w:val="FirstParagraph"/>
      </w:pPr>
      <w:r>
        <w:t xml:space="preserve">Normative for Tier 2-3 claim-bearing runs; recommended for high-stakes Tier 1 runs.</w:t>
      </w:r>
    </w:p>
    <w:bookmarkStart w:id="570" w:name="v1-purpose"/>
    <w:p>
      <w:pPr>
        <w:pStyle w:val="Heading2"/>
      </w:pPr>
      <w:r>
        <w:rPr>
          <w:bCs/>
          <w:b/>
        </w:rPr>
        <w:t xml:space="preserve">V.1 Purpose</w:t>
      </w:r>
    </w:p>
    <w:p>
      <w:pPr>
        <w:pStyle w:val="FirstParagraph"/>
      </w:pPr>
      <w:r>
        <w:t xml:space="preserve">RippleLogic gates may be architecturally binding before their measurement surfaces are empirically mature. Every run MUST disclose the maturity posture of the evidence, indicators, kernels, institutional weighting process, and escalation mechanisms used to support those gates. A binary gate verdict is only claimable when the declared evidence basis can support the required determination under the run’s declared thresholds and uncertainty rules.</w:t>
      </w:r>
    </w:p>
    <w:bookmarkEnd w:id="570"/>
    <w:bookmarkStart w:id="571" w:name="X40634f5f81a3ac5e6e9987e88f280fd6300c274"/>
    <w:p>
      <w:pPr>
        <w:pStyle w:val="Heading2"/>
      </w:pPr>
      <w:r>
        <w:rPr>
          <w:bCs/>
          <w:b/>
        </w:rPr>
        <w:t xml:space="preserve">V.2 UCI Measurement Readiness Classification</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Token</w:t>
            </w:r>
          </w:p>
        </w:tc>
        <w:tc>
          <w:tcPr>
            <w:shd w:val="clear" w:color="auto" w:fill="D9EAF7"/>
            <w:vAlign w:val="center"/>
          </w:tcPr>
          <w:p>
            <w:pPr>
              <w:pStyle w:val="Compact"/>
              <w:jc w:val="left"/>
            </w:pPr>
            <w:r>
              <w:rPr>
                <w:bCs/>
                <w:b/>
                <w:color w:val="17365D"/>
              </w:rPr>
              <w:t xml:space="preserve">Meaning</w:t>
            </w:r>
          </w:p>
        </w:tc>
        <w:tc>
          <w:tcPr>
            <w:shd w:val="clear" w:color="auto" w:fill="D9EAF7"/>
            <w:vAlign w:val="center"/>
          </w:tcPr>
          <w:p>
            <w:pPr>
              <w:pStyle w:val="Compact"/>
              <w:jc w:val="left"/>
            </w:pPr>
            <w:r>
              <w:rPr>
                <w:bCs/>
                <w:b/>
                <w:color w:val="17365D"/>
              </w:rPr>
              <w:t xml:space="preserve">Claim effect</w:t>
            </w:r>
          </w:p>
        </w:tc>
      </w:tr>
      <w:tr>
        <w:tc>
          <w:tcPr>
            <w:vAlign w:val="top"/>
          </w:tcPr>
          <w:p>
            <w:pPr>
              <w:pStyle w:val="Compact"/>
              <w:jc w:val="left"/>
            </w:pPr>
            <w:r>
              <w:t xml:space="preserve">UCI-M0_UNAVAILABLE</w:t>
            </w:r>
          </w:p>
        </w:tc>
        <w:tc>
          <w:tcPr>
            <w:vAlign w:val="top"/>
          </w:tcPr>
          <w:p>
            <w:pPr>
              <w:pStyle w:val="Compact"/>
              <w:jc w:val="left"/>
            </w:pPr>
            <w:r>
              <w:t xml:space="preserve">No independent structural indicators are available.</w:t>
            </w:r>
          </w:p>
        </w:tc>
        <w:tc>
          <w:tcPr>
            <w:vAlign w:val="top"/>
          </w:tcPr>
          <w:p>
            <w:pPr>
              <w:pStyle w:val="Compact"/>
              <w:jc w:val="left"/>
            </w:pPr>
            <w:r>
              <w:t xml:space="preserve">UCI cannot support Containment or tie-break claims without escalation or narrower claim scope.</w:t>
            </w:r>
          </w:p>
        </w:tc>
      </w:tr>
      <w:tr>
        <w:tc>
          <w:tcPr>
            <w:shd w:val="clear" w:color="auto" w:fill="F7FBFE"/>
            <w:vAlign w:val="top"/>
          </w:tcPr>
          <w:p>
            <w:pPr>
              <w:pStyle w:val="Compact"/>
              <w:jc w:val="left"/>
            </w:pPr>
            <w:r>
              <w:t xml:space="preserve">UCI-M1_PROVISIONAL</w:t>
            </w:r>
          </w:p>
        </w:tc>
        <w:tc>
          <w:tcPr>
            <w:shd w:val="clear" w:color="auto" w:fill="F7FBFE"/>
            <w:vAlign w:val="top"/>
          </w:tcPr>
          <w:p>
            <w:pPr>
              <w:pStyle w:val="Compact"/>
              <w:jc w:val="left"/>
            </w:pPr>
            <w:r>
              <w:t xml:space="preserve">Indicators are declared but not validated, normalized, or reliability-tested.</w:t>
            </w:r>
          </w:p>
        </w:tc>
        <w:tc>
          <w:tcPr>
            <w:shd w:val="clear" w:color="auto" w:fill="F7FBFE"/>
            <w:vAlign w:val="top"/>
          </w:tcPr>
          <w:p>
            <w:pPr>
              <w:pStyle w:val="Compact"/>
              <w:jc w:val="left"/>
            </w:pPr>
            <w:r>
              <w:t xml:space="preserve">Tier run may proceed only with disclosure and caution; no cross-domain UCI validation claim.</w:t>
            </w:r>
          </w:p>
        </w:tc>
      </w:tr>
      <w:tr>
        <w:tc>
          <w:tcPr>
            <w:vAlign w:val="top"/>
          </w:tcPr>
          <w:p>
            <w:pPr>
              <w:pStyle w:val="Compact"/>
              <w:jc w:val="left"/>
            </w:pPr>
            <w:r>
              <w:t xml:space="preserve">UCI-M2_DOMAIN_SUPPORTED</w:t>
            </w:r>
          </w:p>
        </w:tc>
        <w:tc>
          <w:tcPr>
            <w:vAlign w:val="top"/>
          </w:tcPr>
          <w:p>
            <w:pPr>
              <w:pStyle w:val="Compact"/>
              <w:jc w:val="left"/>
            </w:pPr>
            <w:r>
              <w:t xml:space="preserve">Instruments, normalization rules, and reviewer procedures are declared for the domain.</w:t>
            </w:r>
          </w:p>
        </w:tc>
        <w:tc>
          <w:tcPr>
            <w:vAlign w:val="top"/>
          </w:tcPr>
          <w:p>
            <w:pPr>
              <w:pStyle w:val="Compact"/>
              <w:jc w:val="left"/>
            </w:pPr>
            <w:r>
              <w:t xml:space="preserve">Stronger Tier 3 use is possible with disclosed provisionality.</w:t>
            </w:r>
          </w:p>
        </w:tc>
      </w:tr>
      <w:tr>
        <w:tc>
          <w:tcPr>
            <w:shd w:val="clear" w:color="auto" w:fill="F7FBFE"/>
            <w:vAlign w:val="top"/>
          </w:tcPr>
          <w:p>
            <w:pPr>
              <w:pStyle w:val="Compact"/>
              <w:jc w:val="left"/>
            </w:pPr>
            <w:r>
              <w:t xml:space="preserve">UCI-M3_VALIDATED</w:t>
            </w:r>
          </w:p>
        </w:tc>
        <w:tc>
          <w:tcPr>
            <w:shd w:val="clear" w:color="auto" w:fill="F7FBFE"/>
            <w:vAlign w:val="top"/>
          </w:tcPr>
          <w:p>
            <w:pPr>
              <w:pStyle w:val="Compact"/>
              <w:jc w:val="left"/>
            </w:pPr>
            <w:r>
              <w:t xml:space="preserve">A domain annex exists with reliability, construct-validity, normalization, and structural-independence evidence.</w:t>
            </w:r>
          </w:p>
        </w:tc>
        <w:tc>
          <w:tcPr>
            <w:shd w:val="clear" w:color="auto" w:fill="F7FBFE"/>
            <w:vAlign w:val="top"/>
          </w:tcPr>
          <w:p>
            <w:pPr>
              <w:pStyle w:val="Compact"/>
              <w:jc w:val="left"/>
            </w:pPr>
            <w:r>
              <w:t xml:space="preserve">Higher-confidence Containment and tie-break use is claimable within that domain.</w:t>
            </w:r>
          </w:p>
        </w:tc>
      </w:tr>
    </w:tbl>
    <w:p>
      <w:pPr>
        <w:pStyle w:val="BodyText"/>
      </w:pPr>
      <w:r>
        <w:t xml:space="preserve">For Tier 2-3 runs using UCI, PCC.UCI_Measurement_Readiness, PCC.UCI_Indicator_Source, PCC.UCI_Normalization_Rule, PCC.UCI_Structural_Independence_Posture, and PCC.UCI_Reviewer_Reliability_Status SHALL be recorded. If UCI-M0 applies, UCI-dependent Containment or tie-break claims SHALL route to escalation, conservative fallback, or Refusal rather than silently proceeding as validated measurement.</w:t>
      </w:r>
    </w:p>
    <w:bookmarkEnd w:id="571"/>
    <w:bookmarkStart w:id="572" w:name="v3-kernel-use-posture"/>
    <w:p>
      <w:pPr>
        <w:pStyle w:val="Heading2"/>
      </w:pPr>
      <w:r>
        <w:rPr>
          <w:bCs/>
          <w:b/>
        </w:rPr>
        <w:t xml:space="preserve">V.3 Kernel Use Posture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Token</w:t>
            </w:r>
          </w:p>
        </w:tc>
        <w:tc>
          <w:tcPr>
            <w:shd w:val="clear" w:color="auto" w:fill="D9EAF7"/>
            <w:vAlign w:val="center"/>
          </w:tcPr>
          <w:p>
            <w:pPr>
              <w:pStyle w:val="Compact"/>
              <w:jc w:val="left"/>
            </w:pPr>
            <w:r>
              <w:rPr>
                <w:bCs/>
                <w:b/>
                <w:color w:val="17365D"/>
              </w:rPr>
              <w:t xml:space="preserve">Meaning</w:t>
            </w:r>
          </w:p>
        </w:tc>
      </w:tr>
      <w:tr>
        <w:tc>
          <w:tcPr>
            <w:vAlign w:val="top"/>
          </w:tcPr>
          <w:p>
            <w:pPr>
              <w:pStyle w:val="Compact"/>
              <w:jc w:val="left"/>
            </w:pPr>
            <w:r>
              <w:t xml:space="preserve">K0_NONE</w:t>
            </w:r>
          </w:p>
        </w:tc>
        <w:tc>
          <w:tcPr>
            <w:vAlign w:val="top"/>
          </w:tcPr>
          <w:p>
            <w:pPr>
              <w:pStyle w:val="Compact"/>
              <w:jc w:val="left"/>
            </w:pPr>
            <w:r>
              <w:t xml:space="preserve">No numerical propagation kernel is used; direct multi-scope assessment and conservative disclosure govern.</w:t>
            </w:r>
          </w:p>
        </w:tc>
      </w:tr>
      <w:tr>
        <w:tc>
          <w:tcPr>
            <w:shd w:val="clear" w:color="auto" w:fill="F7FBFE"/>
            <w:vAlign w:val="top"/>
          </w:tcPr>
          <w:p>
            <w:pPr>
              <w:pStyle w:val="Compact"/>
              <w:jc w:val="left"/>
            </w:pPr>
            <w:r>
              <w:t xml:space="preserve">K1_STARTER</w:t>
            </w:r>
          </w:p>
        </w:tc>
        <w:tc>
          <w:tcPr>
            <w:shd w:val="clear" w:color="auto" w:fill="F7FBFE"/>
            <w:vAlign w:val="top"/>
          </w:tcPr>
          <w:p>
            <w:pPr>
              <w:pStyle w:val="Compact"/>
              <w:jc w:val="left"/>
            </w:pPr>
            <w:r>
              <w:t xml:space="preserve">Starter kernel used with shrinkage, sensitivity checks, and low confidence.</w:t>
            </w:r>
          </w:p>
        </w:tc>
      </w:tr>
      <w:tr>
        <w:tc>
          <w:tcPr>
            <w:vAlign w:val="top"/>
          </w:tcPr>
          <w:p>
            <w:pPr>
              <w:pStyle w:val="Compact"/>
              <w:jc w:val="left"/>
            </w:pPr>
            <w:r>
              <w:t xml:space="preserve">K2_DOMAIN_CALIBRATED</w:t>
            </w:r>
          </w:p>
        </w:tc>
        <w:tc>
          <w:tcPr>
            <w:vAlign w:val="top"/>
          </w:tcPr>
          <w:p>
            <w:pPr>
              <w:pStyle w:val="Compact"/>
              <w:jc w:val="left"/>
            </w:pPr>
            <w:r>
              <w:t xml:space="preserve">Domain-specific kernel has documented sources and partial validation.</w:t>
            </w:r>
          </w:p>
        </w:tc>
      </w:tr>
      <w:tr>
        <w:tc>
          <w:tcPr>
            <w:shd w:val="clear" w:color="auto" w:fill="F7FBFE"/>
            <w:vAlign w:val="top"/>
          </w:tcPr>
          <w:p>
            <w:pPr>
              <w:pStyle w:val="Compact"/>
              <w:jc w:val="left"/>
            </w:pPr>
            <w:r>
              <w:t xml:space="preserve">K3_BACKTESTED</w:t>
            </w:r>
          </w:p>
        </w:tc>
        <w:tc>
          <w:tcPr>
            <w:shd w:val="clear" w:color="auto" w:fill="F7FBFE"/>
            <w:vAlign w:val="top"/>
          </w:tcPr>
          <w:p>
            <w:pPr>
              <w:pStyle w:val="Compact"/>
              <w:jc w:val="left"/>
            </w:pPr>
            <w:r>
              <w:t xml:space="preserve">Kernel has backtest evidence, prediction-error documentation, and known failure boundaries.</w:t>
            </w:r>
          </w:p>
        </w:tc>
      </w:tr>
      <w:tr>
        <w:tc>
          <w:tcPr>
            <w:vAlign w:val="top"/>
          </w:tcPr>
          <w:p>
            <w:pPr>
              <w:pStyle w:val="Compact"/>
              <w:jc w:val="left"/>
            </w:pPr>
            <w:r>
              <w:t xml:space="preserve">K4_REGISTERED</w:t>
            </w:r>
          </w:p>
        </w:tc>
        <w:tc>
          <w:tcPr>
            <w:vAlign w:val="top"/>
          </w:tcPr>
          <w:p>
            <w:pPr>
              <w:pStyle w:val="Compact"/>
              <w:jc w:val="left"/>
            </w:pPr>
            <w:r>
              <w:t xml:space="preserve">Kernel is published, hash-pinned, independently reviewed, and tied to replayable test vectors.</w:t>
            </w:r>
          </w:p>
        </w:tc>
      </w:tr>
    </w:tbl>
    <w:p>
      <w:pPr>
        <w:pStyle w:val="BodyText"/>
      </w:pPr>
      <w:r>
        <w:t xml:space="preserve">PCC.Kernel_Use_Posture, PCC.Kernel_Validation_Evidence, PCC.Kernel_Backtest_Status, and PCC.Kernel_Error_Bounds SHALL be disclosed for any run using numerical propagation. K0_NONE is conformant when disclosed; it means the run is ripple-aware through scope mapping, gates, and auditability, but does not claim validated numerical propagation.</w:t>
      </w:r>
    </w:p>
    <w:bookmarkEnd w:id="572"/>
    <w:bookmarkStart w:id="573" w:name="v4-hdw-capture-audit-record"/>
    <w:p>
      <w:pPr>
        <w:pStyle w:val="Heading2"/>
      </w:pPr>
      <w:r>
        <w:rPr>
          <w:bCs/>
          <w:b/>
        </w:rPr>
        <w:t xml:space="preserve">V.4 HDW Capture Audit Record</w:t>
      </w:r>
    </w:p>
    <w:p>
      <w:pPr>
        <w:pStyle w:val="FirstParagraph"/>
      </w:pPr>
      <w:r>
        <w:t xml:space="preserve">For Tier 3 public or institutional decisions, HDW weight-setting SHALL include a capture-risk assessment. Required fields: PCC.HDW_Weight_Source, PCC.HDW_Stakeholder_Map, PCC.HDW_Participation_Quality, PCC.HDW_Expert_Role_Provenance, PCC.HDW_Conflict_Disclosures, PCC.HDW_Challenger_Window, PCC.HDW_Independent_Review_Status, and PCC.HDW_Captured_Context_Limitation. Transparent capture is still capture; disclosure does not repair captured authority.</w:t>
      </w:r>
    </w:p>
    <w:bookmarkEnd w:id="573"/>
    <w:bookmarkStart w:id="574" w:name="v5-plss-escalation-trigger-register"/>
    <w:p>
      <w:pPr>
        <w:pStyle w:val="Heading2"/>
      </w:pPr>
      <w:r>
        <w:rPr>
          <w:bCs/>
          <w:b/>
        </w:rPr>
        <w:t xml:space="preserve">V.5 PLSS Escalation Trigger Register</w:t>
      </w:r>
    </w:p>
    <w:p>
      <w:pPr>
        <w:pStyle w:val="FirstParagraph"/>
      </w:pPr>
      <w:r>
        <w:t xml:space="preserve">PLSS runs SHALL record whether hidden externalities, rights exposure, precedent effects, lock-in, ecological spillover, governance spillover, repeated local use, or non-local stakeholder exposure are plausible. Required fields: PCC.PLSS_Profile_Used, PCC.Local_Stakeholder_Set, PCC.Guardrail_Scopes, PCC.Escalation_Trigger_Checklist, PCC.Non_Escalation_Rationale, PCC.Externality_Search_Method, PCC.Prominence_Sensitivity_Result, PCC.External_Challenger_Status, and PCC.Repeated_PLSS_Use_Flag. Tier 2 PLSS runs require prominence-sensitivity review when non-local effects are plausible; Tier 3 PLSS runs require external challenger review or documented waiver.</w:t>
      </w:r>
    </w:p>
    <w:bookmarkEnd w:id="574"/>
    <w:bookmarkStart w:id="575" w:name="v6-deployment-context-profile"/>
    <w:p>
      <w:pPr>
        <w:pStyle w:val="Heading2"/>
      </w:pPr>
      <w:r>
        <w:rPr>
          <w:bCs/>
          <w:b/>
        </w:rPr>
        <w:t xml:space="preserve">V.6 Deployment Context Profile</w:t>
      </w:r>
    </w:p>
    <w:p>
      <w:pPr>
        <w:pStyle w:val="FirstParagraph"/>
      </w:pPr>
      <w:r>
        <w:t xml:space="preserve">Every Tier 2-3 claim-bearing deployment SHOULD classify its deployment context as LAB, PILOT, INSTITUTIONAL_ADVISORY, INSTITUTIONAL_OPERATIONAL, PUBLIC_POLICY, AGENTIC_EXECUTION, or EMERGENCY_TRIAGE. Context determines evidence sufficiency, reviewer independence, audit visibility, and escalation thresholds.</w:t>
      </w:r>
    </w:p>
    <w:bookmarkEnd w:id="575"/>
    <w:bookmarkStart w:id="576" w:name="v7-non-overclaiming-rule"/>
    <w:p>
      <w:pPr>
        <w:pStyle w:val="Heading2"/>
      </w:pPr>
      <w:r>
        <w:rPr>
          <w:bCs/>
          <w:b/>
        </w:rPr>
        <w:t xml:space="preserve">V.7 Non-Overclaiming Rule</w:t>
      </w:r>
    </w:p>
    <w:p>
      <w:pPr>
        <w:pStyle w:val="FirstParagraph"/>
      </w:pPr>
      <w:r>
        <w:t xml:space="preserve">A run MAY be architecturally valid while measurement-maturity is provisional. It MUST NOT claim empirical validation, cross-domain calibrated UCI, validated kernel propagation, biological SGP measurement completeness, capture-resistant HDW, or safe PLSS localism unless the relevant maturity fields support that claim.</w:t>
      </w:r>
    </w:p>
    <w:bookmarkEnd w:id="576"/>
    <w:bookmarkStart w:id="577" w:name="Xa35cbc66cf4841cdc35b21baa54144f1bf80c39"/>
    <w:p>
      <w:pPr>
        <w:pStyle w:val="Heading2"/>
      </w:pPr>
      <w:r>
        <w:rPr>
          <w:bCs/>
          <w:b/>
        </w:rPr>
        <w:t xml:space="preserve">V.8 Machine-Verifiability and Calibration-Prep Addendum</w:t>
      </w:r>
    </w:p>
    <w:p>
      <w:pPr>
        <w:pStyle w:val="FirstParagraph"/>
      </w:pPr>
      <w:r>
        <w:t xml:space="preserve">Cumulative Release Delta (v10.2 → v10.4; lineage context). This cumulative lineage block summarizes changes accumulated across the v10.2-to-v10.4 development arc. It is not the immediate point-release characterization of v10.4, which is defined in Appendix M.4A and the Methodology Upgrade Summary as a readability, front-matter reorganization, and companion synchronization release. The cumulative arc preserves the canonical admissibility cascade, equations, rights thresholds, TRC mechanics, Containment semantics, SGP binding interface, PLSS/FLGG architecture, and Tier 1-3 claim boundaries, while adding schema ownership rules, registry versioning rules, machine-readable registry expectations, UCI Measurement Annex linkage, PLSS calibration linkage, Appendix R machine-vector requirements, reference-calculator expectations, and CI drift-check requirements.</w:t>
      </w:r>
    </w:p>
    <w:p>
      <w:pPr>
        <w:pStyle w:val="BodyText"/>
      </w:pPr>
      <w:r>
        <w:t xml:space="preserve">Normative effect statement (carried forward from v10.8). No intended change was made to the canonical admissibility cascade Reality Grounding → Rights Floor → TRC → CSV → RLS, rights coverage sets, TRC corridor mechanics, Containment semantics, RLS formula, PLSS/FLGG architecture, HDW, PCC, RSP/RefStructRecord, or Appendix AD. The v10.8 line updated the SGP companion pin to SGP v5.6 and clarified the human plateau / reality-management rationale without allowing any SGP protection surface to weaken human protections, alter admissibility gates, or grant governance authority by itself. The current v12.6 / SGP v8.5 line replaces the legacy scalar interface with MPS/FPP/GPR/SPR/ICP and adds the informative RMCP/P100 calibration surface while preserving protection, participation, capacity, and authority boundaries.</w:t>
      </w:r>
    </w:p>
    <w:p>
      <w:pPr>
        <w:pStyle w:val="BodyText"/>
      </w:pPr>
      <w:r>
        <w:t xml:space="preserve">RippleLogic Canon v12.6 is the governing normative artifact for the Core Release 2026.09 package. It is architecture-complete for the declared Tier 1-3 scope. This release is not an empirical-validation claim, not ProofPack-ready, not machine-verifiable-ecosystem-complete, not legally certified, and not deployment-certified.</w:t>
      </w:r>
    </w:p>
    <w:bookmarkEnd w:id="577"/>
    <w:bookmarkStart w:id="578" w:name="X0fd6a76eaa1547b882a600ce080a2e0df5c1908"/>
    <w:p>
      <w:pPr>
        <w:pStyle w:val="Heading2"/>
      </w:pPr>
      <w:r>
        <w:rPr>
          <w:bCs/>
          <w:b/>
        </w:rPr>
        <w:t xml:space="preserve">V.9 Schema Ownership and Machine-Readable Source of Truth</w:t>
      </w:r>
    </w:p>
    <w:p>
      <w:pPr>
        <w:pStyle w:val="FirstParagraph"/>
      </w:pPr>
      <w:r>
        <w:t xml:space="preserve">For v11.0 and later machine-verifiable surfaces, each schema, registry, record, enum, and validation object SHALL have exactly one owning artifact. The owner artifact defines the object’s fields, allowed values, semantics, and versioning rules. Consumer artifacts MAY reference the object by id, version, and manifest hash, but MUST NOT independently redefine it.</w:t>
      </w:r>
    </w:p>
    <w:p>
      <w:pPr>
        <w:pStyle w:val="BodyText"/>
      </w:pPr>
      <w:r>
        <w:t xml:space="preserve">On conflict, the owner artifact controls. Consumer artifacts SHALL cite, import, or reference the owner’s machine-readable registry or schema instead of duplicating field definitions.</w:t>
      </w:r>
    </w:p>
    <w:p>
      <w:pPr>
        <w:pStyle w:val="BodyText"/>
      </w:pPr>
      <w:r>
        <w:t xml:space="preserve">The schema ownership map is the controlling coordination layer for current-line machine-verifiable work. It does not alter the Cascade, NCRC, TRC, CSV, RLS, UCI/HOI, SGP binding interface, or lawful authority boundaries.</w:t>
      </w:r>
    </w:p>
    <w:bookmarkEnd w:id="578"/>
    <w:bookmarkStart w:id="579" w:name="v10-uci-measurement-annex-linkage"/>
    <w:p>
      <w:pPr>
        <w:pStyle w:val="Heading2"/>
      </w:pPr>
      <w:r>
        <w:rPr>
          <w:bCs/>
          <w:b/>
        </w:rPr>
        <w:t xml:space="preserve">V.10 UCI Measurement Annex Linkage</w:t>
      </w:r>
    </w:p>
    <w:p>
      <w:pPr>
        <w:pStyle w:val="FirstParagraph"/>
      </w:pPr>
      <w:r>
        <w:t xml:space="preserve">Where a UCI Measurement Annex is available and hash-pinned, implementations SHOULD cite the annex version, indicator registry, normalization rule, staleness rule, missing-data rule, and reviewer protocol used. In the absence of such an annex, UCI claims SHALL remain at the declared measurement-readiness level and MUST NOT be described as cross-domain validated.</w:t>
      </w:r>
    </w:p>
    <w:p>
      <w:pPr>
        <w:pStyle w:val="BodyText"/>
      </w:pPr>
      <w:r>
        <w:t xml:space="preserve">For this v12.6 release line, UCI Measurement Annex v0.1 is provisional and initially scoped to U3 Community, U4 Organization, and U5 Polity contexts. It does not establish cross-domain validated UCI status.</w:t>
      </w:r>
    </w:p>
    <w:bookmarkEnd w:id="579"/>
    <w:bookmarkStart w:id="580" w:name="X9e2aed162401a0a8d9e2909d4e4c2bc72122919"/>
    <w:p>
      <w:pPr>
        <w:pStyle w:val="Heading2"/>
      </w:pPr>
      <w:r>
        <w:rPr>
          <w:bCs/>
          <w:b/>
        </w:rPr>
        <w:t xml:space="preserve">V.11 PLSS Calibration and Adjudication Linkage</w:t>
      </w:r>
    </w:p>
    <w:p>
      <w:pPr>
        <w:pStyle w:val="FirstParagraph"/>
      </w:pPr>
      <w:r>
        <w:t xml:space="preserve">Tier 3 PLSS use SHOULD compare the declared q_u profile against a hash-pinned PLSS calibration or adjudication pack where available. Reviewer disagreement, escalation-trigger disputes, accepted or rejected local-scope rationales, externality-search results, and non-escalation rationales SHALL be recorded in the PCC.</w:t>
      </w:r>
    </w:p>
    <w:p>
      <w:pPr>
        <w:pStyle w:val="BodyText"/>
      </w:pPr>
      <w:r>
        <w:t xml:space="preserve">The calibration pack does not create empirical validation by itself. It supports reviewer convergence, interpretive consistency, and anti-capture discipline.</w:t>
      </w:r>
    </w:p>
    <w:bookmarkEnd w:id="580"/>
    <w:bookmarkStart w:id="581" w:name="v12-machine-readable-test-vector-rule"/>
    <w:p>
      <w:pPr>
        <w:pStyle w:val="Heading2"/>
      </w:pPr>
      <w:r>
        <w:rPr>
          <w:bCs/>
          <w:b/>
        </w:rPr>
        <w:t xml:space="preserve">V.12 Machine-Readable Test Vector Rule</w:t>
      </w:r>
    </w:p>
    <w:p>
      <w:pPr>
        <w:pStyle w:val="FirstParagraph"/>
      </w:pPr>
      <w:r>
        <w:t xml:space="preserve">For any release that claims machine-verifiable, ProofPack-prep, reference-calculator, or validator-supported status, Appendix R SHALL be accompanied by a machine-readable companion file. The current v12.6 core source release does not bundle such files unless they are explicitly listed and hash-pinned in the release manifest. In the absence of manifest-listed machine-readable vectors, Appendix R remains the human-readable normative reference surface, and no machine-verifiable ecosystem-completeness claim is made. When bundled, the companion SHOULD include input options, union and dimension weights, rights impacts, TRC scenario inputs, Containment inputs, RLS expected outputs, UCI/HOI diagnostic inputs where applicable, expected gate verdicts, expected selected or refusal disposition, tolerance rules, and expected error behavior for failure-path examples.</w:t>
      </w:r>
    </w:p>
    <w:p>
      <w:pPr>
        <w:pStyle w:val="BodyText"/>
      </w:pPr>
      <w:r>
        <w:t xml:space="preserve">A human-readable Appendix R remains normative for explanatory purposes in the current v12.6 core release. Where a machine-readable companion is explicitly manifest-listed for a future release or tooling bundle, that companion becomes the required reference surface for validators and reference calculators within the claim scope declared by that release.</w:t>
      </w:r>
    </w:p>
    <w:bookmarkEnd w:id="581"/>
    <w:bookmarkStart w:id="582" w:name="X5f582094c656f1eb7767fe1f12eda250d570f20"/>
    <w:p>
      <w:pPr>
        <w:pStyle w:val="Heading2"/>
      </w:pPr>
      <w:r>
        <w:rPr>
          <w:bCs/>
          <w:b/>
        </w:rPr>
        <w:t xml:space="preserve">V.13 False Precision Guardrail (Normative for Tier 2-3 claim-bearing runs)</w:t>
      </w:r>
    </w:p>
    <w:p>
      <w:pPr>
        <w:pStyle w:val="FirstParagraph"/>
      </w:pPr>
      <w:r>
        <w:t xml:space="preserve">A numerical cell value is not evidence by itself. Every high-impact, high-uncertainty, gate-sensitive, or culturally contested cell SHOULD disclose its evidence source, uncertainty class, reviewer confidence, and sensitivity relevance. Unsupported numerical precision in welfare impacts, probabilities, UCI indicators, SGP-consumed scalars, or PLSS scope declarations SHALL be treated as an epistemic risk rather than as objective certainty.</w:t>
      </w:r>
    </w:p>
    <w:p>
      <w:pPr>
        <w:pStyle w:val="BodyText"/>
      </w:pPr>
      <w:r>
        <w:t xml:space="preserve">Where a cell value is weakly evidenced, likely to swing an NCRC/TRC/CSV verdict, likely to alter escalation or refusal status, or dependent on disputed subgroup or threshold definitions, the run SHOULD trigger epistemic-humility review, sensitivity analysis, reviewer-disagreement logging, escalation, narrower claim scope, or Refusal. Implementations SHOULD flag Boundary_Gaming_Risk, False_Precision_Risk, Gate_Swing_Cell_Flag, Subgroup_Definition_Risk, Scenario_Probability_Risk, Threshold_Laundering_Risk, and Reviewer_Disagreement_Level where applicable.</w:t>
      </w:r>
    </w:p>
    <w:p>
      <w:pPr>
        <w:pStyle w:val="BodyText"/>
      </w:pPr>
      <w:r>
        <w:t xml:space="preserve">Meaning, agency, social cohesion, dignity, and ecological integrity cells require particular caution. These dimensions may be measurable in some contexts, but unsupported precision in these cells SHALL NOT be presented as stronger than the underlying evidence, testimony, instruments, or qualitative-to-quantitative coding rules allow.</w:t>
      </w:r>
    </w:p>
    <w:bookmarkEnd w:id="582"/>
    <w:bookmarkEnd w:id="583"/>
    <w:bookmarkStart w:id="594" w:name="Xbdd33f303cee7dd1386fcdf19b9eb35ba8dae01"/>
    <w:p>
      <w:pPr>
        <w:pStyle w:val="Heading1"/>
      </w:pPr>
      <w:bookmarkStart w:id="808" w:name="mg_toc_044"/>
      <w:r>
        <w:rPr>
          <w:bCs/>
          <w:b/>
        </w:rPr>
        <w:t xml:space="preserve">APPENDIX W: SCHEMA OWNERSHIP, REGISTRIES, AND MACHINE-VERIFIABLE SURFACES</w:t>
      </w:r>
      <w:bookmarkEnd w:id="808"/>
    </w:p>
    <w:bookmarkStart w:id="584" w:name="w1-purpose"/>
    <w:p>
      <w:pPr>
        <w:pStyle w:val="Heading2"/>
      </w:pPr>
      <w:r>
        <w:rPr>
          <w:bCs/>
          <w:b/>
        </w:rPr>
        <w:t xml:space="preserve">W.1 Purpose</w:t>
      </w:r>
    </w:p>
    <w:p>
      <w:pPr>
        <w:pStyle w:val="FirstParagraph"/>
      </w:pPr>
      <w:r>
        <w:t xml:space="preserve">This appendix defines ownership boundaries for machine-readable schemas, registries, generated tables, and validator surfaces. It prevents duplicate schema authorship, manual synchronization drift, and hidden field-definition conflicts across Canon, SGP, ripple.md, Agent System, workbook, and release-integrity files.</w:t>
      </w:r>
    </w:p>
    <w:bookmarkEnd w:id="584"/>
    <w:bookmarkStart w:id="585" w:name="w2-ownership-rule"/>
    <w:p>
      <w:pPr>
        <w:pStyle w:val="Heading2"/>
      </w:pPr>
      <w:r>
        <w:rPr>
          <w:bCs/>
          <w:b/>
        </w:rPr>
        <w:t xml:space="preserve">W.2 Ownership Rule</w:t>
      </w:r>
    </w:p>
    <w:p>
      <w:pPr>
        <w:pStyle w:val="FirstParagraph"/>
      </w:pPr>
      <w:r>
        <w:t xml:space="preserve">Each schema or registry has exactly one owner. The owner defines the object. All other artifacts consume the object by id, version, and manifest hash.</w:t>
      </w:r>
    </w:p>
    <w:bookmarkEnd w:id="585"/>
    <w:bookmarkStart w:id="586" w:name="w3-canon-owned-objects"/>
    <w:p>
      <w:pPr>
        <w:pStyle w:val="Heading2"/>
      </w:pPr>
      <w:r>
        <w:rPr>
          <w:bCs/>
          <w:b/>
        </w:rPr>
        <w:t xml:space="preserve">W.3 Canon-Owned Objects</w:t>
      </w:r>
    </w:p>
    <w:p>
      <w:pPr>
        <w:pStyle w:val="FirstParagraph"/>
      </w:pPr>
      <w:r>
        <w:t xml:space="preserve">The Canon owns PCC core record, OutcomeObservationRecord, ActionQualificationRecord, RippleLogic PrimitiveTraceRecord, FalsificationPlan, ObservableConsequenceRegister, ProjectionPreRegistration, MaturityProfileRecord, Appendix R test vectors, rights registry, catastrophe-cell registry, reason-code registry, uncertainty-method registry, PLSS operator registry, deployment-context enum registry, and Canon audit flags.</w:t>
      </w:r>
    </w:p>
    <w:bookmarkEnd w:id="586"/>
    <w:bookmarkStart w:id="587" w:name="w4-sgp-owned-objects"/>
    <w:p>
      <w:pPr>
        <w:pStyle w:val="Heading2"/>
      </w:pPr>
      <w:r>
        <w:rPr>
          <w:bCs/>
          <w:b/>
        </w:rPr>
        <w:t xml:space="preserve">W.4 SGP-Owned Objects</w:t>
      </w:r>
    </w:p>
    <w:p>
      <w:pPr>
        <w:pStyle w:val="FirstParagraph"/>
      </w:pPr>
      <w:r>
        <w:t xml:space="preserve">SGP owns the SGP evaluation record, MPS evidence-family fields, MPS band/interval and MPS-NE status, FPP/GPR/SPR/ICP typed fields, target and identity records, evidence-tier classifications, biological evaluation maturity tokens, and moral-patienthood evidence trace.</w:t>
      </w:r>
    </w:p>
    <w:bookmarkEnd w:id="587"/>
    <w:bookmarkStart w:id="588" w:name="w5-ripplemd-owned-objects"/>
    <w:p>
      <w:pPr>
        <w:pStyle w:val="Heading2"/>
      </w:pPr>
      <w:r>
        <w:rPr>
          <w:bCs/>
          <w:b/>
        </w:rPr>
        <w:t xml:space="preserve">W.5 ripple.md-Owned Objects</w:t>
      </w:r>
    </w:p>
    <w:p>
      <w:pPr>
        <w:pStyle w:val="FirstParagraph"/>
      </w:pPr>
      <w:r>
        <w:t xml:space="preserve">ripple.md owns Decision Note schema, Assurance Preconditions Record, waiver records, triage records, update-legitimacy records, wrapper-level refusal records, and wrapper assurance records.</w:t>
      </w:r>
    </w:p>
    <w:bookmarkEnd w:id="588"/>
    <w:bookmarkStart w:id="589" w:name="w6-agent-system-owned-objects"/>
    <w:p>
      <w:pPr>
        <w:pStyle w:val="Heading2"/>
      </w:pPr>
      <w:r>
        <w:rPr>
          <w:bCs/>
          <w:b/>
        </w:rPr>
        <w:t xml:space="preserve">W.6 Agent-System-Owned Objects</w:t>
      </w:r>
    </w:p>
    <w:p>
      <w:pPr>
        <w:pStyle w:val="FirstParagraph"/>
      </w:pPr>
      <w:r>
        <w:t xml:space="preserve">The Agent System owns operator envelope, runtime audit log, mode-control records, rollback records, operator authentication records, and runtime conformance records.</w:t>
      </w:r>
    </w:p>
    <w:bookmarkEnd w:id="589"/>
    <w:bookmarkStart w:id="590" w:name="w7-split-objects"/>
    <w:p>
      <w:pPr>
        <w:pStyle w:val="Heading2"/>
      </w:pPr>
      <w:r>
        <w:rPr>
          <w:bCs/>
          <w:b/>
        </w:rPr>
        <w:t xml:space="preserve">W.7 Split Objects</w:t>
      </w:r>
    </w:p>
    <w:p>
      <w:pPr>
        <w:pStyle w:val="FirstParagraph"/>
      </w:pPr>
      <w:r>
        <w:t xml:space="preserve">Primitive trace is split: RippleLogic PrimitiveTraceRecord belongs to the Canon; SGP moral-status evidence trace belongs to SGP. Maturity tokens are split: UCI Measurement Readiness, Kernel Use Posture, HDW Capture Audit, PLSS Escalation, and Deployment Context tokens belong to the Canon; Biological Evaluation Maturity tokens belong to SGP. Audit flags are split: Canon flags affect admissibility, claimability, escalation, refusal, or conformance; tool-local flags affect workbook or implementation review surfaces only and do not by themselves invalidate a run unless they trigger a Canon flag.</w:t>
      </w:r>
    </w:p>
    <w:bookmarkEnd w:id="590"/>
    <w:bookmarkStart w:id="591" w:name="w8-versioning-rule"/>
    <w:p>
      <w:pPr>
        <w:pStyle w:val="Heading2"/>
      </w:pPr>
      <w:r>
        <w:rPr>
          <w:bCs/>
          <w:b/>
        </w:rPr>
        <w:t xml:space="preserve">W.8 Versioning Rule</w:t>
      </w:r>
    </w:p>
    <w:p>
      <w:pPr>
        <w:pStyle w:val="FirstParagraph"/>
      </w:pPr>
      <w:r>
        <w:t xml:space="preserve">Machine-readable registries and schemas SHOULD use stable filenames with an internal version field. The release manifest SHALL hash-pin each registry and schema. The manifest hash, not filename churn, controls byte-level release identity.</w:t>
      </w:r>
    </w:p>
    <w:bookmarkEnd w:id="591"/>
    <w:bookmarkStart w:id="592" w:name="w9-generator-rule"/>
    <w:p>
      <w:pPr>
        <w:pStyle w:val="Heading2"/>
      </w:pPr>
      <w:r>
        <w:rPr>
          <w:bCs/>
          <w:b/>
        </w:rPr>
        <w:t xml:space="preserve">W.9 Generator Rule</w:t>
      </w:r>
    </w:p>
    <w:p>
      <w:pPr>
        <w:pStyle w:val="FirstParagraph"/>
      </w:pPr>
      <w:r>
        <w:t xml:space="preserve">Generated documentation tables, workbook validation ranges, verifier constants, README companion matrices, and manifest scaffolds SHOULD be generated from machine-readable registries whenever possible. Generated files SHOULD include a generated-from note and SHOULD NOT be manually edited except through the owning registry or schema.</w:t>
      </w:r>
    </w:p>
    <w:bookmarkEnd w:id="592"/>
    <w:bookmarkStart w:id="593" w:name="w10-proofpack-boundary"/>
    <w:p>
      <w:pPr>
        <w:pStyle w:val="Heading2"/>
      </w:pPr>
      <w:r>
        <w:rPr>
          <w:bCs/>
          <w:b/>
        </w:rPr>
        <w:t xml:space="preserve">W.10 ProofPack Boundary</w:t>
      </w:r>
    </w:p>
    <w:p>
      <w:pPr>
        <w:pStyle w:val="FirstParagraph"/>
      </w:pPr>
      <w:r>
        <w:t xml:space="preserve">The existence of schemas or registries does not by itself create ProofPack readiness. ProofPack readiness requires schemas, validator or CLI, reference calculator, canonical test vectors, replayable PCC bundle, independent replay instructions, hash-pinned replay materials, and public third-party replay path.</w:t>
      </w:r>
    </w:p>
    <w:bookmarkEnd w:id="593"/>
    <w:bookmarkEnd w:id="594"/>
    <w:bookmarkStart w:id="601" w:name="X21bd4cf0f09b1d34c556fc2385cd9a19304c165"/>
    <w:p>
      <w:pPr>
        <w:pStyle w:val="Heading1"/>
      </w:pPr>
      <w:bookmarkStart w:id="809" w:name="mg_toc_045"/>
      <w:r>
        <w:rPr>
          <w:bCs/>
          <w:b/>
        </w:rPr>
        <w:t xml:space="preserve">APPENDIX X: REFERENCE CALCULATOR, MACHINE VECTORS, AND PROOFPACK-PREP ROADMAP</w:t>
      </w:r>
      <w:bookmarkEnd w:id="809"/>
    </w:p>
    <w:bookmarkStart w:id="595" w:name="x1-purpose"/>
    <w:p>
      <w:pPr>
        <w:pStyle w:val="Heading2"/>
      </w:pPr>
      <w:r>
        <w:rPr>
          <w:bCs/>
          <w:b/>
        </w:rPr>
        <w:t xml:space="preserve">X.1 Purpose</w:t>
      </w:r>
    </w:p>
    <w:p>
      <w:pPr>
        <w:pStyle w:val="FirstParagraph"/>
      </w:pPr>
      <w:r>
        <w:t xml:space="preserve">This appendix records the current-release ProofPack-prep path for machine-readable Appendix R test vectors, starter reference-calculator behavior, golden outputs, validator linkage, and independent replay readiness. It does not create ProofPack readiness by itself.</w:t>
      </w:r>
    </w:p>
    <w:bookmarkEnd w:id="595"/>
    <w:bookmarkStart w:id="596" w:name="x2-machine-readable-appendix-r-vectors"/>
    <w:p>
      <w:pPr>
        <w:pStyle w:val="Heading2"/>
      </w:pPr>
      <w:r>
        <w:rPr>
          <w:bCs/>
          <w:b/>
        </w:rPr>
        <w:t xml:space="preserve">X.2 Machine-readable Appendix R vectors</w:t>
      </w:r>
    </w:p>
    <w:p>
      <w:pPr>
        <w:pStyle w:val="FirstParagraph"/>
      </w:pPr>
      <w:r>
        <w:t xml:space="preserve">Future ProofPack-prep and tooling companion releases SHOULD include machine-readable Appendix R vectors. The current v12.6 core release bundles the safety conformance vectors listed in the release manifest; any additional machine-readable Appendix R vectors remain governed by the manifest. When bundled, vectors SHOULD include inputs, union and dimension weights, rights impacts, TRC scenario inputs, Containment inputs, RLS expected outputs, UCI/HOI diagnostic inputs where applicable, expected gate verdicts, selected or refusal disposition, tolerance rules, and expected error behavior for failure-path examples.</w:t>
      </w:r>
    </w:p>
    <w:bookmarkEnd w:id="596"/>
    <w:bookmarkStart w:id="597" w:name="x3-reference-calculator-starter"/>
    <w:p>
      <w:pPr>
        <w:pStyle w:val="Heading2"/>
      </w:pPr>
      <w:r>
        <w:rPr>
          <w:bCs/>
          <w:b/>
        </w:rPr>
        <w:t xml:space="preserve">X.3 Reference Calculator Starter</w:t>
      </w:r>
    </w:p>
    <w:p>
      <w:pPr>
        <w:pStyle w:val="FirstParagraph"/>
      </w:pPr>
      <w:r>
        <w:t xml:space="preserve">The reference calculator starter is a scaffolding artifact for reproducing Appendix R expected outputs. It is not a full semantic validator, not a production-grade implementation, and not empirical validation. It becomes claim-strengthening only when it reproduces golden outputs under declared tolerance rules and is independently replayable.</w:t>
      </w:r>
    </w:p>
    <w:bookmarkEnd w:id="597"/>
    <w:bookmarkStart w:id="598" w:name="Xa64b8f20626f4d820d323034853fe87b3bbf4a3"/>
    <w:p>
      <w:pPr>
        <w:pStyle w:val="Heading2"/>
      </w:pPr>
      <w:r>
        <w:rPr>
          <w:bCs/>
          <w:b/>
        </w:rPr>
        <w:t xml:space="preserve">X.3A Reference Calculator Priority (ProofPack-prep guidance)</w:t>
      </w:r>
    </w:p>
    <w:p>
      <w:pPr>
        <w:pStyle w:val="FirstParagraph"/>
      </w:pPr>
      <w:r>
        <w:t xml:space="preserve">The next implementation priority is an open reference calculator that reproduces the Canon Appendix B equations and Appendix R test vectors. Reference implementations SHOULD match golden gate verdicts exactly and numerical outputs within declared tolerance rules unless exact arithmetic is used.</w:t>
      </w:r>
    </w:p>
    <w:p>
      <w:pPr>
        <w:pStyle w:val="BodyText"/>
      </w:pPr>
      <w:r>
        <w:t xml:space="preserve">The reference calculator SHALL NOT be described as empirical validation, a full semantic validator, or ProofPack completion until it is paired with schemas, replayable PCC artifacts, independent replay instructions, manifest/hash pinning, and public third-party replay. Its immediate purpose is narrower and concrete: to make Tier 1-3 calculation reproducible enough for reviewers to detect formula drift, implementation disagreement, and invalid claim expansion.</w:t>
      </w:r>
    </w:p>
    <w:bookmarkEnd w:id="598"/>
    <w:bookmarkStart w:id="599" w:name="x4-ci-and-generated-consistency-checks"/>
    <w:p>
      <w:pPr>
        <w:pStyle w:val="Heading2"/>
      </w:pPr>
      <w:r>
        <w:rPr>
          <w:bCs/>
          <w:b/>
        </w:rPr>
        <w:t xml:space="preserve">X.4 CI and generated-consistency checks</w:t>
      </w:r>
    </w:p>
    <w:p>
      <w:pPr>
        <w:pStyle w:val="FirstParagraph"/>
      </w:pPr>
      <w:r>
        <w:t xml:space="preserve">CI checks SHOULD verify manifest hashes, registry/schema ownership, stale pins, generated-file drift, workbook public surfaces, and external-reference sanitation. These checks improve release hygiene but do not establish empirical validation or Tier 4 readiness.</w:t>
      </w:r>
    </w:p>
    <w:bookmarkEnd w:id="599"/>
    <w:bookmarkStart w:id="600" w:name="x5-proofpack-boundary"/>
    <w:p>
      <w:pPr>
        <w:pStyle w:val="Heading2"/>
      </w:pPr>
      <w:r>
        <w:rPr>
          <w:bCs/>
          <w:b/>
        </w:rPr>
        <w:t xml:space="preserve">X.5 ProofPack boundary</w:t>
      </w:r>
    </w:p>
    <w:p>
      <w:pPr>
        <w:pStyle w:val="FirstParagraph"/>
      </w:pPr>
      <w:r>
        <w:t xml:space="preserve">ProofPack readiness requires schemas, validator or CLI, reference calculator, canonical test vectors, replayable PCC bundle, independent replay instructions, hash-pinned replay materials, and a public third-party replay path. The current v12.6 release is ProofPack-prep, not ProofPack-ready.</w:t>
      </w:r>
    </w:p>
    <w:bookmarkEnd w:id="600"/>
    <w:bookmarkEnd w:id="601"/>
    <w:bookmarkStart w:id="608" w:name="Xcee47fe3728cc5fc258ba812ba6bf9593ab5247"/>
    <w:p>
      <w:pPr>
        <w:pStyle w:val="Heading1"/>
      </w:pPr>
      <w:bookmarkStart w:id="810" w:name="mg_toc_046"/>
      <w:r>
        <w:rPr>
          <w:bCs/>
          <w:b/>
        </w:rPr>
        <w:t xml:space="preserve">Appendix Y: Precision Patch - Legitimacy, Evidence Status, Validation, and Adoption Profiles</w:t>
      </w:r>
      <w:bookmarkEnd w:id="810"/>
    </w:p>
    <w:bookmarkStart w:id="602" w:name="y1-release-delta-v1031--v104"/>
    <w:p>
      <w:pPr>
        <w:pStyle w:val="Heading2"/>
      </w:pPr>
      <w:r>
        <w:rPr>
          <w:bCs/>
          <w:b/>
        </w:rPr>
        <w:t xml:space="preserve">Y.1 Release Delta (v10.3.1 → v10.4)</w:t>
      </w:r>
    </w:p>
    <w:p>
      <w:pPr>
        <w:pStyle w:val="FirstParagraph"/>
      </w:pPr>
      <w:r>
        <w:t xml:space="preserve">This patch preserves the v10.3.1 cascade architecture, equations, rights thresholds, TRC mechanics, Containment semantics, SGP binding interface, PLSS/FLGG architecture, and Tier 1-3 claim boundaries. It adds precision safeguards for public legitimacy, evidence-status labeling, SGP patienthood/participation separation, compact institutional profiles, and the validation roadmap. No empirical-validation, ProofPack, Tier 4, machine-verifiable ecosystem-complete, or reference-calculator-complete claim is created by this patch.</w:t>
      </w:r>
    </w:p>
    <w:bookmarkEnd w:id="602"/>
    <w:bookmarkStart w:id="603" w:name="X0821cdbc5158aa6563d3e60bcfc6b97a549c726"/>
    <w:p>
      <w:pPr>
        <w:pStyle w:val="Heading2"/>
      </w:pPr>
      <w:r>
        <w:rPr>
          <w:bCs/>
          <w:b/>
        </w:rPr>
        <w:t xml:space="preserve">Y.2 Public Legitimacy Boundary (Normative Clarification)</w:t>
      </w:r>
    </w:p>
    <w:p>
      <w:pPr>
        <w:pStyle w:val="FirstParagraph"/>
      </w:pPr>
      <w:r>
        <w:t xml:space="preserve">RippleLogic may structure, audit, and improve public reasoning, but it does not itself confer democratic legitimacy, legal authority, public mandate, professional licensing, or institutional permission. In public governance contexts, legitimacy requires lawful authority, affected-stakeholder participation, public reason, contestability, appeal or review procedures, and external accountability outside the framework itself. A RippleLogic run may support public justification; it MUST NOT be presented as a substitute for democratic authorization, legal compliance, or domain-specific professional judgment.</w:t>
      </w:r>
    </w:p>
    <w:bookmarkEnd w:id="603"/>
    <w:bookmarkStart w:id="604" w:name="X3123351072ac4f91dd248f4322ff21f710137f5"/>
    <w:p>
      <w:pPr>
        <w:pStyle w:val="Heading2"/>
      </w:pPr>
      <w:r>
        <w:rPr>
          <w:bCs/>
          <w:b/>
        </w:rPr>
        <w:t xml:space="preserve">Y.3 Evidence Status Tokens (Normative for Tier 2-3 claim-bearing records)</w:t>
      </w:r>
    </w:p>
    <w:p>
      <w:pPr>
        <w:pStyle w:val="FirstParagraph"/>
      </w:pPr>
      <w:r>
        <w:t xml:space="preserve">For Tier 2-3 claim-bearing records, decision-critical numerical or categorical inputs SHOULD carry an evidence-status token. Where the token is unavailable, the field SHOULD default to UNVALIDATED or NOT_OBSERVED rather than silently appearing as measured fact.</w:t>
      </w:r>
    </w:p>
    <w:bookmarkEnd w:id="604"/>
    <w:bookmarkStart w:id="605" w:name="X912031f0deeec3727757dd288f6ffc401951028"/>
    <w:p>
      <w:pPr>
        <w:pStyle w:val="Heading2"/>
      </w:pPr>
      <w:r>
        <w:rPr>
          <w:bCs/>
          <w:b/>
        </w:rPr>
        <w:t xml:space="preserve">Y.4 Required Evidence-Status Token Registry</w:t>
      </w:r>
    </w:p>
    <w:p>
      <w:pPr>
        <w:pStyle w:val="FirstParagraph"/>
      </w:pPr>
      <w:r>
        <w:t xml:space="preserve">MEASURED: directly observed or measured with disclosed method and source. ESTIMATED: calculated or inferred from disclosed evidence. ASSUMED: explicit assumption adopted for the run. EXPERT_JUDGMENT: reviewer or domain expert judgment with role and basis recorded. CONTESTED: materially disputed evidence or interpretation. UNVALIDATED: plausible but not externally validated for the claimed use. NOT_OBSERVED: no direct evidence currently observed. PLACEHOLDER_FOR_SENSITIVITY_ONLY: value used only for sensitivity exploration and not as a factual claim.</w:t>
      </w:r>
    </w:p>
    <w:bookmarkEnd w:id="605"/>
    <w:bookmarkStart w:id="606" w:name="X7553debfa31289797b7165cc9aa3674ef33dd9e"/>
    <w:p>
      <w:pPr>
        <w:pStyle w:val="Heading2"/>
      </w:pPr>
      <w:r>
        <w:rPr>
          <w:bCs/>
          <w:b/>
        </w:rPr>
        <w:t xml:space="preserve">Y.5 Compact Institutional Profiles (Informative Roadmap)</w:t>
      </w:r>
    </w:p>
    <w:p>
      <w:pPr>
        <w:pStyle w:val="FirstParagraph"/>
      </w:pPr>
      <w:r>
        <w:t xml:space="preserve">Implementations MAY publish compact profiles for specific institutional contexts, provided they do not waive NCRC, TRC, CSV, Refusal, SGP boundary protections, public legitimacy requirements, or claim-boundary disclosures. Initial compact profiles SHOULD include: RippleLogic-enhanced RIA Profile, RippleLogic Procurement/Vendor-Risk Profile, RippleLogic Agent Deployment Gate Profile, and RippleLogic University AI Policy Review Profile. Each profile should state required inputs, mandatory gates, simplifications allowed, non-waivable controls, output artifact, and escalation triggers.</w:t>
      </w:r>
    </w:p>
    <w:bookmarkEnd w:id="606"/>
    <w:bookmarkStart w:id="607" w:name="Xe7f2b6d8ba51c0162421de3b4bcbd7447f667a5"/>
    <w:p>
      <w:pPr>
        <w:pStyle w:val="Heading2"/>
      </w:pPr>
      <w:r>
        <w:rPr>
          <w:bCs/>
          <w:b/>
        </w:rPr>
        <w:t xml:space="preserve">Y.6 Validation Roadmap Commitments (Informative, non-validation claim)</w:t>
      </w:r>
    </w:p>
    <w:p>
      <w:pPr>
        <w:pStyle w:val="FirstParagraph"/>
      </w:pPr>
      <w:r>
        <w:t xml:space="preserve">The next validation layer SHOULD prioritize: reference-calculator fidelity; JSON/YAML schemas for PCC, Decision Note, TRC, CSV, RLS, and SGP interface objects; canonical test vectors; replayable PCC examples; inter-rater reliability for NCRC/TRC/CSV/RLS/SGP; reconstructability audits; PLSS boundary-gaming red-team studies; HDW legitimacy pilots; UCI measurement annex pilots; SGP biological evaluation annex development; and shadow-mode pilots in regulatory impact analysis, public procurement, university AI policy, organizational ethics review, and AI agent deployment review.</w:t>
      </w:r>
    </w:p>
    <w:bookmarkEnd w:id="607"/>
    <w:bookmarkEnd w:id="608"/>
    <w:bookmarkStart w:id="614" w:name="X8b74193d9383f31855d5fbb7c898d99e19b0de8"/>
    <w:p>
      <w:pPr>
        <w:pStyle w:val="Heading1"/>
      </w:pPr>
      <w:bookmarkStart w:id="811" w:name="mg_toc_047"/>
      <w:r>
        <w:rPr>
          <w:bCs/>
          <w:b/>
        </w:rPr>
        <w:t xml:space="preserve">Appendix Z: Integration-Hardening Addendum</w:t>
      </w:r>
      <w:bookmarkEnd w:id="811"/>
    </w:p>
    <w:p>
      <w:pPr>
        <w:pStyle w:val="FirstParagraph"/>
      </w:pPr>
      <w:r>
        <w:t xml:space="preserve">Normative effect statement. This addendum does not alter the canonical cascade, rights thresholds, TRC corridor mechanics, SGP MPS/FPP binding, PLSS/FLGG architecture, or Tier 1-3 claim boundaries. It is a precision integration patch that tightens workbook linkage, evidence-status disclosure, SGP split disclosure, and release-verification discipline.</w:t>
      </w:r>
    </w:p>
    <w:bookmarkStart w:id="609" w:name="z1-workbook-integration-rule"/>
    <w:p>
      <w:pPr>
        <w:pStyle w:val="Heading2"/>
      </w:pPr>
      <w:r>
        <w:rPr>
          <w:bCs/>
          <w:b/>
        </w:rPr>
        <w:t xml:space="preserve">Z.1 Workbook integration rule</w:t>
      </w:r>
    </w:p>
    <w:p>
      <w:pPr>
        <w:pStyle w:val="FirstParagraph"/>
      </w:pPr>
      <w:r>
        <w:t xml:space="preserve">Any workbook companion that adds claim-boundary, evidence-status, SGP-split, validation-roadmap, or compact-profile sheets SHOULD include active sanity checks confirming that those sheets are present, populated, and referenced by at least one workbook validation surface. A sheet used to support a release claim MUST NOT remain merely decorative.</w:t>
      </w:r>
    </w:p>
    <w:bookmarkEnd w:id="609"/>
    <w:bookmarkStart w:id="610" w:name="z2-evidence-status-propagation-rule"/>
    <w:p>
      <w:pPr>
        <w:pStyle w:val="Heading2"/>
      </w:pPr>
      <w:r>
        <w:rPr>
          <w:bCs/>
          <w:b/>
        </w:rPr>
        <w:t xml:space="preserve">Z.2 Evidence-status propagation rule</w:t>
      </w:r>
    </w:p>
    <w:p>
      <w:pPr>
        <w:pStyle w:val="FirstParagraph"/>
      </w:pPr>
      <w:r>
        <w:t xml:space="preserve">Decision-critical inputs SHOULD disclose an Evidence Status Token. Where a decision-critical input lacks a token, the PCC SHOULD record NOT_OBSERVED, UNVALIDATED, or ASSUMED rather than silently treating the input as measured evidence.</w:t>
      </w:r>
    </w:p>
    <w:bookmarkEnd w:id="610"/>
    <w:bookmarkStart w:id="611" w:name="z3-sgp-split-computation-bridge"/>
    <w:p>
      <w:pPr>
        <w:pStyle w:val="Heading2"/>
      </w:pPr>
      <w:r>
        <w:rPr>
          <w:bCs/>
          <w:b/>
        </w:rPr>
        <w:t xml:space="preserve">Z.3 SGP split computation bridge</w:t>
      </w:r>
    </w:p>
    <w:p>
      <w:pPr>
        <w:pStyle w:val="FirstParagraph"/>
      </w:pPr>
      <w:r>
        <w:t xml:space="preserve">MPS, GPR, and SPR may be computed or recorded in workbook companions as disclosure outputs. MPS concerns protection-relevant welfare-bearing standing. GPR concerns role participation readiness. SPR concerns responsibility-bearing authority. Low GPR or SPR MUST NOT reduce MPS or weaken any NCRC, TRC, or CSV protection.</w:t>
      </w:r>
    </w:p>
    <w:bookmarkEnd w:id="611"/>
    <w:bookmarkStart w:id="612" w:name="z4-verifier-sufficiency-rule"/>
    <w:p>
      <w:pPr>
        <w:pStyle w:val="Heading2"/>
      </w:pPr>
      <w:r>
        <w:rPr>
          <w:bCs/>
          <w:b/>
        </w:rPr>
        <w:t xml:space="preserve">Z.4 Verifier sufficiency rule</w:t>
      </w:r>
    </w:p>
    <w:p>
      <w:pPr>
        <w:pStyle w:val="FirstParagraph"/>
      </w:pPr>
      <w:r>
        <w:t xml:space="preserve">A release verifier SHOULD test more than filename presence. For workbook-linked additions, it SHOULD check required sheet names, required labels, non-empty expected fields, and representative formula references. This does not make the release ProofPack-ready or machine-verifiable ecosystem complete; it only reduces packaging and integration risk.</w:t>
      </w:r>
    </w:p>
    <w:bookmarkEnd w:id="612"/>
    <w:bookmarkStart w:id="613" w:name="z5-claim-boundary"/>
    <w:p>
      <w:pPr>
        <w:pStyle w:val="Heading2"/>
      </w:pPr>
      <w:r>
        <w:rPr>
          <w:bCs/>
          <w:b/>
        </w:rPr>
        <w:t xml:space="preserve">Z.5 Claim boundary</w:t>
      </w:r>
    </w:p>
    <w:p>
      <w:pPr>
        <w:pStyle w:val="FirstParagraph"/>
      </w:pPr>
      <w:r>
        <w:t xml:space="preserve">This addendum improves release integrity and companion calculability. It does not claim empirical validation, ProofPack readiness, Tier 4 readiness, complete reference-calculator status, or machine-verifiable ecosystem completeness.</w:t>
      </w:r>
    </w:p>
    <w:bookmarkEnd w:id="613"/>
    <w:bookmarkEnd w:id="614"/>
    <w:bookmarkStart w:id="619" w:name="Xd34a9bd54fcdcf80d45474f3d6a1b59099d71a9"/>
    <w:p>
      <w:pPr>
        <w:pStyle w:val="Heading1"/>
      </w:pPr>
      <w:bookmarkStart w:id="812" w:name="mg_toc_048"/>
      <w:r>
        <w:rPr>
          <w:bCs/>
          <w:b/>
        </w:rPr>
        <w:t xml:space="preserve">APPENDIX AA: PACKAGE-CONTENT BOUNDARY AND TOOLING LINE SEPARATION (CARRIED FORWARD FROM v10.8 THROUGH v12.0)</w:t>
      </w:r>
      <w:bookmarkEnd w:id="812"/>
    </w:p>
    <w:bookmarkStart w:id="615" w:name="aa1-purpose"/>
    <w:p>
      <w:pPr>
        <w:pStyle w:val="Heading2"/>
      </w:pPr>
      <w:r>
        <w:rPr>
          <w:bCs/>
          <w:b/>
        </w:rPr>
        <w:t xml:space="preserve">AA.1 Purpose</w:t>
      </w:r>
    </w:p>
    <w:p>
      <w:pPr>
        <w:pStyle w:val="FirstParagraph"/>
      </w:pPr>
      <w:r>
        <w:t xml:space="preserve">This appendix clarifies the boundary between the current v12.6 core source package and companion tooling releases. It is added to prevent asset-presence overclaiming and to keep the canonical framework synchronized with the actual release manifest.</w:t>
      </w:r>
    </w:p>
    <w:bookmarkEnd w:id="615"/>
    <w:bookmarkStart w:id="616" w:name="aa2-package-content-rule"/>
    <w:p>
      <w:pPr>
        <w:pStyle w:val="Heading2"/>
      </w:pPr>
      <w:r>
        <w:rPr>
          <w:bCs/>
          <w:b/>
        </w:rPr>
        <w:t xml:space="preserve">AA.2 Package-content rule</w:t>
      </w:r>
    </w:p>
    <w:p>
      <w:pPr>
        <w:pStyle w:val="FirstParagraph"/>
      </w:pPr>
      <w:r>
        <w:t xml:space="preserve">Where this canon references schemas, registries, machine-readable vectors, annexes, reference calculators, CI workflows, evidence registries, validators, or replay bundles, those references describe ownership rules, interface expectations, or roadmap targets unless the corresponding artifact is explicitly listed in the release manifest for the package being claimed.</w:t>
      </w:r>
    </w:p>
    <w:bookmarkEnd w:id="616"/>
    <w:bookmarkStart w:id="617" w:name="aa3-tooling-line-separation"/>
    <w:p>
      <w:pPr>
        <w:pStyle w:val="Heading2"/>
      </w:pPr>
      <w:r>
        <w:rPr>
          <w:bCs/>
          <w:b/>
        </w:rPr>
        <w:t xml:space="preserve">AA.3 Tooling-line separation</w:t>
      </w:r>
    </w:p>
    <w:p>
      <w:pPr>
        <w:pStyle w:val="FirstParagraph"/>
      </w:pPr>
      <w:r>
        <w:t xml:space="preserve">The package tooling line is the proper home for schemas, reference-calculator modules, machine-readable test vectors, replayable PCC examples, validators, evidence-hash registries, and external audit protocols. The v12.6 core source line remains the conceptual, normative, and release-clean foundation. Tooling artifacts may support replayability, but they do not supersede the canon.</w:t>
      </w:r>
    </w:p>
    <w:bookmarkEnd w:id="617"/>
    <w:bookmarkStart w:id="618" w:name="aa4-claim-boundary"/>
    <w:p>
      <w:pPr>
        <w:pStyle w:val="Heading2"/>
      </w:pPr>
      <w:r>
        <w:rPr>
          <w:bCs/>
          <w:b/>
        </w:rPr>
        <w:t xml:space="preserve">AA.4 Claim boundary</w:t>
      </w:r>
    </w:p>
    <w:p>
      <w:pPr>
        <w:pStyle w:val="FirstParagraph"/>
      </w:pPr>
      <w:r>
        <w:t xml:space="preserve">The existence of tooling, schemas, test vectors, or validators does not by itself create ProofPack readiness, Tier 4 readiness, empirical validation, machine-verifiable ecosystem completeness, legal authority, democratic legitimacy, or consciousness detection. Stronger claims require the separate evidence and replay conditions stated in the relevant release contract.</w:t>
      </w:r>
    </w:p>
    <w:bookmarkEnd w:id="618"/>
    <w:bookmarkEnd w:id="619"/>
    <w:bookmarkStart w:id="627" w:name="appendix-ab-reference-structure-protocol"/>
    <w:p>
      <w:pPr>
        <w:pStyle w:val="Heading1"/>
      </w:pPr>
      <w:bookmarkStart w:id="813" w:name="mg_toc_049"/>
      <w:r>
        <w:rPr>
          <w:bCs/>
          <w:b/>
        </w:rPr>
        <w:t xml:space="preserve">APPENDIX AB: REFERENCE STRUCTURE PROTOCOL</w:t>
      </w:r>
      <w:bookmarkEnd w:id="813"/>
    </w:p>
    <w:bookmarkStart w:id="620" w:name="ab1-purpose"/>
    <w:p>
      <w:pPr>
        <w:pStyle w:val="Heading2"/>
      </w:pPr>
      <w:r>
        <w:rPr>
          <w:bCs/>
          <w:b/>
        </w:rPr>
        <w:t xml:space="preserve">AB.1 Purpose</w:t>
      </w:r>
    </w:p>
    <w:p>
      <w:pPr>
        <w:pStyle w:val="FirstParagraph"/>
      </w:pPr>
      <w:r>
        <w:t xml:space="preserve">The Reference Structure Protocol specifies how RippleLogic runs declare the structures against which admissibility, causality, stability, welfare, and auditability claims are evaluated.</w:t>
      </w:r>
    </w:p>
    <w:p>
      <w:pPr>
        <w:pStyle w:val="BodyText"/>
      </w:pPr>
      <w:r>
        <w:t xml:space="preserve">This appendix prevents a common failure mode in governance and AI alignment: one assumption system supervising another assumption system without a sufficiently external, falsifiable, or auditable reference. RippleLogic does not solve this by claiming perfect objectivity. It solves it by requiring that reference structures be declared, evidence-labeled, maturity-bounded, and open to refusal.</w:t>
      </w:r>
    </w:p>
    <w:bookmarkEnd w:id="620"/>
    <w:bookmarkStart w:id="621" w:name="ab2-non-effect-on-the-cascade"/>
    <w:p>
      <w:pPr>
        <w:pStyle w:val="Heading2"/>
      </w:pPr>
      <w:r>
        <w:rPr>
          <w:bCs/>
          <w:b/>
        </w:rPr>
        <w:t xml:space="preserve">AB.2 Non-Effect on the Cascade</w:t>
      </w:r>
    </w:p>
    <w:p>
      <w:pPr>
        <w:pStyle w:val="FirstParagraph"/>
      </w:pPr>
      <w:r>
        <w:t xml:space="preserve">The Reference Structure Protocol does not alter the canonical cascade: Reality Grounding → Rights Floor → TRC → CSV → RLS.</w:t>
      </w:r>
    </w:p>
    <w:p>
      <w:pPr>
        <w:pStyle w:val="BodyText"/>
      </w:pPr>
      <w:r>
        <w:t xml:space="preserve">It does not create a sixth gate. It does not allow RLS, UCI, HOI, SGP, agent tooling, legal permission, or human authority to rescue failure at NCRC, TRC, CSV, or Refusal.</w:t>
      </w:r>
    </w:p>
    <w:bookmarkEnd w:id="621"/>
    <w:bookmarkStart w:id="622" w:name="ab3-reference-stack"/>
    <w:p>
      <w:pPr>
        <w:pStyle w:val="Heading2"/>
      </w:pPr>
      <w:r>
        <w:rPr>
          <w:bCs/>
          <w:b/>
        </w:rPr>
        <w:t xml:space="preserve">AB.3 Reference Stack</w:t>
      </w:r>
    </w:p>
    <w:p>
      <w:pPr>
        <w:pStyle w:val="FirstParagraph"/>
      </w:pPr>
      <w:r>
        <w:t xml:space="preserve">A RippleLogic run SHOULD identify which reference layers are active.</w:t>
      </w:r>
    </w:p>
    <w:p>
      <w:pPr>
        <w:pStyle w:val="BodyText"/>
      </w:pPr>
      <w:r>
        <w:t xml:space="preserve">1. Physical reference: bodies, infrastructure, energy, geography, resources, physical constraints, ecological limits.</w:t>
      </w:r>
    </w:p>
    <w:p>
      <w:pPr>
        <w:pStyle w:val="BodyText"/>
      </w:pPr>
      <w:r>
        <w:t xml:space="preserve">2. Biological reference: life, health, basic needs, suffering, sentience-relevant evidence, biological dependency.</w:t>
      </w:r>
    </w:p>
    <w:p>
      <w:pPr>
        <w:pStyle w:val="BodyText"/>
      </w:pPr>
      <w:r>
        <w:t xml:space="preserve">3. Social reference: trust, coordination, institutional stability, conflict risk, social cohesion.</w:t>
      </w:r>
    </w:p>
    <w:p>
      <w:pPr>
        <w:pStyle w:val="BodyText"/>
      </w:pPr>
      <w:r>
        <w:t xml:space="preserve">4. Ethical-rights reference: rights floors, dignity, due process, non-domination, ecological integrity.</w:t>
      </w:r>
    </w:p>
    <w:p>
      <w:pPr>
        <w:pStyle w:val="BodyText"/>
      </w:pPr>
      <w:r>
        <w:t xml:space="preserve">5. Risk reference: catastrophic corridors, CVaR assumptions, scenario sets, probability floors, uncertainty bands.</w:t>
      </w:r>
    </w:p>
    <w:p>
      <w:pPr>
        <w:pStyle w:val="BodyText"/>
      </w:pPr>
      <w:r>
        <w:t xml:space="preserve">6. Governance-authority reference: lawful authority, role authority, democratic legitimacy, professional mandate, procedural permission.</w:t>
      </w:r>
    </w:p>
    <w:p>
      <w:pPr>
        <w:pStyle w:val="BodyText"/>
      </w:pPr>
      <w:r>
        <w:t xml:space="preserve">7. Epistemic reference: evidence source, measurement method, evidence status, falsification condition, uncertainty class, reviewer disagreement.</w:t>
      </w:r>
    </w:p>
    <w:p>
      <w:pPr>
        <w:pStyle w:val="BodyText"/>
      </w:pPr>
      <w:r>
        <w:t xml:space="preserve">8. Operational-audit reference: PCC, Decision Note, ProjectionPreRegistration, ActionQualificationRecord, OutcomeObservationRecord, hashes, logs, and replay materials.</w:t>
      </w:r>
    </w:p>
    <w:p>
      <w:pPr>
        <w:pStyle w:val="BodyText"/>
      </w:pPr>
      <w:r>
        <w:t xml:space="preserve">Short rule. Physics constrains possibility; ethics constrains admissibility; evidence constrains claims; governance constrains authority.</w:t>
      </w:r>
    </w:p>
    <w:bookmarkEnd w:id="622"/>
    <w:bookmarkStart w:id="623" w:name="ab4-referencestructurerecord"/>
    <w:p>
      <w:pPr>
        <w:pStyle w:val="Heading2"/>
      </w:pPr>
      <w:r>
        <w:rPr>
          <w:bCs/>
          <w:b/>
        </w:rPr>
        <w:t xml:space="preserve">AB.4 ReferenceStructureRecord</w:t>
      </w:r>
    </w:p>
    <w:p>
      <w:pPr>
        <w:pStyle w:val="FirstParagraph"/>
      </w:pPr>
      <w:r>
        <w:t xml:space="preserve">For Tier 3 runs and for Tier 2 high-stakes or claim-bearing runs, the PCC SHOULD include a ReferenceStructureRecord. For Tier 3 public conformance claims, it SHALL include one unless an emergency triage rule explicitly permits a narrower record.</w:t>
      </w:r>
    </w:p>
    <w:p>
      <w:pPr>
        <w:pStyle w:val="BodyText"/>
      </w:pPr>
      <w:r>
        <w:t xml:space="preserve">A ReferenceStructureRecord contains, at minimum: record_id; decision_id; option_id or option_set_id; claim_scope; decision_boundary; reference_object; active_reference_layers; invariant_constraints; causal_pathway_summary; falsification_conditions; evidence_sources; evidence_status_tokens; measurement_maturity_status; adaptation_boundary; authority_boundary; refusal_triggers; excluded_references; reviewer_disposition; timestamp; artifact_hashes.</w:t>
      </w:r>
    </w:p>
    <w:bookmarkEnd w:id="623"/>
    <w:bookmarkStart w:id="624" w:name="ab5-reference-quality-states"/>
    <w:p>
      <w:pPr>
        <w:pStyle w:val="Heading2"/>
      </w:pPr>
      <w:r>
        <w:rPr>
          <w:bCs/>
          <w:b/>
        </w:rPr>
        <w:t xml:space="preserve">AB.5 Reference Quality States</w:t>
      </w:r>
    </w:p>
    <w:p>
      <w:pPr>
        <w:pStyle w:val="FirstParagraph"/>
      </w:pPr>
      <w:r>
        <w:t xml:space="preserve">Each major reference claim SHOULD be classified using one of the following states: MEASURED; ESTIMATED; EXPERT_JUDGMENT; ASSUMED; CONTESTED; UNVALIDATED; NOT_OBSERVED; PLACEHOLDER_FOR_SENSITIVITY_ONLY.</w:t>
      </w:r>
    </w:p>
    <w:p>
      <w:pPr>
        <w:pStyle w:val="BodyText"/>
      </w:pPr>
      <w:r>
        <w:t xml:space="preserve">Assumed, contested, unvalidated, not-observed, or placeholder references MUST NOT be presented as measured facts.</w:t>
      </w:r>
    </w:p>
    <w:bookmarkEnd w:id="624"/>
    <w:bookmarkStart w:id="625" w:name="X9f2876880261a441fbb5e25bb8b845556bcfa2c"/>
    <w:p>
      <w:pPr>
        <w:pStyle w:val="Heading2"/>
      </w:pPr>
      <w:r>
        <w:rPr>
          <w:bCs/>
          <w:b/>
        </w:rPr>
        <w:t xml:space="preserve">AB.6 Invalid or Insufficient Reference Structures</w:t>
      </w:r>
    </w:p>
    <w:p>
      <w:pPr>
        <w:pStyle w:val="FirstParagraph"/>
      </w:pPr>
      <w:r>
        <w:t xml:space="preserve">A reference structure is insufficient for a strong RippleLogic claim where any of the following conditions hold:</w:t>
      </w:r>
    </w:p>
    <w:p>
      <w:pPr>
        <w:pStyle w:val="BodyText"/>
      </w:pPr>
      <w:r>
        <w:t xml:space="preserve">1. The reference object is missing.</w:t>
      </w:r>
    </w:p>
    <w:p>
      <w:pPr>
        <w:pStyle w:val="BodyText"/>
      </w:pPr>
      <w:r>
        <w:t xml:space="preserve">2. The reference is circular or self-validating.</w:t>
      </w:r>
    </w:p>
    <w:p>
      <w:pPr>
        <w:pStyle w:val="BodyText"/>
      </w:pPr>
      <w:r>
        <w:t xml:space="preserve">3. The reference is controlled entirely by the system being evaluated without independent evidence or review.</w:t>
      </w:r>
    </w:p>
    <w:p>
      <w:pPr>
        <w:pStyle w:val="BodyText"/>
      </w:pPr>
      <w:r>
        <w:t xml:space="preserve">4. The reference cannot be connected to an observable consequence, threshold, or falsification condition.</w:t>
      </w:r>
    </w:p>
    <w:p>
      <w:pPr>
        <w:pStyle w:val="BodyText"/>
      </w:pPr>
      <w:r>
        <w:t xml:space="preserve">5. The reference is materially stale for the decision horizon.</w:t>
      </w:r>
    </w:p>
    <w:p>
      <w:pPr>
        <w:pStyle w:val="BodyText"/>
      </w:pPr>
      <w:r>
        <w:t xml:space="preserve">6. The reference depends on a measurement surface whose maturity status does not support the requested claim.</w:t>
      </w:r>
    </w:p>
    <w:p>
      <w:pPr>
        <w:pStyle w:val="BodyText"/>
      </w:pPr>
      <w:r>
        <w:t xml:space="preserve">7. The reference relies on legal, institutional, or operator permission as a substitute for admissibility.</w:t>
      </w:r>
    </w:p>
    <w:p>
      <w:pPr>
        <w:pStyle w:val="BodyText"/>
      </w:pPr>
      <w:r>
        <w:t xml:space="preserve">8. The reference relies on scoring outputs to rescue earlier gate uncertainty or failure.</w:t>
      </w:r>
    </w:p>
    <w:p>
      <w:pPr>
        <w:pStyle w:val="BodyText"/>
      </w:pPr>
      <w:r>
        <w:t xml:space="preserve">9. Two or more materially different reference interpretations remain plausible under the declared evidence and no adjudication rule resolves them.</w:t>
      </w:r>
    </w:p>
    <w:p>
      <w:pPr>
        <w:pStyle w:val="BodyText"/>
      </w:pPr>
      <w:r>
        <w:t xml:space="preserve">Where the reference structure is insufficient, the run MUST enter Refusal, escalation, narrower claim scope, additional evidence gathering, or bounded triage if delay itself creates material risk.</w:t>
      </w:r>
    </w:p>
    <w:bookmarkEnd w:id="625"/>
    <w:bookmarkStart w:id="626" w:name="X20114087210b5d6f453fd38397f374141366a08"/>
    <w:p>
      <w:pPr>
        <w:pStyle w:val="Heading2"/>
      </w:pPr>
      <w:r>
        <w:rPr>
          <w:bCs/>
          <w:b/>
        </w:rPr>
        <w:t xml:space="preserve">AB.7 Relationship to PCC and ProjectionPreRegistration</w:t>
      </w:r>
    </w:p>
    <w:p>
      <w:pPr>
        <w:pStyle w:val="FirstParagraph"/>
      </w:pPr>
      <w:r>
        <w:t xml:space="preserve">The ReferenceStructureRecord SHOULD be stored with the PCC and referenced by hash. Where ProjectionPreRegistration is required, the ReferenceStructureRecord SHOULD be created before cascade computation or included as a pre-registered object.</w:t>
      </w:r>
    </w:p>
    <w:p>
      <w:pPr>
        <w:pStyle w:val="BodyText"/>
      </w:pPr>
      <w:r>
        <w:t xml:space="preserve">Post-hoc modification of the reference structure that could alter admissibility, selectability, selection, conformance, or deployment-readiness claims is material and requires a new run or documented refusal and re-run procedure.</w:t>
      </w:r>
    </w:p>
    <w:bookmarkEnd w:id="626"/>
    <w:bookmarkEnd w:id="627"/>
    <w:bookmarkStart w:id="628" w:name="X0f6fa76b1b792113bcbd3759a5673338c7d670b"/>
    <w:p>
      <w:pPr>
        <w:pStyle w:val="Heading1"/>
      </w:pPr>
      <w:bookmarkStart w:id="814" w:name="mg_toc_050"/>
      <w:r>
        <w:rPr>
          <w:bCs/>
          <w:b/>
        </w:rPr>
        <w:t xml:space="preserve">APPENDIX AC: SPECIFICATION CONTRACT, RELEASE METADATA, AND CLAIM BOUNDARY</w:t>
      </w:r>
      <w:bookmarkEnd w:id="814"/>
    </w:p>
    <w:p>
      <w:pPr>
        <w:pStyle w:val="FirstParagraph"/>
      </w:pPr>
      <w:r>
        <w:t xml:space="preserve">This appendix preserves release identity, companion-version pins, claim-boundary warnings, and role-map material moved out of the opening pages in v10.4 for reader accessibility. It does not change the canonical cascade or computation.</w:t>
      </w:r>
    </w:p>
    <w:p>
      <w:pPr>
        <w:pStyle w:val="BodyText"/>
      </w:pPr>
      <w:r>
        <w:t xml:space="preserve">Foundation baseline consolidation date: 2026-05-11. Canonical release date: governed by the release manifest and the current-line release entry in Appendix M. If dates differ, the release manifest date controls release identity; the title-page date records text finalisation only.</w:t>
      </w:r>
    </w:p>
    <w:p>
      <w:pPr>
        <w:pStyle w:val="BodyText"/>
      </w:pPr>
      <w:r>
        <w:t xml:space="preserve">Release Label: RippleLogic_v12.6_Canon</w:t>
      </w:r>
    </w:p>
    <w:p>
      <w:pPr>
        <w:pStyle w:val="BodyText"/>
      </w:pPr>
      <w:r>
        <w:t xml:space="preserve">Current synced companion set for this release line: RippleLogic Agent System v12.5; SGP v8.5; ripple.md v5.5; WDBIP v1.6; RippleLogic Aligners Sheet v5.6; Foundations Primer v4.4; Cascade Standard v2.6; CSV Gate Standard v2.4; Reproducibility and Use Standard v1.4; RLS Validation Protocol v2.6; RLS Validation Workbook v0.3 (release status governed by repository manifest and SHA-256 hashes).</w:t>
      </w:r>
    </w:p>
    <w:p>
      <w:pPr>
        <w:pStyle w:val="BodyText"/>
      </w:pPr>
      <w:r>
        <w:t xml:space="preserve">Single release-registry rule (Normative).</w:t>
      </w:r>
      <w:r>
        <w:t xml:space="preserve"> </w:t>
      </w:r>
      <w:r>
        <w:rPr>
          <w:rStyle w:val="VerbatimChar"/>
        </w:rPr>
        <w:t xml:space="preserve">VERSION_MANIFEST.yaml</w:t>
      </w:r>
      <w:r>
        <w:t xml:space="preserve"> </w:t>
      </w:r>
      <w:r>
        <w:t xml:space="preserve">and</w:t>
      </w:r>
      <w:r>
        <w:t xml:space="preserve"> </w:t>
      </w:r>
      <w:r>
        <w:rPr>
          <w:rStyle w:val="VerbatimChar"/>
        </w:rPr>
        <w:t xml:space="preserve">release/release_manifest.yml</w:t>
      </w:r>
      <w:r>
        <w:t xml:space="preserve"> </w:t>
      </w:r>
      <w:r>
        <w:t xml:space="preserve">jointly own the exact current component pins. Human-readable matrices in the Canon, Component Map, workbook, and companion files are synchronized mirrors. If a mirror differs, the manifest-listed source files and hashes control release identity and the mismatch is a release-integrity failure.</w:t>
      </w:r>
    </w:p>
    <w:p>
      <w:pPr>
        <w:pStyle w:val="BodyText"/>
      </w:pPr>
      <w:r>
        <w:t xml:space="preserve">Current-line companion matrix (release-clean reference):</w:t>
      </w:r>
    </w:p>
    <w:p>
      <w:pPr>
        <w:numPr>
          <w:ilvl w:val="0"/>
          <w:numId w:val="1417"/>
        </w:numPr>
        <w:pStyle w:val="Compact"/>
      </w:pPr>
      <w:r>
        <w:t xml:space="preserve">RippleLogic Canon: v12.6</w:t>
      </w:r>
    </w:p>
    <w:p>
      <w:pPr>
        <w:numPr>
          <w:ilvl w:val="0"/>
          <w:numId w:val="1417"/>
        </w:numPr>
        <w:pStyle w:val="Compact"/>
      </w:pPr>
      <w:r>
        <w:t xml:space="preserve">SGP: v8.5</w:t>
      </w:r>
    </w:p>
    <w:p>
      <w:pPr>
        <w:numPr>
          <w:ilvl w:val="0"/>
          <w:numId w:val="1417"/>
        </w:numPr>
        <w:pStyle w:val="Compact"/>
      </w:pPr>
      <w:r>
        <w:t xml:space="preserve">ripple.md: v5.5</w:t>
      </w:r>
    </w:p>
    <w:p>
      <w:pPr>
        <w:numPr>
          <w:ilvl w:val="0"/>
          <w:numId w:val="1417"/>
        </w:numPr>
        <w:pStyle w:val="Compact"/>
      </w:pPr>
      <w:r>
        <w:t xml:space="preserve">WDBIP: v1.6</w:t>
      </w:r>
    </w:p>
    <w:p>
      <w:pPr>
        <w:numPr>
          <w:ilvl w:val="0"/>
          <w:numId w:val="1417"/>
        </w:numPr>
        <w:pStyle w:val="Compact"/>
      </w:pPr>
      <w:r>
        <w:t xml:space="preserve">RippleLogic Agent System: v12.5</w:t>
      </w:r>
    </w:p>
    <w:p>
      <w:pPr>
        <w:numPr>
          <w:ilvl w:val="0"/>
          <w:numId w:val="1417"/>
        </w:numPr>
        <w:pStyle w:val="Compact"/>
      </w:pPr>
      <w:r>
        <w:t xml:space="preserve">Foundations Primer: v4.4</w:t>
      </w:r>
    </w:p>
    <w:p>
      <w:pPr>
        <w:numPr>
          <w:ilvl w:val="0"/>
          <w:numId w:val="1417"/>
        </w:numPr>
        <w:pStyle w:val="Compact"/>
      </w:pPr>
      <w:r>
        <w:t xml:space="preserve">RippleLogic Aligners Sheet: v5.6</w:t>
      </w:r>
    </w:p>
    <w:p>
      <w:pPr>
        <w:numPr>
          <w:ilvl w:val="0"/>
          <w:numId w:val="1417"/>
        </w:numPr>
        <w:pStyle w:val="Compact"/>
      </w:pPr>
      <w:r>
        <w:t xml:space="preserve">Cascade Standard: v2.6</w:t>
      </w:r>
    </w:p>
    <w:p>
      <w:pPr>
        <w:numPr>
          <w:ilvl w:val="0"/>
          <w:numId w:val="1417"/>
        </w:numPr>
        <w:pStyle w:val="Compact"/>
      </w:pPr>
      <w:r>
        <w:t xml:space="preserve">CSV Gate Standard: v2.4</w:t>
      </w:r>
    </w:p>
    <w:p>
      <w:pPr>
        <w:numPr>
          <w:ilvl w:val="0"/>
          <w:numId w:val="1417"/>
        </w:numPr>
        <w:pStyle w:val="Compact"/>
      </w:pPr>
      <w:r>
        <w:t xml:space="preserve">Reproducibility and Use Standard: v1.4</w:t>
      </w:r>
    </w:p>
    <w:p>
      <w:pPr>
        <w:numPr>
          <w:ilvl w:val="0"/>
          <w:numId w:val="1417"/>
        </w:numPr>
        <w:pStyle w:val="Compact"/>
      </w:pPr>
      <w:r>
        <w:t xml:space="preserve">RLS Validation Protocol: v2.6</w:t>
      </w:r>
    </w:p>
    <w:p>
      <w:pPr>
        <w:numPr>
          <w:ilvl w:val="0"/>
          <w:numId w:val="1417"/>
        </w:numPr>
        <w:pStyle w:val="Compact"/>
      </w:pPr>
      <w:r>
        <w:t xml:space="preserve">Public Introduction: v12.6</w:t>
      </w:r>
    </w:p>
    <w:p>
      <w:pPr>
        <w:numPr>
          <w:ilvl w:val="0"/>
          <w:numId w:val="1417"/>
        </w:numPr>
        <w:pStyle w:val="Compact"/>
      </w:pPr>
      <w:r>
        <w:t xml:space="preserve">PC-AEP: v2.3</w:t>
      </w:r>
    </w:p>
    <w:p>
      <w:pPr>
        <w:numPr>
          <w:ilvl w:val="0"/>
          <w:numId w:val="1417"/>
        </w:numPr>
        <w:pStyle w:val="Compact"/>
      </w:pPr>
      <w:r>
        <w:t xml:space="preserve">MFDI: v2.3</w:t>
      </w:r>
    </w:p>
    <w:p>
      <w:pPr>
        <w:numPr>
          <w:ilvl w:val="0"/>
          <w:numId w:val="1417"/>
        </w:numPr>
        <w:pStyle w:val="Compact"/>
      </w:pPr>
      <w:r>
        <w:t xml:space="preserve">Source-Coupling Integrity Standard: v2.3</w:t>
      </w:r>
    </w:p>
    <w:p>
      <w:pPr>
        <w:pStyle w:val="FirstParagraph"/>
      </w:pPr>
      <w:r>
        <w:t xml:space="preserve">Extended release-support artifact (not part of Core 15):</w:t>
      </w:r>
    </w:p>
    <w:p>
      <w:pPr>
        <w:numPr>
          <w:ilvl w:val="0"/>
          <w:numId w:val="1418"/>
        </w:numPr>
        <w:pStyle w:val="Compact"/>
      </w:pPr>
      <w:r>
        <w:t xml:space="preserve">RLS Validation Workbook: v0.3</w:t>
      </w:r>
    </w:p>
    <w:p>
      <w:pPr>
        <w:pStyle w:val="FirstParagraph"/>
      </w:pPr>
      <w:r>
        <w:t xml:space="preserve">All public conformance claims for this release line MUST pin this exact component matrix explicitly in the release manifest or PCC; generic release-family references do not replace the exact current component pins and the exact manifest controls publication status.</w:t>
      </w:r>
    </w:p>
    <w:p>
      <w:pPr>
        <w:pStyle w:val="BodyText"/>
      </w:pPr>
      <w:r>
        <w:t xml:space="preserve">MathGov is the umbrella ethical governance framework. RippleLogic is the canonical name of the decision architecture and operating methodology inside MathGov. Earlier materials may use historical lineage language, but current release interpretation follows this hierarchy.</w:t>
      </w:r>
    </w:p>
    <w:p>
      <w:pPr>
        <w:pStyle w:val="BodyText"/>
      </w:pPr>
      <w:r>
        <w:t xml:space="preserve">Backward compatibility: Prior PCCs computed under earlier release lines remain interpretable as lineage artifacts. However, any run claiming current-line conformance MUST meet v12.6 canonical requirements and use the v12.6 Canon artifact. A run explicitly pinned to v12.0 remains a historical-lineage run and must pin the v12.0 artifact. Any run referencing v10.8 remains a historical-lineage run and must pin the v10.8 artifact explicitly.</w:t>
      </w:r>
    </w:p>
    <w:p>
      <w:pPr>
        <w:pStyle w:val="BodyText"/>
      </w:pPr>
      <w:r>
        <w:t xml:space="preserve">AUTHOR STATEMENT AND TRANSPARENCY DISCLOSURE</w:t>
      </w:r>
      <w:r>
        <w:br/>
      </w:r>
      <w:r>
        <w:t xml:space="preserve">The author conceived, designed, and wrote this specification. Generative AI tools (including OpenAI ChatGPT and Anthropic Claude) were used as drafting and consistency assistants. The author reviewed, verified, and edited all outputs and assumes full responsibility for the content, claims, and citations. This paper presents a theoretical framework. Empirical validation through pilots is planned but not yet completed. No operational deployment claims are made until validation studies are completed.</w:t>
      </w:r>
    </w:p>
    <w:p>
      <w:pPr>
        <w:pStyle w:val="BodyText"/>
      </w:pPr>
      <w:r>
        <w:t xml:space="preserve">Maturity note. This specification is architecturally complete at the framework level for its declared release scope, but empirical validation, companion machine surfaces, and domain-specific measurement annexes remain active development priorities.</w:t>
      </w:r>
    </w:p>
    <w:p>
      <w:pPr>
        <w:pStyle w:val="BodyText"/>
      </w:pPr>
      <w:r>
        <w:t xml:space="preserve">Historical release-delta details for v9.6.4, v9.6.5, v10.0-RC1, v10.0-RC2, v10.0, and v10.4 are retained in Appendix M. This front matter states the current v12.6 package release posture only.</w:t>
      </w:r>
    </w:p>
    <w:bookmarkEnd w:id="628"/>
    <w:bookmarkStart w:id="630" w:name="Xcb93b4de863655791135d5df9c62a0b3eacfacd"/>
    <w:p>
      <w:pPr>
        <w:pStyle w:val="Heading1"/>
      </w:pPr>
      <w:bookmarkStart w:id="815" w:name="mg_toc_051"/>
      <w:r>
        <w:rPr>
          <w:bCs/>
          <w:b/>
        </w:rPr>
        <w:t xml:space="preserve">CARRIED-FORWARD v10.8 HUMAN PLATEAU / CMIU CALIBRATION AND SGP v5.6 SYNCHRONIZATION NOTICE</w:t>
      </w:r>
      <w:bookmarkEnd w:id="815"/>
    </w:p>
    <w:p>
      <w:pPr>
        <w:pStyle w:val="FirstParagraph"/>
      </w:pPr>
      <w:r>
        <w:t xml:space="preserve">Release Delta (v10.5 → v10.6). This release integrates the Human Plateau / CMIU calibration clarification and synchronizes the Canon to SGP v5.6. It preserves the existing cascade architecture, equations, rights thresholds, TRC mechanics, Containment semantics, RLS formula, PLSS/FLGG architecture, HDW, PCC, RSP/RefStructRecord, Appendix AD scoring dictionary, and Tier 1-3 claim boundaries. It clarifies that the Human Plateau Rule is not species favoritism: human persons receive non-degradable protection, and humanity is the current evidenced plateau-class reality-managing community within the CMIU, while equivalent plateau extension remains open through SGP governed review.</w:t>
      </w:r>
    </w:p>
    <w:p>
      <w:pPr>
        <w:pStyle w:val="BodyText"/>
      </w:pPr>
      <w:r>
        <w:t xml:space="preserve">Normative effect statement (carried forward from v10.8). No intended change was made to the canonical admissibility cascade Reality Grounding → Rights Floor → TRC → CSV → RLS, rights coverage sets, TRC corridor mechanics, Containment semantics, RLS formula, PLSS/FLGG architecture, HDW, PCC, RSP/RefStructRecord, or Appendix AD. The v10.8 line updated the SGP companion pin to SGP v5.6 and clarified the human plateau / reality-management rationale without allowing any SGP protection surface to weaken human protections, alter admissibility gates, or grant governance authority by itself. The current v12.6 / SGP v8.5 line replaces the legacy scalar interface with MPS/FPP/GPR/SPR/ICP and adds the informative RMCP/P100 calibration surface while preserving protection, participation, capacity, and authority boundaries.</w:t>
      </w:r>
    </w:p>
    <w:p>
      <w:pPr>
        <w:pStyle w:val="BodyText"/>
      </w:pPr>
      <w:r>
        <w:t xml:space="preserve">Claim boundary table (Informative reading aid).</w:t>
      </w:r>
    </w:p>
    <w:p>
      <w:pPr>
        <w:pStyle w:val="BodyText"/>
      </w:pPr>
      <w:r>
        <w:t xml:space="preserve">Release-boundary clarification (Normative).</w:t>
      </w:r>
    </w:p>
    <w:p>
      <w:pPr>
        <w:pStyle w:val="BodyText"/>
      </w:pPr>
      <w:r>
        <w:t xml:space="preserve">“Architecturally complete,” “worked-run claimable,” “audit-ready,” “ProofPack-ready,” and “Tier 4-ready” are distinct statuses and MUST NOT be collapsed.</w:t>
      </w:r>
    </w:p>
    <w:p>
      <w:pPr>
        <w:pStyle w:val="BodyText"/>
      </w:pPr>
      <w:r>
        <w:t xml:space="preserve">A framework may be architecturally complete without being empirically validated. A worked run may be claimable within its declared scope without the ecosystem being ProofPack-ready. Auditability surfaces may exist without a public replay validator. Tier 4 readiness remains prohibited until a public, independently replayable ProofPack exists.</w:t>
      </w:r>
    </w:p>
    <w:p>
      <w:pPr>
        <w:pStyle w:val="BodyText"/>
      </w:pPr>
      <w:r>
        <w:t xml:space="preserve">Phase 1 release-boundary hardening (Normative clarification).</w:t>
      </w:r>
    </w:p>
    <w:p>
      <w:pPr>
        <w:pStyle w:val="BodyText"/>
      </w:pPr>
      <w:r>
        <w:t xml:space="preserve">For public release interpretation, RippleLogic v12.6 is a conceptual/core-foundation and Tier 1-3 architectural specification within its declared scope. It is not an empirical validation claim, not a ProofPack-ready claim, not a Tier 4 claim, not a machine-verifiable-ecosystem-completeness claim, not a cross-domain validated UCI claim, not a legal-compliance certification, and not a deployment-readiness certification.</w:t>
      </w:r>
    </w:p>
    <w:p>
      <w:pPr>
        <w:pStyle w:val="BodyText"/>
      </w:pPr>
      <w:r>
        <w:t xml:space="preserve">The phrase “ethical operating system” is a design-architecture claim. It SHALL NOT be read as a claim of universal cultural consent, lawful authority, empirical completion, automatic moral correctness, or permission to execute consequence-bearing decisions without the required governance authority and evidence.</w:t>
      </w:r>
    </w:p>
    <w:p>
      <w:pPr>
        <w:pStyle w:val="BodyText"/>
      </w:pPr>
      <w:r>
        <w:t>UCI maturity boundary. Structural coherence and viability remain load-bearing; UCI is a governed but empirically provisional diagnostic and tie-break evidence interface until a published UCI Measurement Annex defines instruments, normalization rules, structural-independence checks, calibration procedure, and inter-rater reliability evidence. UCI has no independent pass/fail or selection authority merely because it is numerically computable. No current-release artifact may imply cross-domain validated UCI unless that annex and evidence are separately bundled and hash-pinned.</w:t>
      </w:r>
    </w:p>
    <w:p>
      <w:pPr>
        <w:pStyle w:val="BodyText"/>
      </w:pPr>
      <w:r>
        <w:t xml:space="preserve">Admissibility vs permission (Normative clarification). Admissibility is a structural property determined by the cascade gates. Permission is a separate authorization act performed by an entity with appropriate authority. Compliance is a documentation property. A run that passes the cascade is admissible. An admissible run may still require permission, lawful authority, governance review, or domain-specific licensing before execution. A permitted run is not, by virtue of permission alone, admissible. RippleLogic determines admissibility; it does not grant permission, certify compliance, or substitute for lawful authority.</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Claim type</w:t>
            </w:r>
          </w:p>
        </w:tc>
        <w:tc>
          <w:tcPr>
            <w:shd w:val="clear" w:color="auto" w:fill="D9EAF7"/>
            <w:vAlign w:val="center"/>
          </w:tcPr>
          <w:p>
            <w:pPr>
              <w:pStyle w:val="Compact"/>
              <w:jc w:val="left"/>
            </w:pPr>
            <w:r>
              <w:rPr>
                <w:bCs/>
                <w:b/>
                <w:color w:val="17365D"/>
              </w:rPr>
              <w:t xml:space="preserve">Status in v12.6</w:t>
            </w:r>
          </w:p>
        </w:tc>
        <w:tc>
          <w:tcPr>
            <w:shd w:val="clear" w:color="auto" w:fill="D9EAF7"/>
            <w:vAlign w:val="center"/>
          </w:tcPr>
          <w:p>
            <w:pPr>
              <w:pStyle w:val="Compact"/>
              <w:jc w:val="left"/>
            </w:pPr>
            <w:r>
              <w:rPr>
                <w:bCs/>
                <w:b/>
                <w:color w:val="17365D"/>
              </w:rPr>
              <w:t xml:space="preserve">Required condition</w:t>
            </w:r>
          </w:p>
        </w:tc>
      </w:tr>
      <w:tr>
        <w:tc>
          <w:tcPr>
            <w:vAlign w:val="top"/>
          </w:tcPr>
          <w:p>
            <w:pPr>
              <w:pStyle w:val="Compact"/>
              <w:jc w:val="left"/>
            </w:pPr>
            <w:r>
              <w:t xml:space="preserve">Tier 1-3 architectural completeness</w:t>
            </w:r>
          </w:p>
        </w:tc>
        <w:tc>
          <w:tcPr>
            <w:vAlign w:val="top"/>
          </w:tcPr>
          <w:p>
            <w:pPr>
              <w:pStyle w:val="Compact"/>
              <w:jc w:val="left"/>
            </w:pPr>
            <w:r>
              <w:t xml:space="preserve">Claimable</w:t>
            </w:r>
          </w:p>
        </w:tc>
        <w:tc>
          <w:tcPr>
            <w:vAlign w:val="top"/>
          </w:tcPr>
          <w:p>
            <w:pPr>
              <w:pStyle w:val="Compact"/>
              <w:jc w:val="left"/>
            </w:pPr>
            <w:r>
              <w:t xml:space="preserve">Defined by this canon and appendices for the declared release scope.</w:t>
            </w:r>
          </w:p>
        </w:tc>
      </w:tr>
      <w:tr>
        <w:tc>
          <w:tcPr>
            <w:shd w:val="clear" w:color="auto" w:fill="F7FBFE"/>
            <w:vAlign w:val="top"/>
          </w:tcPr>
          <w:p>
            <w:pPr>
              <w:pStyle w:val="Compact"/>
              <w:jc w:val="left"/>
            </w:pPr>
            <w:r>
              <w:t xml:space="preserve">Tier 3 run-level conformance</w:t>
            </w:r>
          </w:p>
        </w:tc>
        <w:tc>
          <w:tcPr>
            <w:shd w:val="clear" w:color="auto" w:fill="F7FBFE"/>
            <w:vAlign w:val="top"/>
          </w:tcPr>
          <w:p>
            <w:pPr>
              <w:pStyle w:val="Compact"/>
              <w:jc w:val="left"/>
            </w:pPr>
            <w:r>
              <w:t xml:space="preserve">Claimable</w:t>
            </w:r>
          </w:p>
        </w:tc>
        <w:tc>
          <w:tcPr>
            <w:shd w:val="clear" w:color="auto" w:fill="F7FBFE"/>
            <w:vAlign w:val="top"/>
          </w:tcPr>
          <w:p>
            <w:pPr>
              <w:pStyle w:val="Compact"/>
              <w:jc w:val="left"/>
            </w:pPr>
            <w:r>
              <w:t xml:space="preserve">Run declares required inputs, satisfies tier minima, and emits a valid PCC.</w:t>
            </w:r>
          </w:p>
        </w:tc>
      </w:tr>
      <w:tr>
        <w:tc>
          <w:tcPr>
            <w:vAlign w:val="top"/>
          </w:tcPr>
          <w:p>
            <w:pPr>
              <w:pStyle w:val="Compact"/>
              <w:jc w:val="left"/>
            </w:pPr>
            <w:r>
              <w:t xml:space="preserve">Framework-level empirical operational-readiness</w:t>
            </w:r>
          </w:p>
        </w:tc>
        <w:tc>
          <w:tcPr>
            <w:vAlign w:val="top"/>
          </w:tcPr>
          <w:p>
            <w:pPr>
              <w:pStyle w:val="Compact"/>
              <w:jc w:val="left"/>
            </w:pPr>
            <w:r>
              <w:t xml:space="preserve">Not yet claimable</w:t>
            </w:r>
          </w:p>
        </w:tc>
        <w:tc>
          <w:tcPr>
            <w:vAlign w:val="top"/>
          </w:tcPr>
          <w:p>
            <w:pPr>
              <w:pStyle w:val="Compact"/>
              <w:jc w:val="left"/>
            </w:pPr>
            <w:r>
              <w:t xml:space="preserve">Requires empirical validation progress, including UCI measurement maturity and related evidence.</w:t>
            </w:r>
          </w:p>
        </w:tc>
      </w:tr>
      <w:tr>
        <w:tc>
          <w:tcPr>
            <w:shd w:val="clear" w:color="auto" w:fill="F7FBFE"/>
            <w:vAlign w:val="top"/>
          </w:tcPr>
          <w:p>
            <w:pPr>
              <w:pStyle w:val="Compact"/>
              <w:jc w:val="left"/>
            </w:pPr>
            <w:r>
              <w:t xml:space="preserve">Machine-verifiable ecosystem completeness</w:t>
            </w:r>
          </w:p>
        </w:tc>
        <w:tc>
          <w:tcPr>
            <w:shd w:val="clear" w:color="auto" w:fill="F7FBFE"/>
            <w:vAlign w:val="top"/>
          </w:tcPr>
          <w:p>
            <w:pPr>
              <w:pStyle w:val="Compact"/>
              <w:jc w:val="left"/>
            </w:pPr>
            <w:r>
              <w:t xml:space="preserve">Not yet claimable</w:t>
            </w:r>
          </w:p>
        </w:tc>
        <w:tc>
          <w:tcPr>
            <w:shd w:val="clear" w:color="auto" w:fill="F7FBFE"/>
            <w:vAlign w:val="top"/>
          </w:tcPr>
          <w:p>
            <w:pPr>
              <w:pStyle w:val="Compact"/>
              <w:jc w:val="left"/>
            </w:pPr>
            <w:r>
              <w:t xml:space="preserve">Requires companion validator, schema, reference-calculator / registry surfaces, or equivalent ProofPack assets.</w:t>
            </w:r>
          </w:p>
        </w:tc>
      </w:tr>
      <w:tr>
        <w:tc>
          <w:tcPr>
            <w:vAlign w:val="top"/>
          </w:tcPr>
          <w:p>
            <w:pPr>
              <w:pStyle w:val="Compact"/>
              <w:jc w:val="left"/>
            </w:pPr>
            <w:r>
              <w:t xml:space="preserve">Tier 4 compliance</w:t>
            </w:r>
          </w:p>
        </w:tc>
        <w:tc>
          <w:tcPr>
            <w:vAlign w:val="top"/>
          </w:tcPr>
          <w:p>
            <w:pPr>
              <w:pStyle w:val="Compact"/>
              <w:jc w:val="left"/>
            </w:pPr>
            <w:r>
              <w:t xml:space="preserve">Prohibited</w:t>
            </w:r>
          </w:p>
        </w:tc>
        <w:tc>
          <w:tcPr>
            <w:vAlign w:val="top"/>
          </w:tcPr>
          <w:p>
            <w:pPr>
              <w:pStyle w:val="Compact"/>
              <w:jc w:val="left"/>
            </w:pPr>
            <w:r>
              <w:t xml:space="preserve">No Tier-4 claim until ProofPack is publicly replayable and independently verified.</w:t>
            </w:r>
          </w:p>
        </w:tc>
      </w:tr>
      <w:tr>
        <w:tc>
          <w:tcPr>
            <w:shd w:val="clear" w:color="auto" w:fill="F7FBFE"/>
            <w:vAlign w:val="top"/>
          </w:tcPr>
          <w:p>
            <w:pPr>
              <w:pStyle w:val="Compact"/>
              <w:jc w:val="left"/>
            </w:pPr>
            <w:r>
              <w:t xml:space="preserve">Cross-domain calibrated or validated UCI</w:t>
            </w:r>
          </w:p>
        </w:tc>
        <w:tc>
          <w:tcPr>
            <w:shd w:val="clear" w:color="auto" w:fill="F7FBFE"/>
            <w:vAlign w:val="top"/>
          </w:tcPr>
          <w:p>
            <w:pPr>
              <w:pStyle w:val="Compact"/>
              <w:jc w:val="left"/>
            </w:pPr>
            <w:r>
              <w:t xml:space="preserve">Prohibited</w:t>
            </w:r>
          </w:p>
        </w:tc>
        <w:tc>
          <w:tcPr>
            <w:shd w:val="clear" w:color="auto" w:fill="F7FBFE"/>
            <w:vAlign w:val="top"/>
          </w:tcPr>
          <w:p>
            <w:pPr>
              <w:pStyle w:val="Compact"/>
              <w:jc w:val="left"/>
            </w:pPr>
            <w:r>
              <w:t xml:space="preserve">Requires a published UCI Measurement Annex with named instruments, normalization rules, structural-independence evidence, and IRR data.</w:t>
            </w:r>
          </w:p>
        </w:tc>
      </w:tr>
    </w:tbl>
    <w:p>
      <w:pPr>
        <w:pStyle w:val="BodyText"/>
      </w:pPr>
      <w:r>
        <w:t xml:space="preserve">Decision-state summary (Normative shorthand).</w:t>
      </w:r>
    </w:p>
    <w:p>
      <w:pPr>
        <w:pStyle w:val="BodyText"/>
      </w:pPr>
      <w:r>
        <w:t xml:space="preserve">RippleLogic uses five distinct decision states that implementations MUST NOT collapse.</w:t>
      </w:r>
    </w:p>
    <w:p>
      <w:pPr>
        <w:pStyle w:val="BodyText"/>
      </w:pPr>
      <w:r>
        <w:t xml:space="preserve">Rights-admissible = passes NCRC.</w:t>
      </w:r>
    </w:p>
    <w:p>
      <w:pPr>
        <w:pStyle w:val="BodyText"/>
      </w:pPr>
      <w:r>
        <w:t xml:space="preserve">Admissible = option has</w:t>
      </w:r>
      <w:r>
        <w:t xml:space="preserve"> </w:t>
      </w:r>
      <w:r>
        <w:rPr>
          <w:rStyle w:val="VerbatimChar"/>
        </w:rPr>
        <w:t xml:space="preserve">RG_status</w:t>
      </w:r>
      <w:r>
        <w:t xml:space="preserve"> </w:t>
      </w:r>
      <w:r>
        <w:t xml:space="preserve">in {</w:t>
      </w:r>
      <w:r>
        <w:rPr>
          <w:rStyle w:val="VerbatimChar"/>
        </w:rPr>
        <w:t xml:space="preserve">RG_SUPPORTED</w:t>
      </w:r>
      <w:r>
        <w:t xml:space="preserve">,</w:t>
      </w:r>
      <w:r>
        <w:t xml:space="preserve"> </w:t>
      </w:r>
      <w:r>
        <w:rPr>
          <w:rStyle w:val="VerbatimChar"/>
        </w:rPr>
        <w:t xml:space="preserve">RG_NARROWED</w:t>
      </w:r>
      <w:r>
        <w:t xml:space="preserve">}, passes NCRC, and has</w:t>
      </w:r>
      <w:r>
        <w:t xml:space="preserve"> </w:t>
      </w:r>
      <w:r>
        <w:rPr>
          <w:rStyle w:val="VerbatimChar"/>
        </w:rPr>
        <w:t xml:space="preserve">TRC_status</w:t>
      </w:r>
      <w:r>
        <w:t xml:space="preserve"> </w:t>
      </w:r>
      <w:r>
        <w:t xml:space="preserve">in {</w:t>
      </w:r>
      <w:r>
        <w:rPr>
          <w:rStyle w:val="VerbatimChar"/>
        </w:rPr>
        <w:t xml:space="preserve">TRC_PASS</w:t>
      </w:r>
      <w:r>
        <w:t xml:space="preserve">,</w:t>
      </w:r>
      <w:r>
        <w:t xml:space="preserve"> </w:t>
      </w:r>
      <w:r>
        <w:rPr>
          <w:rStyle w:val="VerbatimChar"/>
        </w:rPr>
        <w:t xml:space="preserve">TRC_NOT_TRIGGERED</w:t>
      </w:r>
      <w:r>
        <w:t xml:space="preserve">}. The term does not imply execution authority.</w:t>
      </w:r>
    </w:p>
    <w:p>
      <w:pPr>
        <w:pStyle w:val="BodyText"/>
      </w:pPr>
      <w:r>
        <w:t xml:space="preserve">Selectable = admissible and has CSV status in {</w:t>
      </w:r>
      <w:r>
        <w:rPr>
          <w:rStyle w:val="VerbatimChar"/>
        </w:rPr>
        <w:t xml:space="preserve">CSV_PASS</w:t>
      </w:r>
      <w:r>
        <w:t xml:space="preserve">,</w:t>
      </w:r>
      <w:r>
        <w:t xml:space="preserve"> </w:t>
      </w:r>
      <w:r>
        <w:rPr>
          <w:rStyle w:val="VerbatimChar"/>
        </w:rPr>
        <w:t xml:space="preserve">CSV_PASS_WITH_CONTROLS</w:t>
      </w:r>
      <w:r>
        <w:t xml:space="preserve">,</w:t>
      </w:r>
      <w:r>
        <w:t xml:space="preserve"> </w:t>
      </w:r>
      <w:r>
        <w:rPr>
          <w:rStyle w:val="VerbatimChar"/>
        </w:rPr>
        <w:t xml:space="preserve">CSV_NOT_MATERIAL</w:t>
      </w:r>
      <w:r>
        <w:t xml:space="preserve">}.</w:t>
      </w:r>
    </w:p>
    <w:p>
      <w:pPr>
        <w:pStyle w:val="BodyText"/>
      </w:pPr>
      <w:r>
        <w:t xml:space="preserve">Selected = chosen from the selectable set after RLS, tie-break, and any required escalation disposition.</w:t>
      </w:r>
    </w:p>
    <w:p>
      <w:pPr>
        <w:pStyle w:val="BodyText"/>
      </w:pPr>
      <w:r>
        <w:t xml:space="preserve">Refusal = the framework cannot uniquely determine the applicable admissibility or selection state from declared inputs, evidence, projection rules, or layer commitments.</w:t>
      </w:r>
    </w:p>
    <w:p>
      <w:pPr>
        <w:pStyle w:val="BodyText"/>
      </w:pPr>
      <w:r>
        <w:t xml:space="preserve">A later state MUST NOT be used to infer an earlier one, and no downstream score may rescue failure at an earlier state. Refusal MUST NOT be silently converted into gate failure, gate success, RLS tie-break, or discretionary selection. Refusal means the run lacks sufficient determination for the claim being attempted.</w:t>
      </w:r>
    </w:p>
    <w:p>
      <w:pPr>
        <w:pStyle w:val="BodyText"/>
      </w:pPr>
      <w:r>
        <w:t xml:space="preserve">Qualification Continuity Check. Qualification continuity is not a sixth decision state and not a replacement gate. It is an execution-bound conformance surface for Tier 2 and Tier 3 consequence-bearing action, and recommended for medium- or high-stakes Tier 1 action. It verifies that the selected option, exact action, configuration, evidence, controls, obligations, and separate authority basis remain current before consequence becomes real. It cannot rescue a failure at NCRC, TRC, or CSV, cannot convert Refusal into permission, and cannot use a prior qualification to justify a materially changed action.</w:t>
      </w:r>
    </w:p>
    <w:p>
      <w:pPr>
        <w:pStyle w:val="BodyText"/>
      </w:pPr>
      <w:r>
        <w:t xml:space="preserve">CORE ARTIFACT ROLE MAP (release-line orientation)</w:t>
      </w:r>
    </w:p>
    <w:p>
      <w:pPr>
        <w:pStyle w:val="BodyText"/>
      </w:pPr>
      <w:r>
        <w:t xml:space="preserve">- RippleLogic_v12.6_Canon.md: canonical repository text source and normative source of truth for this release line.</w:t>
      </w:r>
    </w:p>
    <w:p>
      <w:pPr>
        <w:pStyle w:val="BodyText"/>
      </w:pPr>
      <w:r>
        <w:t xml:space="preserve">- RippleLogic_v12.6_Canon.docx: synchronized human-readable publication rendering of the Markdown source. It is hash-identified in the release manifest, but it does not outrank the Markdown source if the two diverge.</w:t>
      </w:r>
    </w:p>
    <w:p>
      <w:pPr>
        <w:pStyle w:val="BodyText"/>
      </w:pPr>
      <w:r>
        <w:t xml:space="preserve">- SGP v8.5: companion moral-patienthood, protection, participation, capacity, and power-readiness protocol. It is authoritative for MPS, FPP, GPR, SPR, optional ICP, RMCP, open P100 calibration, target and identity/collective boundaries, evidence-dependence controls, precaution, governed review, and classification-stability cautions. RippleLogic consumes only typed SGP outputs through Appendix G and MUST NOT define or recompute SGP internals.</w:t>
      </w:r>
    </w:p>
    <w:p>
      <w:pPr>
        <w:pStyle w:val="BodyText"/>
      </w:pPr>
      <w:r>
        <w:t xml:space="preserve">SGP split-roadmap boundary (Informative but release-controlling for interpretation).</w:t>
      </w:r>
    </w:p>
    <w:p>
      <w:pPr>
        <w:pStyle w:val="BodyText"/>
      </w:pPr>
      <w:r>
        <w:t xml:space="preserve">SGP v8.5 separates moral patienthood, full protection, governance participation, stewardship/power readiness, intelligence, and reality-management capacity as first-class outputs. RippleLogic v12.6 consumes the pinned SGP v8.5 protocol interface; the separately versioned RMCP machine schema remains v8.4. RippleLogic MUST NOT infer sentience, intrinsic moral worth, governance authority, voting weight, office eligibility, CMIU membership, or stewardship power from RMCP/P100, MPS, or FPP.</w:t>
      </w:r>
    </w:p>
    <w:p>
      <w:pPr>
        <w:pStyle w:val="BodyText"/>
      </w:pPr>
      <w:r>
        <w:t xml:space="preserve">This roadmap note does not change the v12.6 SGP v8.5 binding interface. It prevents over-reading any MPS band or interval as a consciousness probability or cardinal moral-worth score, and prevents over-reading RMCP/P100 as species supremacy, wisdom, or governance authority.</w:t>
      </w:r>
    </w:p>
    <w:p>
      <w:pPr>
        <w:pStyle w:val="BodyText"/>
      </w:pPr>
      <w:r>
        <w:t xml:space="preserve">- ripple.md v5.5: portable alignment contract and assurance wrapper for implementations and deployments, including the wrapped-run ActionQualificationRecord field for high-stakes consequence-bearing episodes.</w:t>
      </w:r>
    </w:p>
    <w:p>
      <w:pPr>
        <w:pStyle w:val="BodyText"/>
      </w:pPr>
      <w:r>
        <w:t xml:space="preserve">- RippleLogic Agent System v12.5: deployment/control specification for agentic implementations under the current pinned companion line unless and until a later synchronized agent-system release is promoted.</w:t>
      </w:r>
    </w:p>
    <w:p>
      <w:pPr>
        <w:pStyle w:val="BodyText"/>
      </w:pPr>
      <w:r>
        <w:t xml:space="preserve">- Ripple Aligners Sheet v5.6: worked-run exemplar companion for replay, disclosure, and training, including Qualification_Continuity and Outcome_Requalification sheets; not the repository-level validator or schema surface.</w:t>
      </w:r>
    </w:p>
    <w:p>
      <w:pPr>
        <w:pStyle w:val="BodyText"/>
      </w:pPr>
      <w:r>
        <w:t xml:space="preserve">- Machine-verifiable ecosystem completeness requires additional companion surfaces when claimed, including validator / schema / reference-calculator / registry artifacts or ProofPack assets beyond this core canon line.</w:t>
      </w:r>
    </w:p>
    <w:p>
      <w:pPr>
        <w:numPr>
          <w:ilvl w:val="0"/>
          <w:numId w:val="1419"/>
        </w:numPr>
        <w:pStyle w:val="Compact"/>
      </w:pPr>
      <w:r>
        <w:t xml:space="preserve">Companion v8.5 interface note: RippleLogic treats MPS band/interval, FPP, GPR, SPR, optional ICP, and RMCP/P100 as separate pinned outputs. MPS records control protection posture and the required welfare-inclusion hypothesis sensitivity; they are not cardinal welfare multipliers. FPP controls non-downgrade protection; GPR and SPR remain role-specific; RMCP/P100 remain informative capacity-calibration outputs. No SGP output may weaken admissibility under NCRC, TRC, or CSV, and no legacy v7 scalar may be silently translated.</w:t>
      </w:r>
    </w:p>
    <w:bookmarkStart w:id="629" w:name="X1b28f537ed9291cc1e3b28165d9b5a572dee36f"/>
    <w:p>
      <w:pPr>
        <w:pStyle w:val="Heading2"/>
      </w:pPr>
      <w:r>
        <w:rPr>
          <w:bCs/>
          <w:b/>
        </w:rPr>
        <w:t xml:space="preserve">AC.1 Specification Contract (moved from front matter in v10.4)</w:t>
      </w:r>
    </w:p>
    <w:bookmarkEnd w:id="629"/>
    <w:bookmarkEnd w:id="630"/>
    <w:bookmarkStart w:id="639" w:name="X97681a37ec4724d14ab1ee84ab176146f0cd452"/>
    <w:p>
      <w:pPr>
        <w:pStyle w:val="Heading1"/>
      </w:pPr>
      <w:bookmarkStart w:id="816" w:name="mg_toc_052"/>
      <w:r>
        <w:rPr>
          <w:bCs/>
          <w:b/>
        </w:rPr>
        <w:t xml:space="preserve">SECTION 0: SPECIFICATION CONTRACT (NORMATIVE)</w:t>
      </w:r>
      <w:bookmarkEnd w:id="816"/>
    </w:p>
    <w:bookmarkStart w:id="631" w:name="X70ead11954ebceb378fca9a2d404a85afa51364"/>
    <w:p>
      <w:pPr>
        <w:pStyle w:val="Heading2"/>
      </w:pPr>
      <w:r>
        <w:rPr>
          <w:bCs/>
          <w:b/>
        </w:rPr>
        <w:t xml:space="preserve">0.1 Normative hierarchy (Single Source of Truth)</w:t>
      </w:r>
    </w:p>
    <w:p>
      <w:pPr>
        <w:pStyle w:val="FirstParagraph"/>
      </w:pPr>
      <w:r>
        <w:t xml:space="preserve">When interpreting RippleLogic v12.6, conflicts MUST be resolved using this precedence order (highest controls lowest):</w:t>
      </w:r>
    </w:p>
    <w:p>
      <w:pPr>
        <w:numPr>
          <w:ilvl w:val="0"/>
          <w:numId w:val="1420"/>
        </w:numPr>
      </w:pPr>
      <w:r>
        <w:t xml:space="preserve">Main text rules explicitly labeled MUST, SHALL, or PROHIBITED</w:t>
      </w:r>
    </w:p>
    <w:p>
      <w:pPr>
        <w:numPr>
          <w:ilvl w:val="0"/>
          <w:numId w:val="1420"/>
        </w:numPr>
      </w:pPr>
      <w:r>
        <w:t xml:space="preserve">Appendix B (Canonical Equations)</w:t>
      </w:r>
    </w:p>
    <w:p>
      <w:pPr>
        <w:numPr>
          <w:ilvl w:val="0"/>
          <w:numId w:val="1420"/>
        </w:numPr>
      </w:pPr>
      <w:r>
        <w:t xml:space="preserve">Appendix C (Rights / NCRC Canon Pack)</w:t>
      </w:r>
    </w:p>
    <w:p>
      <w:pPr>
        <w:numPr>
          <w:ilvl w:val="0"/>
          <w:numId w:val="1420"/>
        </w:numPr>
      </w:pPr>
      <w:r>
        <w:t xml:space="preserve">Appendix D (TRC and Scenario Governance Canon Pack)</w:t>
      </w:r>
    </w:p>
    <w:p>
      <w:pPr>
        <w:numPr>
          <w:ilvl w:val="0"/>
          <w:numId w:val="1420"/>
        </w:numPr>
      </w:pPr>
      <w:r>
        <w:t xml:space="preserve">Appendix H (PCC and Audit Flags Canon Pack)</w:t>
      </w:r>
    </w:p>
    <w:p>
      <w:pPr>
        <w:numPr>
          <w:ilvl w:val="0"/>
          <w:numId w:val="1420"/>
        </w:numPr>
      </w:pPr>
      <w:r>
        <w:t xml:space="preserve">Appendix AG (v10.8 Reality Grounding and Lean Cascade Patch)</w:t>
      </w:r>
    </w:p>
    <w:p>
      <w:pPr>
        <w:numPr>
          <w:ilvl w:val="0"/>
          <w:numId w:val="1420"/>
        </w:numPr>
      </w:pPr>
      <w:r>
        <w:t xml:space="preserve">Appendix AH (Category Grounding and Primitive Audit Protocol)</w:t>
      </w:r>
    </w:p>
    <w:p>
      <w:pPr>
        <w:numPr>
          <w:ilvl w:val="0"/>
          <w:numId w:val="1420"/>
        </w:numPr>
      </w:pPr>
      <w:r>
        <w:t xml:space="preserve">Appendix AI (Term Discrimination and Semantic Stability Protocol)</w:t>
      </w:r>
    </w:p>
    <w:p>
      <w:pPr>
        <w:numPr>
          <w:ilvl w:val="0"/>
          <w:numId w:val="1420"/>
        </w:numPr>
      </w:pPr>
      <w:r>
        <w:t xml:space="preserve">Appendix AJ (Public Release Hardening Addendum)</w:t>
      </w:r>
    </w:p>
    <w:p>
      <w:pPr>
        <w:numPr>
          <w:ilvl w:val="0"/>
          <w:numId w:val="1420"/>
        </w:numPr>
      </w:pPr>
      <w:r>
        <w:t xml:space="preserve">Appendix AK (Computability vs Realizability Bridge)</w:t>
      </w:r>
    </w:p>
    <w:p>
      <w:pPr>
        <w:numPr>
          <w:ilvl w:val="0"/>
          <w:numId w:val="1420"/>
        </w:numPr>
      </w:pPr>
      <w:r>
        <w:t xml:space="preserve">Appendix AL (Source-Coupling Integrity and Generative-Source Traceability)</w:t>
      </w:r>
    </w:p>
    <w:p>
      <w:pPr>
        <w:numPr>
          <w:ilvl w:val="0"/>
          <w:numId w:val="1420"/>
        </w:numPr>
      </w:pPr>
      <w:r>
        <w:t xml:space="preserve">Appendix AM (Physical/Causal Admissibility Evidence Profile)</w:t>
      </w:r>
    </w:p>
    <w:p>
      <w:pPr>
        <w:numPr>
          <w:ilvl w:val="0"/>
          <w:numId w:val="1420"/>
        </w:numPr>
      </w:pPr>
      <w:r>
        <w:t xml:space="preserve">Appendix AN (Methodological Falsifiability and Dependency Integrity Standard)</w:t>
      </w:r>
    </w:p>
    <w:p>
      <w:pPr>
        <w:numPr>
          <w:ilvl w:val="0"/>
          <w:numId w:val="1420"/>
        </w:numPr>
      </w:pPr>
      <w:r>
        <w:t xml:space="preserve">Appendix AO (Physical Execution Boundary)</w:t>
      </w:r>
    </w:p>
    <w:p>
      <w:pPr>
        <w:numPr>
          <w:ilvl w:val="0"/>
          <w:numId w:val="1420"/>
        </w:numPr>
      </w:pPr>
      <w:r>
        <w:t xml:space="preserve">Appendix T (Qualification Continuity Check)</w:t>
      </w:r>
    </w:p>
    <w:p>
      <w:pPr>
        <w:numPr>
          <w:ilvl w:val="0"/>
          <w:numId w:val="1420"/>
        </w:numPr>
      </w:pPr>
      <w:r>
        <w:t xml:space="preserve">Appendix U (Outcome Requalification and Evidence Basis)</w:t>
      </w:r>
    </w:p>
    <w:p>
      <w:pPr>
        <w:numPr>
          <w:ilvl w:val="0"/>
          <w:numId w:val="1420"/>
        </w:numPr>
      </w:pPr>
      <w:r>
        <w:t xml:space="preserve">Appendix AE (Layer-Discipline, Falsification, and Adaptive Reserve Addendum)</w:t>
      </w:r>
    </w:p>
    <w:p>
      <w:pPr>
        <w:numPr>
          <w:ilvl w:val="0"/>
          <w:numId w:val="1420"/>
        </w:numPr>
      </w:pPr>
      <w:r>
        <w:t xml:space="preserve">Appendix AF (Decision Verdict Semantics, Projection Freeze, Closure Status, Falsification Classes, and Authority-Selection Separation)</w:t>
      </w:r>
    </w:p>
    <w:p>
      <w:pPr>
        <w:numPr>
          <w:ilvl w:val="0"/>
          <w:numId w:val="1420"/>
        </w:numPr>
      </w:pPr>
      <w:r>
        <w:t xml:space="preserve">Appendix A (Symbols, Domains, and Notation Canon)</w:t>
      </w:r>
    </w:p>
    <w:p>
      <w:pPr>
        <w:numPr>
          <w:ilvl w:val="0"/>
          <w:numId w:val="1420"/>
        </w:numPr>
      </w:pPr>
      <w:r>
        <w:t xml:space="preserve">Appendix E (UCI Interface and Tier-3 Construction Guidance)</w:t>
      </w:r>
    </w:p>
    <w:p>
      <w:pPr>
        <w:numPr>
          <w:ilvl w:val="0"/>
          <w:numId w:val="1420"/>
        </w:numPr>
      </w:pPr>
      <w:r>
        <w:t xml:space="preserve">Appendix G (SGP Integration Binding Interface)</w:t>
      </w:r>
    </w:p>
    <w:p>
      <w:pPr>
        <w:numPr>
          <w:ilvl w:val="0"/>
          <w:numId w:val="1420"/>
        </w:numPr>
      </w:pPr>
      <w:r>
        <w:t xml:space="preserve">Appendix R (Tier 1-3 Reference Test Vectors)</w:t>
      </w:r>
    </w:p>
    <w:p>
      <w:pPr>
        <w:numPr>
          <w:ilvl w:val="0"/>
          <w:numId w:val="1420"/>
        </w:numPr>
      </w:pPr>
      <w:r>
        <w:t xml:space="preserve">Appendix V (Measurement Maturity and Deployment Context Hardening)</w:t>
      </w:r>
    </w:p>
    <w:p>
      <w:pPr>
        <w:numPr>
          <w:ilvl w:val="0"/>
          <w:numId w:val="1420"/>
        </w:numPr>
      </w:pPr>
      <w:r>
        <w:t xml:space="preserve">Appendix W (Schema Ownership, Registries, and Machine-Verifiable Surfaces)</w:t>
      </w:r>
    </w:p>
    <w:p>
      <w:pPr>
        <w:numPr>
          <w:ilvl w:val="0"/>
          <w:numId w:val="1420"/>
        </w:numPr>
      </w:pPr>
      <w:r>
        <w:t xml:space="preserve">Appendix X (Reference Calculator, Machine Vectors, and ProofPack-Prep Roadmap)</w:t>
      </w:r>
    </w:p>
    <w:p>
      <w:pPr>
        <w:numPr>
          <w:ilvl w:val="0"/>
          <w:numId w:val="1420"/>
        </w:numPr>
      </w:pPr>
      <w:r>
        <w:t xml:space="preserve">Appendix Y (Precision Patch: Legitimacy, Evidence Status, Validation, and Adoption Profiles)</w:t>
      </w:r>
    </w:p>
    <w:p>
      <w:pPr>
        <w:numPr>
          <w:ilvl w:val="0"/>
          <w:numId w:val="1420"/>
        </w:numPr>
      </w:pPr>
      <w:r>
        <w:t xml:space="preserve">Appendix Z (Integration-Hardening Addendum)</w:t>
      </w:r>
    </w:p>
    <w:p>
      <w:pPr>
        <w:numPr>
          <w:ilvl w:val="0"/>
          <w:numId w:val="1420"/>
        </w:numPr>
      </w:pPr>
      <w:r>
        <w:t xml:space="preserve">Appendix AA (Package-Content Boundary and Tooling-Line Separation)</w:t>
      </w:r>
    </w:p>
    <w:p>
      <w:pPr>
        <w:numPr>
          <w:ilvl w:val="0"/>
          <w:numId w:val="1420"/>
        </w:numPr>
      </w:pPr>
      <w:r>
        <w:t xml:space="preserve">Appendix AB (Reference Structure Protocol)</w:t>
      </w:r>
    </w:p>
    <w:p>
      <w:pPr>
        <w:numPr>
          <w:ilvl w:val="0"/>
          <w:numId w:val="1420"/>
        </w:numPr>
      </w:pPr>
      <w:r>
        <w:t xml:space="preserve">Appendix N (Stewardship Pack Canon)</w:t>
      </w:r>
    </w:p>
    <w:p>
      <w:pPr>
        <w:numPr>
          <w:ilvl w:val="0"/>
          <w:numId w:val="1420"/>
        </w:numPr>
      </w:pPr>
      <w:r>
        <w:t xml:space="preserve">Appendix F (Failure Modes and Anti-Gaming Controls)</w:t>
      </w:r>
    </w:p>
    <w:p>
      <w:pPr>
        <w:numPr>
          <w:ilvl w:val="0"/>
          <w:numId w:val="1420"/>
        </w:numPr>
      </w:pPr>
      <w:r>
        <w:t xml:space="preserve">Appendix J (Pre-Registration Templates and Scoring Definitions)</w:t>
      </w:r>
    </w:p>
    <w:p>
      <w:pPr>
        <w:numPr>
          <w:ilvl w:val="0"/>
          <w:numId w:val="1420"/>
        </w:numPr>
      </w:pPr>
      <w:r>
        <w:t xml:space="preserve">Appendix AD (49-Cell Welfare Dictionary): canonical interpretive reference for cell meanings, scoring language, and reviewer checks. Subordinate to Appendix B equations and to all normative gates; governs scoring interpretation and reviewer literacy only. It does not control admissibility, thresholds, or claim boundaries.</w:t>
      </w:r>
    </w:p>
    <w:p>
      <w:pPr>
        <w:pStyle w:val="FirstParagraph"/>
      </w:pPr>
      <w:r>
        <w:t xml:space="preserve">Informative appendix status. Appendices P, P-2, Q, and S are worked-example, failure-path, sensitivity, or explanatory surfaces. Appendix AC houses this Specification Contract. These appendices may demonstrate and clarify current rules but do not override the main text or the controlling gate equations in Appendices B-D.</w:t>
      </w:r>
    </w:p>
    <w:p>
      <w:pPr>
        <w:numPr>
          <w:ilvl w:val="0"/>
          <w:numId w:val="1421"/>
        </w:numPr>
      </w:pPr>
      <w:r>
        <w:t xml:space="preserve">Examples, templates, and illustrative values (non-normative; includes Appendix K unless a future version explicitly elevates a named subsection)</w:t>
      </w:r>
    </w:p>
    <w:p>
      <w:pPr>
        <w:numPr>
          <w:ilvl w:val="0"/>
          <w:numId w:val="1421"/>
        </w:numPr>
      </w:pPr>
      <w:r>
        <w:t xml:space="preserve">Appendix O (Conformance Reference Map; informative pointer layer only)</w:t>
      </w:r>
    </w:p>
    <w:p>
      <w:pPr>
        <w:pStyle w:val="FirstParagraph"/>
      </w:pPr>
      <w:r>
        <w:t xml:space="preserve">Note (Informative). Version history and release notes are recorded in Appendix M and do not control normative meaning.</w:t>
      </w:r>
    </w:p>
    <w:p>
      <w:pPr>
        <w:pStyle w:val="BodyText"/>
      </w:pPr>
      <w:r>
        <w:t xml:space="preserve">Priority-direction note (Normative clarification). Item 1 is the highest controlling authority in this list. Higher-numbered items are subordinate to lower-numbered items. Appendix O is informative and cannot override any normative rule.</w:t>
      </w:r>
    </w:p>
    <w:bookmarkEnd w:id="631"/>
    <w:bookmarkStart w:id="632" w:name="Xa1bacb15b2dd88431edf467ec400ae84d52639b"/>
    <w:p>
      <w:pPr>
        <w:pStyle w:val="Heading2"/>
      </w:pPr>
      <w:r>
        <w:rPr>
          <w:bCs/>
          <w:b/>
        </w:rPr>
        <w:t xml:space="preserve">0.2 Tier contract and claims (v12.6 Canon line; Core Release 2026.09 package line) Tier 1-3: source-ready and procedurally reproducible within the declared profile and evidence boundary. Core operating-document pins are Canon v12.6 / SGP v8.5 / ripple.md v5.5 / Agent System v12.5 / Primer v4.4 / Aligners Sheet v5.6 / Cascade Standard v2.6 / CSV Gate Standard v2.4 / Reproducibility Standard v1.4 / WDBIP v1.6 / RLS Validation Protocol v2.6 / Public Introduction v12.6 / PC-AEP v2.3 / MFDI v2.3 / Source-Coupling Integrity Standard v2.3. The complete release inventory, including RLS Validation Workbook v0.3, machine interfaces, schemas, validators, examples, and release-support artifacts, is controlled by VERSION_MANIFEST.yaml and release/release_manifest.yml. Any conformance claim MUST pin the exact release ID, artifact versions, release manifest, and SHA-256 hashes. Tier 4: PROHIBITED to claim in this release (design target only). Any Tier-4 content remains informational architecture describing what becomes claimable only after ProofPack publication and independent replayability.</w:t>
      </w:r>
    </w:p>
    <w:bookmarkEnd w:id="632"/>
    <w:bookmarkStart w:id="633" w:name="X94000eef18cfeb4c3db73648db7bef9859ca124"/>
    <w:p>
      <w:pPr>
        <w:pStyle w:val="Heading2"/>
      </w:pPr>
      <w:r>
        <w:rPr>
          <w:bCs/>
          <w:b/>
        </w:rPr>
        <w:t xml:space="preserve">0.3 Conformance vocabulary (Normative) RippleLogic uses distinct predicates; implementations MUST NOT collapse them.</w:t>
      </w:r>
    </w:p>
    <w:p>
      <w:pPr>
        <w:numPr>
          <w:ilvl w:val="0"/>
          <w:numId w:val="1422"/>
        </w:numPr>
      </w:pPr>
      <w:r>
        <w:t xml:space="preserve">Rights-admissible: passes NCRC.</w:t>
      </w:r>
    </w:p>
    <w:p>
      <w:pPr>
        <w:numPr>
          <w:ilvl w:val="0"/>
          <w:numId w:val="1422"/>
        </w:numPr>
      </w:pPr>
      <w:r>
        <w:t xml:space="preserve">Admissible: the option has</w:t>
      </w:r>
      <w:r>
        <w:t xml:space="preserve"> </w:t>
      </w:r>
      <w:r>
        <w:rPr>
          <w:rStyle w:val="VerbatimChar"/>
        </w:rPr>
        <w:t xml:space="preserve">RG_status</w:t>
      </w:r>
      <w:r>
        <w:t xml:space="preserve"> </w:t>
      </w:r>
      <w:r>
        <w:t xml:space="preserve">in {</w:t>
      </w:r>
      <w:r>
        <w:rPr>
          <w:rStyle w:val="VerbatimChar"/>
        </w:rPr>
        <w:t xml:space="preserve">RG_SUPPORTED</w:t>
      </w:r>
      <w:r>
        <w:t xml:space="preserve">,</w:t>
      </w:r>
      <w:r>
        <w:t xml:space="preserve"> </w:t>
      </w:r>
      <w:r>
        <w:rPr>
          <w:rStyle w:val="VerbatimChar"/>
        </w:rPr>
        <w:t xml:space="preserve">RG_NARROWED</w:t>
      </w:r>
      <w:r>
        <w:t xml:space="preserve">}, passes NCRC, and has</w:t>
      </w:r>
      <w:r>
        <w:t xml:space="preserve"> </w:t>
      </w:r>
      <w:r>
        <w:rPr>
          <w:rStyle w:val="VerbatimChar"/>
        </w:rPr>
        <w:t xml:space="preserve">TRC_status</w:t>
      </w:r>
      <w:r>
        <w:t xml:space="preserve"> </w:t>
      </w:r>
      <w:r>
        <w:t xml:space="preserve">in {</w:t>
      </w:r>
      <w:r>
        <w:rPr>
          <w:rStyle w:val="VerbatimChar"/>
        </w:rPr>
        <w:t xml:space="preserve">TRC_PASS</w:t>
      </w:r>
      <w:r>
        <w:t xml:space="preserve">,</w:t>
      </w:r>
      <w:r>
        <w:t xml:space="preserve"> </w:t>
      </w:r>
      <w:r>
        <w:rPr>
          <w:rStyle w:val="VerbatimChar"/>
        </w:rPr>
        <w:t xml:space="preserve">TRC_NOT_TRIGGERED</w:t>
      </w:r>
      <w:r>
        <w:t xml:space="preserve">}. Formally:</w:t>
      </w:r>
      <w:r>
        <w:t xml:space="preserve"> </w:t>
      </w:r>
      <w:r>
        <w:rPr>
          <w:rStyle w:val="VerbatimChar"/>
        </w:rPr>
        <w:t xml:space="preserve">Admissible(a) := RG_qualified(a) AND NCRC(a) AND TRC_qualified(a)</w:t>
      </w:r>
      <w:r>
        <w:t xml:space="preserve">. This is claim-bounded admissibility, not execution authority.</w:t>
      </w:r>
    </w:p>
    <w:p>
      <w:pPr>
        <w:numPr>
          <w:ilvl w:val="0"/>
          <w:numId w:val="1422"/>
        </w:numPr>
      </w:pPr>
      <w:r>
        <w:t xml:space="preserve">Selectable: admissible and has</w:t>
      </w:r>
      <w:r>
        <w:t xml:space="preserve"> </w:t>
      </w:r>
      <w:r>
        <w:rPr>
          <w:rStyle w:val="VerbatimChar"/>
        </w:rPr>
        <w:t xml:space="preserve">CSV_status</w:t>
      </w:r>
      <w:r>
        <w:t xml:space="preserve"> </w:t>
      </w:r>
      <w:r>
        <w:t xml:space="preserve">in {</w:t>
      </w:r>
      <w:r>
        <w:rPr>
          <w:rStyle w:val="VerbatimChar"/>
        </w:rPr>
        <w:t xml:space="preserve">CSV_PASS</w:t>
      </w:r>
      <w:r>
        <w:t xml:space="preserve">,</w:t>
      </w:r>
      <w:r>
        <w:t xml:space="preserve"> </w:t>
      </w:r>
      <w:r>
        <w:rPr>
          <w:rStyle w:val="VerbatimChar"/>
        </w:rPr>
        <w:t xml:space="preserve">CSV_PASS_WITH_CONTROLS</w:t>
      </w:r>
      <w:r>
        <w:t xml:space="preserve">,</w:t>
      </w:r>
      <w:r>
        <w:t xml:space="preserve"> </w:t>
      </w:r>
      <w:r>
        <w:rPr>
          <w:rStyle w:val="VerbatimChar"/>
        </w:rPr>
        <w:t xml:space="preserve">CSV_NOT_MATERIAL</w:t>
      </w:r>
      <w:r>
        <w:t xml:space="preserve">}. Controls are part of the option; removing them reopens CSV.</w:t>
      </w:r>
    </w:p>
    <w:p>
      <w:pPr>
        <w:numPr>
          <w:ilvl w:val="0"/>
          <w:numId w:val="1422"/>
        </w:numPr>
      </w:pPr>
      <w:r>
        <w:t xml:space="preserve">Selected: the final chosen option from the selectable set, either by ALLOW_FRAMEWORK_SELECTION when the framework selection path is decisive or by a separately disclosed AuthoritySelectionRecord when the framework refuses deterministic selection. A selected option MUST NOT be represented as a unique framework verdict when FrameworkVerdict is REFUSE_DETERMINISTIC_SELECTION.</w:t>
      </w:r>
    </w:p>
    <w:bookmarkEnd w:id="633"/>
    <w:bookmarkStart w:id="634" w:name="X6412772777bdad70201cc736916ace25fa6d1c5"/>
    <w:p>
      <w:pPr>
        <w:pStyle w:val="Heading2"/>
      </w:pPr>
      <w:r>
        <w:rPr>
          <w:bCs/>
          <w:b/>
        </w:rPr>
        <w:t xml:space="preserve">0.4 Consolidated symbols and core objects (Normative; v12.6, symbol set carried forward from v12.0) Terminology note (Normative). Since v11.0 and carried forward in v12.0, u indexes Union Scopes (short: Scopes). “Union(s)” remains an allowed legacy narrative alias. This clarification SHALL NOT change the meaning of u or cascade semantics. Machine-readable surfaces SHOULD prefer UnionScope / UnionScopes as the canonical identifier family; Union remains a permitted human-readable alias in prose and UI text.</w:t>
      </w:r>
    </w:p>
    <w:p>
      <w:pPr>
        <w:pStyle w:val="FirstParagraph"/>
      </w:pPr>
      <w:r>
        <w:t xml:space="preserve">Table 0-1. Indices and core symbols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Symbol</w:t>
            </w:r>
          </w:p>
        </w:tc>
        <w:tc>
          <w:tcPr>
            <w:shd w:val="clear" w:color="auto" w:fill="D9EAF7"/>
            <w:vAlign w:val="center"/>
          </w:tcPr>
          <w:p>
            <w:pPr>
              <w:pStyle w:val="Compact"/>
              <w:jc w:val="left"/>
            </w:pPr>
            <w:r>
              <w:rPr>
                <w:bCs/>
                <w:b/>
                <w:color w:val="17365D"/>
              </w:rPr>
              <w:t xml:space="preserve">Meaning</w:t>
            </w:r>
          </w:p>
        </w:tc>
      </w:tr>
      <w:tr>
        <w:tc>
          <w:tcPr>
            <w:vAlign w:val="top"/>
          </w:tcPr>
          <w:p>
            <w:pPr>
              <w:pStyle w:val="Compact"/>
              <w:jc w:val="left"/>
            </w:pPr>
            <w:r>
              <w:t xml:space="preserve">u ∈ {1,…,7}</w:t>
            </w:r>
          </w:p>
        </w:tc>
        <w:tc>
          <w:tcPr>
            <w:vAlign w:val="top"/>
          </w:tcPr>
          <w:p>
            <w:pPr>
              <w:pStyle w:val="Compact"/>
              <w:jc w:val="left"/>
            </w:pPr>
            <w:r>
              <w:t xml:space="preserve">Union Scope (Scope) index (legacy alias: union)</w:t>
            </w:r>
          </w:p>
        </w:tc>
      </w:tr>
      <w:tr>
        <w:tc>
          <w:tcPr>
            <w:shd w:val="clear" w:color="auto" w:fill="F7FBFE"/>
            <w:vAlign w:val="top"/>
          </w:tcPr>
          <w:p>
            <w:pPr>
              <w:pStyle w:val="Compact"/>
              <w:jc w:val="left"/>
            </w:pPr>
            <w:r>
              <w:t xml:space="preserve">d ∈ {1,…,7}</w:t>
            </w:r>
          </w:p>
        </w:tc>
        <w:tc>
          <w:tcPr>
            <w:shd w:val="clear" w:color="auto" w:fill="F7FBFE"/>
            <w:vAlign w:val="top"/>
          </w:tcPr>
          <w:p>
            <w:pPr>
              <w:pStyle w:val="Compact"/>
              <w:jc w:val="left"/>
            </w:pPr>
            <w:r>
              <w:t xml:space="preserve">Dimension index</w:t>
            </w:r>
          </w:p>
        </w:tc>
      </w:tr>
      <w:tr>
        <w:tc>
          <w:tcPr>
            <w:vAlign w:val="top"/>
          </w:tcPr>
          <w:p>
            <w:pPr>
              <w:pStyle w:val="Compact"/>
              <w:jc w:val="left"/>
            </w:pPr>
            <w:r>
              <w:t xml:space="preserve">a ∈ O</w:t>
            </w:r>
          </w:p>
        </w:tc>
        <w:tc>
          <w:tcPr>
            <w:vAlign w:val="top"/>
          </w:tcPr>
          <w:p>
            <w:pPr>
              <w:pStyle w:val="Compact"/>
              <w:jc w:val="left"/>
            </w:pPr>
            <w:r>
              <w:t xml:space="preserve">Candidate option</w:t>
            </w:r>
          </w:p>
        </w:tc>
      </w:tr>
      <w:tr>
        <w:tc>
          <w:tcPr>
            <w:shd w:val="clear" w:color="auto" w:fill="F7FBFE"/>
            <w:vAlign w:val="top"/>
          </w:tcPr>
          <w:p>
            <w:pPr>
              <w:pStyle w:val="Compact"/>
              <w:jc w:val="left"/>
            </w:pPr>
            <w:r>
              <w:t xml:space="preserve">s ∈ S</w:t>
            </w:r>
          </w:p>
        </w:tc>
        <w:tc>
          <w:tcPr>
            <w:shd w:val="clear" w:color="auto" w:fill="F7FBFE"/>
            <w:vAlign w:val="top"/>
          </w:tcPr>
          <w:p>
            <w:pPr>
              <w:pStyle w:val="Compact"/>
              <w:jc w:val="left"/>
            </w:pPr>
            <w:r>
              <w:t xml:space="preserve">Scenario index</w:t>
            </w:r>
          </w:p>
        </w:tc>
      </w:tr>
      <w:tr>
        <w:tc>
          <w:tcPr>
            <w:vAlign w:val="top"/>
          </w:tcPr>
          <w:p>
            <w:pPr>
              <w:pStyle w:val="Compact"/>
              <w:jc w:val="left"/>
            </w:pPr>
            <w:r>
              <w:t xml:space="preserve">r ∈ R</w:t>
            </w:r>
          </w:p>
        </w:tc>
        <w:tc>
          <w:tcPr>
            <w:vAlign w:val="top"/>
          </w:tcPr>
          <w:p>
            <w:pPr>
              <w:pStyle w:val="Compact"/>
              <w:jc w:val="left"/>
            </w:pPr>
            <w:r>
              <w:t xml:space="preserve">Right index</w:t>
            </w:r>
          </w:p>
        </w:tc>
      </w:tr>
      <w:tr>
        <w:tc>
          <w:tcPr>
            <w:shd w:val="clear" w:color="auto" w:fill="F7FBFE"/>
            <w:vAlign w:val="top"/>
          </w:tcPr>
          <w:p>
            <w:pPr>
              <w:pStyle w:val="Compact"/>
              <w:jc w:val="left"/>
            </w:pPr>
            <w:r>
              <w:t xml:space="preserve">k</w:t>
            </w:r>
          </w:p>
        </w:tc>
        <w:tc>
          <w:tcPr>
            <w:shd w:val="clear" w:color="auto" w:fill="F7FBFE"/>
            <w:vAlign w:val="top"/>
          </w:tcPr>
          <w:p>
            <w:pPr>
              <w:pStyle w:val="Compact"/>
              <w:jc w:val="left"/>
            </w:pPr>
            <w:r>
              <w:t xml:space="preserve">Impact instance index</w:t>
            </w:r>
          </w:p>
        </w:tc>
      </w:tr>
      <w:tr>
        <w:tc>
          <w:tcPr>
            <w:vAlign w:val="top"/>
          </w:tcPr>
          <w:p>
            <w:pPr>
              <w:pStyle w:val="Compact"/>
              <w:jc w:val="left"/>
            </w:pPr>
            <w:r>
              <w:t xml:space="preserve">g ∈ G_{u,d}</w:t>
            </w:r>
          </w:p>
        </w:tc>
        <w:tc>
          <w:tcPr>
            <w:vAlign w:val="top"/>
          </w:tcPr>
          <w:p>
            <w:pPr>
              <w:pStyle w:val="Compact"/>
              <w:jc w:val="left"/>
            </w:pPr>
            <w:r>
              <w:t xml:space="preserve">Protected subgroup index (for rights checking)</w:t>
            </w:r>
          </w:p>
        </w:tc>
      </w:tr>
    </w:tbl>
    <w:p>
      <w:pPr>
        <w:pStyle w:val="BodyText"/>
      </w:pPr>
      <w:r>
        <w:t xml:space="preserve">Table 0-2. Core sets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Set</w:t>
            </w:r>
          </w:p>
        </w:tc>
        <w:tc>
          <w:tcPr>
            <w:shd w:val="clear" w:color="auto" w:fill="D9EAF7"/>
            <w:vAlign w:val="center"/>
          </w:tcPr>
          <w:p>
            <w:pPr>
              <w:pStyle w:val="Compact"/>
              <w:jc w:val="left"/>
            </w:pPr>
            <w:r>
              <w:rPr>
                <w:bCs/>
                <w:b/>
                <w:color w:val="17365D"/>
              </w:rPr>
              <w:t xml:space="preserve">Definition</w:t>
            </w:r>
          </w:p>
        </w:tc>
      </w:tr>
      <w:tr>
        <w:tc>
          <w:tcPr>
            <w:vAlign w:val="top"/>
          </w:tcPr>
          <w:p>
            <w:pPr>
              <w:pStyle w:val="Compact"/>
              <w:jc w:val="left"/>
            </w:pPr>
            <w:r>
              <w:t xml:space="preserve">U = {U₁,…,U₇}</w:t>
            </w:r>
          </w:p>
        </w:tc>
        <w:tc>
          <w:tcPr>
            <w:vAlign w:val="top"/>
          </w:tcPr>
          <w:p>
            <w:pPr>
              <w:pStyle w:val="Compact"/>
              <w:jc w:val="left"/>
            </w:pPr>
            <w:r>
              <w:t xml:space="preserve">Operational Scopes</w:t>
            </w:r>
          </w:p>
        </w:tc>
      </w:tr>
      <w:tr>
        <w:tc>
          <w:tcPr>
            <w:shd w:val="clear" w:color="auto" w:fill="F7FBFE"/>
            <w:vAlign w:val="top"/>
          </w:tcPr>
          <w:p>
            <w:pPr>
              <w:pStyle w:val="Compact"/>
              <w:jc w:val="left"/>
            </w:pPr>
            <w:r>
              <w:t xml:space="preserve">D = {D₁,…,D₇}</w:t>
            </w:r>
          </w:p>
        </w:tc>
        <w:tc>
          <w:tcPr>
            <w:shd w:val="clear" w:color="auto" w:fill="F7FBFE"/>
            <w:vAlign w:val="top"/>
          </w:tcPr>
          <w:p>
            <w:pPr>
              <w:pStyle w:val="Compact"/>
              <w:jc w:val="left"/>
            </w:pPr>
            <w:r>
              <w:t xml:space="preserve">Welfare dimensions</w:t>
            </w:r>
          </w:p>
        </w:tc>
      </w:tr>
      <w:tr>
        <w:tc>
          <w:tcPr>
            <w:vAlign w:val="top"/>
          </w:tcPr>
          <w:p>
            <w:pPr>
              <w:pStyle w:val="Compact"/>
              <w:jc w:val="left"/>
            </w:pPr>
            <w:r>
              <w:t xml:space="preserve">R</w:t>
            </w:r>
          </w:p>
        </w:tc>
        <w:tc>
          <w:tcPr>
            <w:vAlign w:val="top"/>
          </w:tcPr>
          <w:p>
            <w:pPr>
              <w:pStyle w:val="Compact"/>
              <w:jc w:val="left"/>
            </w:pPr>
            <w:r>
              <w:t xml:space="preserve">Rights set: {LIFE, BODY, LBTY, NEED, DIGN, PROC, INFO, ECOL}</w:t>
            </w:r>
          </w:p>
        </w:tc>
      </w:tr>
      <w:tr>
        <w:tc>
          <w:tcPr>
            <w:shd w:val="clear" w:color="auto" w:fill="F7FBFE"/>
            <w:vAlign w:val="top"/>
          </w:tcPr>
          <w:p>
            <w:pPr>
              <w:pStyle w:val="Compact"/>
              <w:jc w:val="left"/>
            </w:pPr>
            <w:r>
              <w:t xml:space="preserve">C_r ⊆ U×D</w:t>
            </w:r>
          </w:p>
        </w:tc>
        <w:tc>
          <w:tcPr>
            <w:shd w:val="clear" w:color="auto" w:fill="F7FBFE"/>
            <w:vAlign w:val="top"/>
          </w:tcPr>
          <w:p>
            <w:pPr>
              <w:pStyle w:val="Compact"/>
              <w:jc w:val="left"/>
            </w:pPr>
            <w:r>
              <w:t xml:space="preserve">Rights coverage sets</w:t>
            </w:r>
          </w:p>
        </w:tc>
      </w:tr>
      <w:tr>
        <w:tc>
          <w:tcPr>
            <w:vAlign w:val="top"/>
          </w:tcPr>
          <w:p>
            <w:pPr>
              <w:pStyle w:val="Compact"/>
              <w:jc w:val="left"/>
            </w:pPr>
            <w:r>
              <w:t xml:space="preserve">C_cat ⊆ U×D</w:t>
            </w:r>
          </w:p>
        </w:tc>
        <w:tc>
          <w:tcPr>
            <w:vAlign w:val="top"/>
          </w:tcPr>
          <w:p>
            <w:pPr>
              <w:pStyle w:val="Compact"/>
              <w:jc w:val="left"/>
            </w:pPr>
            <w:r>
              <w:t xml:space="preserve">Catastrophe cell set for TRC</w:t>
            </w:r>
          </w:p>
        </w:tc>
      </w:tr>
    </w:tbl>
    <w:p>
      <w:pPr>
        <w:pStyle w:val="BodyText"/>
      </w:pPr>
      <w:r>
        <w:t xml:space="preserve">Table 0-3. Welfare impact objects (all options a)</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Symbol</w:t>
            </w:r>
          </w:p>
        </w:tc>
        <w:tc>
          <w:tcPr>
            <w:shd w:val="clear" w:color="auto" w:fill="D9EAF7"/>
            <w:vAlign w:val="center"/>
          </w:tcPr>
          <w:p>
            <w:pPr>
              <w:pStyle w:val="Compact"/>
              <w:jc w:val="left"/>
            </w:pPr>
            <w:r>
              <w:rPr>
                <w:bCs/>
                <w:b/>
                <w:color w:val="17365D"/>
              </w:rPr>
              <w:t xml:space="preserve">Meaning</w:t>
            </w:r>
          </w:p>
        </w:tc>
        <w:tc>
          <w:tcPr>
            <w:shd w:val="clear" w:color="auto" w:fill="D9EAF7"/>
            <w:vAlign w:val="center"/>
          </w:tcPr>
          <w:p>
            <w:pPr>
              <w:pStyle w:val="Compact"/>
              <w:jc w:val="left"/>
            </w:pPr>
            <w:r>
              <w:rPr>
                <w:bCs/>
                <w:b/>
                <w:color w:val="17365D"/>
              </w:rPr>
              <w:t xml:space="preserve">Range</w:t>
            </w:r>
          </w:p>
        </w:tc>
      </w:tr>
      <w:tr>
        <w:tc>
          <w:tcPr>
            <w:vAlign w:val="top"/>
          </w:tcPr>
          <w:p>
            <w:pPr>
              <w:pStyle w:val="Compact"/>
              <w:jc w:val="left"/>
            </w:pPr>
            <w:r>
              <w:t xml:space="preserve">I_dir(u,d,a)</w:t>
            </w:r>
          </w:p>
        </w:tc>
        <w:tc>
          <w:tcPr>
            <w:vAlign w:val="top"/>
          </w:tcPr>
          <w:p>
            <w:pPr>
              <w:pStyle w:val="Compact"/>
              <w:jc w:val="left"/>
            </w:pPr>
            <w:r>
              <w:t xml:space="preserve">Direct impact (post-saturation)</w:t>
            </w:r>
          </w:p>
        </w:tc>
        <w:tc>
          <w:tcPr>
            <w:vAlign w:val="top"/>
          </w:tcPr>
          <w:p>
            <w:pPr>
              <w:pStyle w:val="Compact"/>
              <w:jc w:val="left"/>
            </w:pPr>
            <w:r>
              <w:t xml:space="preserve">[-1,+1]</w:t>
            </w:r>
          </w:p>
        </w:tc>
      </w:tr>
      <w:tr>
        <w:tc>
          <w:tcPr>
            <w:shd w:val="clear" w:color="auto" w:fill="F7FBFE"/>
            <w:vAlign w:val="top"/>
          </w:tcPr>
          <w:p>
            <w:pPr>
              <w:pStyle w:val="Compact"/>
              <w:jc w:val="left"/>
            </w:pPr>
            <w:r>
              <w:t xml:space="preserve">I_prop(u,d,a)</w:t>
            </w:r>
          </w:p>
        </w:tc>
        <w:tc>
          <w:tcPr>
            <w:shd w:val="clear" w:color="auto" w:fill="F7FBFE"/>
            <w:vAlign w:val="top"/>
          </w:tcPr>
          <w:p>
            <w:pPr>
              <w:pStyle w:val="Compact"/>
              <w:jc w:val="left"/>
            </w:pPr>
            <w:r>
              <w:t xml:space="preserve">Propagated impact (post-saturation)</w:t>
            </w:r>
          </w:p>
        </w:tc>
        <w:tc>
          <w:tcPr>
            <w:shd w:val="clear" w:color="auto" w:fill="F7FBFE"/>
            <w:vAlign w:val="top"/>
          </w:tcPr>
          <w:p>
            <w:pPr>
              <w:pStyle w:val="Compact"/>
              <w:jc w:val="left"/>
            </w:pPr>
            <w:r>
              <w:t xml:space="preserve">[-1,+1]</w:t>
            </w:r>
          </w:p>
        </w:tc>
      </w:tr>
      <w:tr>
        <w:tc>
          <w:tcPr>
            <w:vAlign w:val="top"/>
          </w:tcPr>
          <w:p>
            <w:pPr>
              <w:pStyle w:val="Compact"/>
              <w:jc w:val="left"/>
            </w:pPr>
            <w:r>
              <w:t xml:space="preserve">I_rights(u,d,a)</w:t>
            </w:r>
          </w:p>
        </w:tc>
        <w:tc>
          <w:tcPr>
            <w:vAlign w:val="top"/>
          </w:tcPr>
          <w:p>
            <w:pPr>
              <w:pStyle w:val="Compact"/>
              <w:jc w:val="left"/>
            </w:pPr>
            <w:r>
              <w:t xml:space="preserve">Rights worst-off subgroup impact</w:t>
            </w:r>
          </w:p>
        </w:tc>
        <w:tc>
          <w:tcPr>
            <w:vAlign w:val="top"/>
          </w:tcPr>
          <w:p>
            <w:pPr>
              <w:pStyle w:val="Compact"/>
              <w:jc w:val="left"/>
            </w:pPr>
            <w:r>
              <w:t xml:space="preserve">[-1,+1]</w:t>
            </w:r>
          </w:p>
        </w:tc>
      </w:tr>
    </w:tbl>
    <w:p>
      <w:pPr>
        <w:pStyle w:val="BodyText"/>
      </w:pPr>
      <w:r>
        <w:t xml:space="preserve">Table 0-4. Kernel, weights, and tail-risk symbols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Symbol</w:t>
            </w:r>
          </w:p>
        </w:tc>
        <w:tc>
          <w:tcPr>
            <w:shd w:val="clear" w:color="auto" w:fill="D9EAF7"/>
            <w:vAlign w:val="center"/>
          </w:tcPr>
          <w:p>
            <w:pPr>
              <w:pStyle w:val="Compact"/>
              <w:jc w:val="left"/>
            </w:pPr>
            <w:r>
              <w:rPr>
                <w:bCs/>
                <w:b/>
                <w:color w:val="17365D"/>
              </w:rPr>
              <w:t xml:space="preserve">Meaning</w:t>
            </w:r>
          </w:p>
        </w:tc>
        <w:tc>
          <w:tcPr>
            <w:shd w:val="clear" w:color="auto" w:fill="D9EAF7"/>
            <w:vAlign w:val="center"/>
          </w:tcPr>
          <w:p>
            <w:pPr>
              <w:pStyle w:val="Compact"/>
              <w:jc w:val="left"/>
            </w:pPr>
            <w:r>
              <w:rPr>
                <w:bCs/>
                <w:b/>
                <w:color w:val="17365D"/>
              </w:rPr>
              <w:t xml:space="preserve">Constraint / Notes</w:t>
            </w:r>
          </w:p>
        </w:tc>
      </w:tr>
      <w:tr>
        <w:tc>
          <w:tcPr>
            <w:vAlign w:val="top"/>
          </w:tcPr>
          <w:p>
            <w:pPr>
              <w:pStyle w:val="Compact"/>
              <w:jc w:val="left"/>
            </w:pPr>
            <w:r>
              <w:t xml:space="preserve">K ∈ ℝ^{49×49}</w:t>
            </w:r>
          </w:p>
        </w:tc>
        <w:tc>
          <w:tcPr>
            <w:vAlign w:val="top"/>
          </w:tcPr>
          <w:p>
            <w:pPr>
              <w:pStyle w:val="Compact"/>
              <w:jc w:val="left"/>
            </w:pPr>
            <w:r>
              <w:t xml:space="preserve">Ripple kernel matrix (sparse)</w:t>
            </w:r>
          </w:p>
        </w:tc>
        <w:tc>
          <w:tcPr>
            <w:vAlign w:val="top"/>
          </w:tcPr>
          <w:p>
            <w:pPr>
              <w:pStyle w:val="Compact"/>
              <w:jc w:val="left"/>
            </w:pPr>
            <w:r>
              <w:t xml:space="preserve">Convention: K_{ij} maps source j to target i (target-row, source-column)</w:t>
            </w:r>
          </w:p>
        </w:tc>
      </w:tr>
      <w:tr>
        <w:tc>
          <w:tcPr>
            <w:shd w:val="clear" w:color="auto" w:fill="F7FBFE"/>
            <w:vAlign w:val="top"/>
          </w:tcPr>
          <w:p>
            <w:pPr>
              <w:pStyle w:val="Compact"/>
              <w:jc w:val="left"/>
            </w:pPr>
            <w:r>
              <w:t xml:space="preserve">w_u</w:t>
            </w:r>
          </w:p>
        </w:tc>
        <w:tc>
          <w:tcPr>
            <w:shd w:val="clear" w:color="auto" w:fill="F7FBFE"/>
            <w:vAlign w:val="top"/>
          </w:tcPr>
          <w:p>
            <w:pPr>
              <w:pStyle w:val="Compact"/>
              <w:jc w:val="left"/>
            </w:pPr>
            <w:r>
              <w:t xml:space="preserve">Union weights</w:t>
            </w:r>
          </w:p>
        </w:tc>
        <w:tc>
          <w:tcPr>
            <w:shd w:val="clear" w:color="auto" w:fill="F7FBFE"/>
            <w:vAlign w:val="top"/>
          </w:tcPr>
          <w:p>
            <w:pPr>
              <w:pStyle w:val="Compact"/>
              <w:jc w:val="left"/>
            </w:pPr>
            <w:r>
              <w:t xml:space="preserve">w_u ≥ 0, Σ_u w_u = 1</w:t>
            </w:r>
          </w:p>
        </w:tc>
      </w:tr>
      <w:tr>
        <w:tc>
          <w:tcPr>
            <w:vAlign w:val="top"/>
          </w:tcPr>
          <w:p>
            <w:pPr>
              <w:pStyle w:val="Compact"/>
              <w:jc w:val="left"/>
            </w:pPr>
            <w:r>
              <w:t xml:space="preserve">v_d</w:t>
            </w:r>
          </w:p>
        </w:tc>
        <w:tc>
          <w:tcPr>
            <w:vAlign w:val="top"/>
          </w:tcPr>
          <w:p>
            <w:pPr>
              <w:pStyle w:val="Compact"/>
              <w:jc w:val="left"/>
            </w:pPr>
            <w:r>
              <w:t xml:space="preserve">Dimension weights</w:t>
            </w:r>
          </w:p>
        </w:tc>
        <w:tc>
          <w:tcPr>
            <w:vAlign w:val="top"/>
          </w:tcPr>
          <w:p>
            <w:pPr>
              <w:pStyle w:val="Compact"/>
              <w:jc w:val="left"/>
            </w:pPr>
            <w:r>
              <w:t xml:space="preserve">v_d ≥ 0, Σ_d v_d = 1</w:t>
            </w:r>
          </w:p>
        </w:tc>
      </w:tr>
      <w:tr>
        <w:tc>
          <w:tcPr>
            <w:shd w:val="clear" w:color="auto" w:fill="F7FBFE"/>
            <w:vAlign w:val="top"/>
          </w:tcPr>
          <w:p>
            <w:pPr>
              <w:pStyle w:val="Compact"/>
              <w:jc w:val="left"/>
            </w:pPr>
            <w:r>
              <w:t xml:space="preserve">m(u,d)</w:t>
            </w:r>
          </w:p>
        </w:tc>
        <w:tc>
          <w:tcPr>
            <w:shd w:val="clear" w:color="auto" w:fill="F7FBFE"/>
            <w:vAlign w:val="top"/>
          </w:tcPr>
          <w:p>
            <w:pPr>
              <w:pStyle w:val="Compact"/>
              <w:jc w:val="left"/>
            </w:pPr>
            <w:r>
              <w:t xml:space="preserve">Applicability mask</w:t>
            </w:r>
          </w:p>
        </w:tc>
        <w:tc>
          <w:tcPr>
            <w:shd w:val="clear" w:color="auto" w:fill="F7FBFE"/>
            <w:vAlign w:val="top"/>
          </w:tcPr>
          <w:p>
            <w:pPr>
              <w:pStyle w:val="Compact"/>
              <w:jc w:val="left"/>
            </w:pPr>
            <w:r>
              <w:t xml:space="preserve">m ∈ {0,1} (RLS aggregation only)</w:t>
            </w:r>
          </w:p>
        </w:tc>
      </w:tr>
      <w:tr>
        <w:tc>
          <w:tcPr>
            <w:vAlign w:val="top"/>
          </w:tcPr>
          <w:p>
            <w:pPr>
              <w:pStyle w:val="Compact"/>
              <w:jc w:val="left"/>
            </w:pPr>
            <w:r>
              <w:t xml:space="preserve">p_s</w:t>
            </w:r>
          </w:p>
        </w:tc>
        <w:tc>
          <w:tcPr>
            <w:vAlign w:val="top"/>
          </w:tcPr>
          <w:p>
            <w:pPr>
              <w:pStyle w:val="Compact"/>
              <w:jc w:val="left"/>
            </w:pPr>
            <w:r>
              <w:t xml:space="preserve">Scenario probabilities</w:t>
            </w:r>
          </w:p>
        </w:tc>
        <w:tc>
          <w:tcPr>
            <w:vAlign w:val="top"/>
          </w:tcPr>
          <w:p>
            <w:pPr>
              <w:pStyle w:val="Compact"/>
              <w:jc w:val="left"/>
            </w:pPr>
            <w:r>
              <w:t xml:space="preserve">p_s ≥ 0, Σ_s p_s = 1</w:t>
            </w:r>
          </w:p>
        </w:tc>
      </w:tr>
      <w:tr>
        <w:tc>
          <w:tcPr>
            <w:shd w:val="clear" w:color="auto" w:fill="F7FBFE"/>
            <w:vAlign w:val="top"/>
          </w:tcPr>
          <w:p>
            <w:pPr>
              <w:pStyle w:val="Compact"/>
              <w:jc w:val="left"/>
            </w:pPr>
            <w:r>
              <w:t xml:space="preserve">ω_c</w:t>
            </w:r>
          </w:p>
        </w:tc>
        <w:tc>
          <w:tcPr>
            <w:shd w:val="clear" w:color="auto" w:fill="F7FBFE"/>
            <w:vAlign w:val="top"/>
          </w:tcPr>
          <w:p>
            <w:pPr>
              <w:pStyle w:val="Compact"/>
              <w:jc w:val="left"/>
            </w:pPr>
            <w:r>
              <w:t xml:space="preserve">Catastrophe weights</w:t>
            </w:r>
          </w:p>
        </w:tc>
        <w:tc>
          <w:tcPr>
            <w:shd w:val="clear" w:color="auto" w:fill="F7FBFE"/>
            <w:vAlign w:val="top"/>
          </w:tcPr>
          <w:p>
            <w:pPr>
              <w:pStyle w:val="Compact"/>
              <w:jc w:val="left"/>
            </w:pPr>
            <w:r>
              <w:t xml:space="preserve">ω_c ≥ 0, Σ_{c∈C_cat} ω_c = 1</w:t>
            </w:r>
          </w:p>
        </w:tc>
      </w:tr>
      <w:tr>
        <w:tc>
          <w:tcPr>
            <w:vAlign w:val="top"/>
          </w:tcPr>
          <w:p>
            <w:pPr>
              <w:pStyle w:val="Compact"/>
              <w:jc w:val="left"/>
            </w:pPr>
            <w:r>
              <w:t xml:space="preserve">α</w:t>
            </w:r>
          </w:p>
        </w:tc>
        <w:tc>
          <w:tcPr>
            <w:vAlign w:val="top"/>
          </w:tcPr>
          <w:p>
            <w:pPr>
              <w:pStyle w:val="Compact"/>
              <w:jc w:val="left"/>
            </w:pPr>
            <w:r>
              <w:t xml:space="preserve">CVaR tail level</w:t>
            </w:r>
          </w:p>
        </w:tc>
        <w:tc>
          <w:tcPr>
            <w:vAlign w:val="top"/>
          </w:tcPr>
          <w:p>
            <w:pPr>
              <w:pStyle w:val="Compact"/>
              <w:jc w:val="left"/>
            </w:pPr>
            <w:r>
              <w:t xml:space="preserve">α ∈ (0,1)</w:t>
            </w:r>
          </w:p>
        </w:tc>
      </w:tr>
      <w:tr>
        <w:tc>
          <w:tcPr>
            <w:shd w:val="clear" w:color="auto" w:fill="F7FBFE"/>
            <w:vAlign w:val="top"/>
          </w:tcPr>
          <w:p>
            <w:pPr>
              <w:pStyle w:val="Compact"/>
              <w:jc w:val="left"/>
            </w:pPr>
            <w:r>
              <w:t xml:space="preserve">τ_TRC</w:t>
            </w:r>
          </w:p>
        </w:tc>
        <w:tc>
          <w:tcPr>
            <w:shd w:val="clear" w:color="auto" w:fill="F7FBFE"/>
            <w:vAlign w:val="top"/>
          </w:tcPr>
          <w:p>
            <w:pPr>
              <w:pStyle w:val="Compact"/>
              <w:jc w:val="left"/>
            </w:pPr>
            <w:r>
              <w:t xml:space="preserve">Corridor threshold</w:t>
            </w:r>
          </w:p>
        </w:tc>
        <w:tc>
          <w:tcPr>
            <w:shd w:val="clear" w:color="auto" w:fill="F7FBFE"/>
            <w:vAlign w:val="top"/>
          </w:tcPr>
          <w:p>
            <w:pPr>
              <w:pStyle w:val="Compact"/>
              <w:jc w:val="left"/>
            </w:pPr>
            <w:r>
              <w:t xml:space="preserve">τ_TRC ∈ (0,1]</w:t>
            </w:r>
          </w:p>
        </w:tc>
      </w:tr>
    </w:tbl>
    <w:p>
      <w:pPr>
        <w:pStyle w:val="BodyText"/>
      </w:pPr>
      <w:r>
        <w:t xml:space="preserve">Table 0-5. Structural metrics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Symbol</w:t>
            </w:r>
          </w:p>
        </w:tc>
        <w:tc>
          <w:tcPr>
            <w:shd w:val="clear" w:color="auto" w:fill="D9EAF7"/>
            <w:vAlign w:val="center"/>
          </w:tcPr>
          <w:p>
            <w:pPr>
              <w:pStyle w:val="Compact"/>
              <w:jc w:val="left"/>
            </w:pPr>
            <w:r>
              <w:rPr>
                <w:bCs/>
                <w:b/>
                <w:color w:val="17365D"/>
              </w:rPr>
              <w:t xml:space="preserve">Meaning</w:t>
            </w:r>
          </w:p>
        </w:tc>
        <w:tc>
          <w:tcPr>
            <w:shd w:val="clear" w:color="auto" w:fill="D9EAF7"/>
            <w:vAlign w:val="center"/>
          </w:tcPr>
          <w:p>
            <w:pPr>
              <w:pStyle w:val="Compact"/>
              <w:jc w:val="left"/>
            </w:pPr>
            <w:r>
              <w:rPr>
                <w:bCs/>
                <w:b/>
                <w:color w:val="17365D"/>
              </w:rPr>
              <w:t xml:space="preserve">Range</w:t>
            </w:r>
          </w:p>
        </w:tc>
      </w:tr>
      <w:tr>
        <w:tc>
          <w:tcPr>
            <w:vAlign w:val="top"/>
          </w:tcPr>
          <w:p>
            <w:pPr>
              <w:pStyle w:val="Compact"/>
              <w:jc w:val="left"/>
            </w:pPr>
            <w:r>
              <w:t xml:space="preserve">UCI_u</w:t>
            </w:r>
          </w:p>
        </w:tc>
        <w:tc>
          <w:tcPr>
            <w:vAlign w:val="top"/>
          </w:tcPr>
          <w:p>
            <w:pPr>
              <w:pStyle w:val="Compact"/>
              <w:jc w:val="left"/>
            </w:pPr>
            <w:r>
              <w:t xml:space="preserve">Union Coherence Index for scope u</w:t>
            </w:r>
          </w:p>
        </w:tc>
        <w:tc>
          <w:tcPr>
            <w:vAlign w:val="top"/>
          </w:tcPr>
          <w:p>
            <w:pPr>
              <w:pStyle w:val="Compact"/>
              <w:jc w:val="left"/>
            </w:pPr>
            <w:r>
              <w:t xml:space="preserve">[0,1]</w:t>
            </w:r>
          </w:p>
        </w:tc>
      </w:tr>
      <w:tr>
        <w:tc>
          <w:tcPr>
            <w:shd w:val="clear" w:color="auto" w:fill="F7FBFE"/>
            <w:vAlign w:val="top"/>
          </w:tcPr>
          <w:p>
            <w:pPr>
              <w:pStyle w:val="Compact"/>
              <w:jc w:val="left"/>
            </w:pPr>
            <w:r>
              <w:t xml:space="preserve">ΔUCI_u(a)</w:t>
            </w:r>
          </w:p>
        </w:tc>
        <w:tc>
          <w:tcPr>
            <w:shd w:val="clear" w:color="auto" w:fill="F7FBFE"/>
            <w:vAlign w:val="top"/>
          </w:tcPr>
          <w:p>
            <w:pPr>
              <w:pStyle w:val="Compact"/>
              <w:jc w:val="left"/>
            </w:pPr>
            <w:r>
              <w:t xml:space="preserve">UCI_u(a) − UCI_u(baseline)</w:t>
            </w:r>
          </w:p>
        </w:tc>
        <w:tc>
          <w:tcPr>
            <w:shd w:val="clear" w:color="auto" w:fill="F7FBFE"/>
            <w:vAlign w:val="top"/>
          </w:tcPr>
          <w:p>
            <w:pPr>
              <w:pStyle w:val="Compact"/>
              <w:jc w:val="left"/>
            </w:pPr>
            <w:r>
              <w:t xml:space="preserve">[-1,+1]</w:t>
            </w:r>
          </w:p>
        </w:tc>
      </w:tr>
      <w:tr>
        <w:tc>
          <w:tcPr>
            <w:vAlign w:val="top"/>
          </w:tcPr>
          <w:p>
            <w:pPr>
              <w:pStyle w:val="Compact"/>
              <w:jc w:val="left"/>
            </w:pPr>
            <w:r>
              <w:t xml:space="preserve">HOI</w:t>
            </w:r>
          </w:p>
        </w:tc>
        <w:tc>
          <w:tcPr>
            <w:vAlign w:val="top"/>
          </w:tcPr>
          <w:p>
            <w:pPr>
              <w:pStyle w:val="Compact"/>
              <w:jc w:val="left"/>
            </w:pPr>
            <w:r>
              <w:t xml:space="preserve">Hollowing-Out Index (monitoring diagnostic)</w:t>
            </w:r>
          </w:p>
        </w:tc>
        <w:tc>
          <w:tcPr>
            <w:vAlign w:val="top"/>
          </w:tcPr>
          <w:p>
            <w:pPr>
              <w:pStyle w:val="Compact"/>
              <w:jc w:val="left"/>
            </w:pPr>
            <w:r>
              <w:t xml:space="preserve">unbounded</w:t>
            </w:r>
          </w:p>
        </w:tc>
      </w:tr>
    </w:tbl>
    <w:bookmarkEnd w:id="634"/>
    <w:bookmarkStart w:id="635" w:name="X019e10553c3971f975391848d04eeec38d52615"/>
    <w:p>
      <w:pPr>
        <w:pStyle w:val="Heading2"/>
      </w:pPr>
      <w:r>
        <w:rPr>
          <w:bCs/>
          <w:b/>
        </w:rPr>
        <w:t xml:space="preserve">0.5 Version commitments (Normative; v12.6) The canonical welfare impact scale is [-1,+1] with Baseline-Zero Rule (Section 5). Optional UI scale conversion (non-normative): If a user interface uses a percent-like scale, map the canonical cell impact I(u,d,a) ∈ [-1,+1] to UI points via: points = 100 × I. All admissibility gates (NCRC, TRC, CSV) and RLS calculations MUST be performed on the canonical [-1,+1] scale, or be converted back exactly before computation. Tier 1-3 TRC uses bounded-impact loss (Section 8). Tier 4 is design target only; no Tier-4 claims permitted until ProofPack is publicly replayable. UCI components that are genuinely inapplicable are marked NA, excluded, and the remaining weights are renormalized. For Self (U₁), Equity is ordinarily NA unless a governed within-self equity instrument is declared. For Biosphere (U₇), Equity is ordinarily NA unless a governed ecological-distribution or ecological-justice instrument is declared. Missing evidence for an applicable component is UNKNOWN, not NA or a fixed perfect score.</w:t>
      </w:r>
    </w:p>
    <w:p>
      <w:pPr>
        <w:pStyle w:val="FirstParagraph"/>
      </w:pPr>
      <w:r>
        <w:t xml:space="preserve">Patch-line interpretation (Normative clarification). References in section headings or appendix titles to v12.0, v12.1, v12.2, v12.4, or v12.4 are origin and lineage labels when explicitly marked historical, lineage, carried-forward, or superseded. Unless a rule explicitly names a different controlling version, active normative rules in this artifact apply under the v12.6 line. Same-version hardening MUST preserve the cascade architecture unless an explicit versioned change states otherwise.</w:t>
      </w:r>
    </w:p>
    <w:bookmarkEnd w:id="635"/>
    <w:bookmarkStart w:id="636" w:name="X4b5ca3b095e1a7dc5501bd6b65d3d45994f71c6"/>
    <w:p>
      <w:pPr>
        <w:pStyle w:val="Heading2"/>
      </w:pPr>
      <w:r>
        <w:rPr>
          <w:bCs/>
          <w:b/>
        </w:rPr>
        <w:t xml:space="preserve">0.6 Single Canonical Artifact Rule (Normative; v12.6)</w:t>
      </w:r>
    </w:p>
    <w:p>
      <w:pPr>
        <w:pStyle w:val="FirstParagraph"/>
      </w:pPr>
      <w:r>
        <w:t xml:space="preserve">This document is the single canonical RippleLogic Canon for v12.6. Any copy labeled “final,” “regen,” “patched,” “draft,” “fork,” or similar is non-canonical unless it is byte-identical to this artifact. Implementations, manifests, validators, ProofPacks, and downstream specifications MUST pin to the canonical artifact (filename + hash in the release manifest) and MUST NOT treat variant text as authoritative.</w:t>
      </w:r>
    </w:p>
    <w:p>
      <w:pPr>
        <w:pStyle w:val="BodyText"/>
      </w:pPr>
      <w:r>
        <w:t xml:space="preserve">Retirement clause (Normative). Any artifact labeled v12.6 that is not byte-identical to this canonical artifact is RETIRED and MUST NOT be used as a source of truth for v12.6 interpretation or a v12.6 conformance claim. Prior v12.4, v12.4, v12.2, v12.1, v12.0, and v11.x artifacts remain lineage artifacts only.</w:t>
      </w:r>
    </w:p>
    <w:p>
      <w:pPr>
        <w:pStyle w:val="BodyText"/>
      </w:pPr>
      <w:r>
        <w:t xml:space="preserve">Integrity note (Informative). The canonical hash MUST be published in a sibling release manifest rather than embedded in the document body, because any edit changes the byte stream.</w:t>
      </w:r>
    </w:p>
    <w:p>
      <w:pPr>
        <w:pStyle w:val="BodyText"/>
      </w:pPr>
      <w:r>
        <w:t xml:space="preserve">Canonical source designation (Normative). RippleLogic_v12.6_Canon.md is the canonical repository text source for this Foundation Paper. DOCX files are synchronized human-readable publication renderings, and any PDF distributed with the release is a derived render for reading and review. The release manifest identifies the exact byte streams shipped in a release. If Markdown and DOCX/PDF text diverge, the discrepancy is a release defect and the Markdown source governs until synchronized renderings are regenerated.</w:t>
      </w:r>
    </w:p>
    <w:bookmarkEnd w:id="636"/>
    <w:bookmarkStart w:id="637" w:name="X749d4d509faba313ca6086ca9661de450e1b7a4"/>
    <w:p>
      <w:pPr>
        <w:pStyle w:val="Heading2"/>
      </w:pPr>
      <w:r>
        <w:rPr>
          <w:bCs/>
          <w:b/>
        </w:rPr>
        <w:t xml:space="preserve">0.7 License, Attribution, and Marks (Informative)</w:t>
      </w:r>
    </w:p>
    <w:p>
      <w:pPr>
        <w:pStyle w:val="FirstParagraph"/>
      </w:pPr>
      <w:r>
        <w:t xml:space="preserve">License (Informative). The v12.6 release package, including this Canon, documentation, code, schemas, templates, and test fixtures, is distributed under the Apache License 2.0 unless a future file carries an explicit SPDX exception. Attribution: cite this document by canonical filename + SHA-256 and credit James McGaughran (originator / system architect). Marks: “RippleLogic” and “MathGov” may be used to describe compatible implementations, but trademark or branding use is governed separately by the project’s published brand guidelines when available.</w:t>
      </w:r>
    </w:p>
    <w:bookmarkEnd w:id="637"/>
    <w:bookmarkStart w:id="638" w:name="X999d424caeaf3bd63b3aaeed32a407eb0f4c8b8"/>
    <w:p>
      <w:pPr>
        <w:pStyle w:val="Heading2"/>
      </w:pPr>
      <w:r>
        <w:rPr>
          <w:bCs/>
          <w:b/>
        </w:rPr>
        <w:t xml:space="preserve">0.8 Release Packaging and Integrity Manifests (Informative)</w:t>
      </w:r>
    </w:p>
    <w:p>
      <w:pPr>
        <w:pStyle w:val="FirstParagraph"/>
      </w:pPr>
      <w:r>
        <w:t xml:space="preserve">Recommended release bundle (Informative). Publish (i) the canonical DOCX/PDF, (ii) a SHA-256 manifest file (for example, RippleLogic_&lt;version&gt;.sha256) listing hashes for each artifact, (iii) a machine-readable release manifest when available (for example YAML), and (iv) optional signatures. The manifest is the stable anchor for byte identity, while the document remains human-readable and editable without self-referential hashing issues. To avoid self-reference problems, a checksum manifest SHOULD hash the release artifacts and MAY omit its own file unless a separate detached signature or higher-level release record governs it.</w:t>
      </w:r>
    </w:p>
    <w:bookmarkEnd w:id="638"/>
    <w:bookmarkEnd w:id="639"/>
    <w:bookmarkStart w:id="657" w:name="Xd32fa001e7c263f89bd9f422387ef16a55f9cbc"/>
    <w:p>
      <w:pPr>
        <w:pStyle w:val="Heading1"/>
      </w:pPr>
      <w:bookmarkStart w:id="817" w:name="mg_toc_053"/>
      <w:r>
        <w:rPr>
          <w:bCs/>
          <w:b/>
        </w:rPr>
        <w:t xml:space="preserve">APPENDIX AD: 49-CELL WELFARE DICTIONARY (CANONICAL INTERPRETIVE REFERENCE)</w:t>
      </w:r>
      <w:bookmarkEnd w:id="817"/>
    </w:p>
    <w:p>
      <w:pPr>
        <w:pStyle w:val="FirstParagraph"/>
      </w:pPr>
      <w:r>
        <w:t xml:space="preserve">Tooling warning (Normative for implementation). Tooling MUST source rights coverage from Section 7.2 / Appendix C.2 and catastrophe cells from Section 8.2, never from Appendix AD icons. Appendix AD icons are interpretive cues, not machine-authoritative gate definitions.</w:t>
      </w:r>
    </w:p>
    <w:p>
      <w:pPr>
        <w:pStyle w:val="BodyText"/>
      </w:pPr>
      <w:r>
        <w:t xml:space="preserve">Status and boundaries. Appendix AD is the canonical interpretive reference for welfare-cell meanings, baseline-relative scoring language, evidence literacy, and reviewer checks. It is binding for interpreting what each Scope × Dimension cell is about. Its examples, indicator lists, and gate-relevance tags are illustrative and non-exhaustive. Appendix AD does not modify the cascade, equations, NCRC, TRC, CSV, RLS, UCI/HOI, HDW, SGP, PCC, RSP/RefStructRecord, thresholds, or claim boundaries. Gate tags are contextual cues for evaluators, not automated verdicts; admissibility is determined only by running the full cascade against declared evidence in the governed system.</w:t>
      </w:r>
    </w:p>
    <w:p>
      <w:pPr>
        <w:pStyle w:val="BodyText"/>
      </w:pPr>
      <w:r>
        <w:t xml:space="preserve">The welfare matrix is the surface RLS ranks on: seven union scopes (U1–U7) × seven welfare dimensions (D1–D7), giving forty-nine accountability domains.</w:t>
      </w:r>
    </w:p>
    <w:p>
      <w:pPr>
        <w:pStyle w:val="BodyText"/>
      </w:pPr>
      <w:r>
        <w:t xml:space="preserve">The 49-cell welfare matrix is a proposed minimal conceptual covering set for systematic welfare-impact review. It is not yet an empirically validated universal measurement ontology, and the seven dimensions are not assumed to be statistically independent. Each cell is scored on a canonical −1 to +1 scale, relative to a declared baseline. A cell score is a claim, not a vibe: it asserts what changes, for whom, how strongly, on what evidence, and under what uncertainty.</w:t>
      </w:r>
    </w:p>
    <w:p>
      <w:pPr>
        <w:pStyle w:val="BodyText"/>
      </w:pPr>
      <w:r>
        <w:t xml:space="preserve">Scale. +1 strong benefit, +0.5 moderate benefit, 0 no material change from baseline — never “unknown”, −0.5 moderate harm, −1 severe harm. Where an impact is not known, the cell is marked unknown, disclosed, and escalated where gate-relevant.</w:t>
      </w:r>
    </w:p>
    <w:p>
      <w:pPr>
        <w:pStyle w:val="BodyText"/>
      </w:pPr>
      <w:r>
        <w:t xml:space="preserve">Ordering. Welfare scoring is the last step, not the first. The cascade is sequenced as Reality Grounding → Rights Floor → TRC → CSV → RLS — and an option is ranked across these cells only after it has cleared the rights, tail-risk, and CSV gates. No welfare score rescues an option that failed an earlier gate.</w:t>
      </w:r>
    </w:p>
    <w:p>
      <w:pPr>
        <w:pStyle w:val="BodyText"/>
      </w:pPr>
      <w:r>
        <w:t xml:space="preserve">Gate-relevance key. Tags below indicate where a cell may become relevant to a gate in a real run; they are contextual cues, not fixed classifications, and do not replace a canonical evaluation. Canonical rights coverage set C_r and declared catastrophe cell set C_cat, not the icon labels alone, control non-maskability and gate status.</w:t>
      </w:r>
    </w:p>
    <w:p>
      <w:pPr>
        <w:pStyle w:val="BodyText"/>
      </w:pPr>
      <w:r>
        <w:t xml:space="preserve">⚖ Rights-relevance cue — may require NCRC review when the cell lies in the canonical or governed rights coverage set C_r, or when the PCC declares a rights-relevant extension. The canonical C_r, not this icon alone, controls rights-covered status and non-maskability.</w:t>
      </w:r>
    </w:p>
    <w:p>
      <w:pPr>
        <w:pStyle w:val="BodyText"/>
      </w:pPr>
      <w:r>
        <w:t xml:space="preserve">⚠ Tail-risk relevance cue — may require TRC review when the cell lies in the declared catastrophe cell set C_cat, or when catastrophe relevance is otherwise triggered. The declared C_cat and TRC trigger rules, not this icon alone, control catastrophe-cell status and non-maskability.</w:t>
      </w:r>
    </w:p>
    <w:p>
      <w:pPr>
        <w:pStyle w:val="BodyText"/>
      </w:pPr>
      <w:r>
        <w:t xml:space="preserve">⛓ Containment-relevant — a local gain may degrade the wider scopes the decision depends on; checked before RLS.</w:t>
      </w:r>
    </w:p>
    <w:p>
      <w:pPr>
        <w:pStyle w:val="BodyText"/>
      </w:pPr>
      <w:r>
        <w:t xml:space="preserve">◌ Ordinary welfare — ranked by RLS once RF/NCRC, TRC, and CSV are cleared.</w:t>
      </w:r>
    </w:p>
    <w:p>
      <w:pPr>
        <w:pStyle w:val="BodyText"/>
      </w:pPr>
      <w:r>
        <w:t xml:space="preserve">? Uncertain — evidence weak or contested; mark, disclose, and escalate if gate-relevant.</w:t>
      </w:r>
    </w:p>
    <w:bookmarkStart w:id="656" w:name="ad1-tabular-dictionary"/>
    <w:p>
      <w:pPr>
        <w:pStyle w:val="Heading2"/>
      </w:pPr>
      <w:r>
        <w:rPr>
          <w:bCs/>
          <w:b/>
        </w:rPr>
        <w:t xml:space="preserve">AD.1 Tabular dictionary</w:t>
      </w:r>
    </w:p>
    <w:p>
      <w:pPr>
        <w:pStyle w:val="FirstParagraph"/>
      </w:pPr>
      <w:r>
        <w:t xml:space="preserve">Appendix AD now presents the complete 49-cell dictionary in two layers: first a full 7 x 7 orientation map, then detailed Union Scope tables for meaning, positive/negative movement, evidence, gate cues, examples, and reviewer checks. This preserves the full Appendix AD cell structure while making the text easier to read in DOCX, PDF, and GitHub views.</w:t>
      </w:r>
    </w:p>
    <w:p>
      <w:pPr>
        <w:pStyle w:val="BodyText"/>
      </w:pPr>
      <w:r>
        <w:rPr>
          <w:bCs/>
          <w:b/>
        </w:rPr>
        <w:t xml:space="preserve">Reading rule.</w:t>
      </w:r>
      <w:r>
        <w:t xml:space="preserve"> </w:t>
      </w:r>
      <w:r>
        <w:t xml:space="preserve">A cell score is baseline-relative.</w:t>
      </w:r>
      <w:r>
        <w:t xml:space="preserve"> </w:t>
      </w:r>
      <w:r>
        <w:rPr>
          <w:rStyle w:val="VerbatimChar"/>
        </w:rPr>
        <w:t xml:space="preserve">+ Benefit</w:t>
      </w:r>
      <w:r>
        <w:t xml:space="preserve"> </w:t>
      </w:r>
      <w:r>
        <w:t xml:space="preserve">and</w:t>
      </w:r>
      <w:r>
        <w:t xml:space="preserve"> </w:t>
      </w:r>
      <w:r>
        <w:rPr>
          <w:rStyle w:val="VerbatimChar"/>
        </w:rPr>
        <w:t xml:space="preserve">- Harm</w:t>
      </w:r>
      <w:r>
        <w:t xml:space="preserve"> </w:t>
      </w:r>
      <w:r>
        <w:t xml:space="preserve">describe the direction of movement.</w:t>
      </w:r>
      <w:r>
        <w:t xml:space="preserve"> </w:t>
      </w:r>
      <w:r>
        <w:rPr>
          <w:rStyle w:val="VerbatimChar"/>
        </w:rPr>
        <w:t xml:space="preserve">Evidence and gate cues</w:t>
      </w:r>
      <w:r>
        <w:t xml:space="preserve"> </w:t>
      </w:r>
      <w:r>
        <w:t xml:space="preserve">identifies typical evidence and possible gate relevance.</w:t>
      </w:r>
      <w:r>
        <w:t xml:space="preserve"> </w:t>
      </w:r>
      <w:r>
        <w:rPr>
          <w:rStyle w:val="VerbatimChar"/>
        </w:rPr>
        <w:t xml:space="preserve">Example and reviewer check</w:t>
      </w:r>
      <w:r>
        <w:t xml:space="preserve"> </w:t>
      </w:r>
      <w:r>
        <w:t xml:space="preserve">gives one example and the minimum challenge a reviewer should make. Gate cues are not verdicts; the canonical cascade remains controlling.</w:t>
      </w:r>
    </w:p>
    <w:p>
      <w:pPr>
        <w:pStyle w:val="BodyText"/>
      </w:pPr>
      <w:r>
        <w:rPr>
          <w:bCs/>
          <w:b/>
        </w:rPr>
        <w:t xml:space="preserve">Machine-readable companion.</w:t>
      </w:r>
      <w:r>
        <w:t xml:space="preserve"> </w:t>
      </w:r>
      <w:r>
        <w:t xml:space="preserve">The Canon keeps Appendix AD in human-readable split tables for document clarity. A synchronized one-row-per-cell companion is also shipped at</w:t>
      </w:r>
      <w:r>
        <w:t xml:space="preserve"> </w:t>
      </w:r>
      <w:r>
        <w:rPr>
          <w:rStyle w:val="VerbatimChar"/>
        </w:rPr>
        <w:t xml:space="preserve">docs/canon/AD_49_Cell_Welfare_Dictionary.csv</w:t>
      </w:r>
      <w:r>
        <w:t xml:space="preserve">. The CSV preserves the older wide-record strength for tooling, audits, and implementation work by keeping each welfare cell on one row with separate fields for meaning, benefit movement, harm movement, evidence, gate cues, example, and reviewer check. The Canon text remains controlling if any companion representation diverges.</w:t>
      </w:r>
    </w:p>
    <w:bookmarkStart w:id="640" w:name="X5d23e2fb2a0112b6f662e79706b48781bebbb5a"/>
    <w:p>
      <w:pPr>
        <w:pStyle w:val="Heading3"/>
      </w:pPr>
      <w:r>
        <w:rPr>
          <w:bCs/>
          <w:b/>
        </w:rPr>
        <w:t xml:space="preserve">AD.1A Full 49-cell map (all coordinates preserved)</w:t>
      </w:r>
    </w:p>
    <w:p>
      <w:pPr>
        <w:pStyle w:val="FirstParagraph"/>
      </w:pPr>
      <w:r>
        <w:t xml:space="preserve">This map restores the full 7 x 7 Appendix AD view in one table. Each of the 49 cells appears once. Use this table for orientation; use the detailed tables that follow for meanings, positive/negative movement, evidence, gate cues, examples, and reviewer checks.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990"/>
        <w:gridCol w:w="990"/>
        <w:gridCol w:w="990"/>
        <w:gridCol w:w="990"/>
        <w:gridCol w:w="990"/>
        <w:gridCol w:w="990"/>
        <w:gridCol w:w="990"/>
        <w:gridCol w:w="990"/>
      </w:tblGrid>
      <w:tr>
        <w:trPr>
          <w:tblHeader w:val="true"/>
        </w:trPr>
        <w:tc>
          <w:tcPr>
            <w:shd w:val="clear" w:color="auto" w:fill="D9EAF7"/>
            <w:vAlign w:val="center"/>
          </w:tcPr>
          <w:p>
            <w:pPr>
              <w:pStyle w:val="Compact"/>
              <w:jc w:val="left"/>
            </w:pPr>
            <w:r>
              <w:rPr>
                <w:bCs/>
                <w:b/>
                <w:color w:val="17365D"/>
              </w:rPr>
              <w:t xml:space="preserve">Union Scope</w:t>
            </w:r>
          </w:p>
        </w:tc>
        <w:tc>
          <w:tcPr>
            <w:shd w:val="clear" w:color="auto" w:fill="D9EAF7"/>
            <w:vAlign w:val="center"/>
          </w:tcPr>
          <w:p>
            <w:pPr>
              <w:pStyle w:val="Compact"/>
              <w:jc w:val="left"/>
            </w:pPr>
            <w:r>
              <w:rPr>
                <w:bCs/>
                <w:b/>
                <w:color w:val="17365D"/>
              </w:rPr>
              <w:t xml:space="preserve">D1 Material</w:t>
            </w:r>
          </w:p>
        </w:tc>
        <w:tc>
          <w:tcPr>
            <w:shd w:val="clear" w:color="auto" w:fill="D9EAF7"/>
            <w:vAlign w:val="center"/>
          </w:tcPr>
          <w:p>
            <w:pPr>
              <w:pStyle w:val="Compact"/>
              <w:jc w:val="left"/>
            </w:pPr>
            <w:r>
              <w:rPr>
                <w:bCs/>
                <w:b/>
                <w:color w:val="17365D"/>
              </w:rPr>
              <w:t xml:space="preserve">D2 Health</w:t>
            </w:r>
          </w:p>
        </w:tc>
        <w:tc>
          <w:tcPr>
            <w:shd w:val="clear" w:color="auto" w:fill="D9EAF7"/>
            <w:vAlign w:val="center"/>
          </w:tcPr>
          <w:p>
            <w:pPr>
              <w:pStyle w:val="Compact"/>
              <w:jc w:val="left"/>
            </w:pPr>
            <w:r>
              <w:rPr>
                <w:bCs/>
                <w:b/>
                <w:color w:val="17365D"/>
              </w:rPr>
              <w:t xml:space="preserve">D3 Social</w:t>
            </w:r>
          </w:p>
        </w:tc>
        <w:tc>
          <w:tcPr>
            <w:shd w:val="clear" w:color="auto" w:fill="D9EAF7"/>
            <w:vAlign w:val="center"/>
          </w:tcPr>
          <w:p>
            <w:pPr>
              <w:pStyle w:val="Compact"/>
              <w:jc w:val="left"/>
            </w:pPr>
            <w:r>
              <w:rPr>
                <w:bCs/>
                <w:b/>
                <w:color w:val="17365D"/>
              </w:rPr>
              <w:t xml:space="preserve">D4 Knowledge</w:t>
            </w:r>
          </w:p>
        </w:tc>
        <w:tc>
          <w:tcPr>
            <w:shd w:val="clear" w:color="auto" w:fill="D9EAF7"/>
            <w:vAlign w:val="center"/>
          </w:tcPr>
          <w:p>
            <w:pPr>
              <w:pStyle w:val="Compact"/>
              <w:jc w:val="left"/>
            </w:pPr>
            <w:r>
              <w:rPr>
                <w:bCs/>
                <w:b/>
                <w:color w:val="17365D"/>
              </w:rPr>
              <w:t xml:space="preserve">D5 Agency</w:t>
            </w:r>
          </w:p>
        </w:tc>
        <w:tc>
          <w:tcPr>
            <w:shd w:val="clear" w:color="auto" w:fill="D9EAF7"/>
            <w:vAlign w:val="center"/>
          </w:tcPr>
          <w:p>
            <w:pPr>
              <w:pStyle w:val="Compact"/>
              <w:jc w:val="left"/>
            </w:pPr>
            <w:r>
              <w:rPr>
                <w:bCs/>
                <w:b/>
                <w:color w:val="17365D"/>
              </w:rPr>
              <w:t xml:space="preserve">D6 Meaning</w:t>
            </w:r>
          </w:p>
        </w:tc>
        <w:tc>
          <w:tcPr>
            <w:shd w:val="clear" w:color="auto" w:fill="D9EAF7"/>
            <w:vAlign w:val="center"/>
          </w:tcPr>
          <w:p>
            <w:pPr>
              <w:pStyle w:val="Compact"/>
              <w:jc w:val="left"/>
            </w:pPr>
            <w:r>
              <w:rPr>
                <w:bCs/>
                <w:b/>
                <w:color w:val="17365D"/>
              </w:rPr>
              <w:t xml:space="preserve">D7 Environment</w:t>
            </w:r>
          </w:p>
        </w:tc>
      </w:tr>
      <w:tr>
        <w:tc>
          <w:tcPr>
            <w:vAlign w:val="top"/>
          </w:tcPr>
          <w:p>
            <w:pPr>
              <w:pStyle w:val="Compact"/>
              <w:jc w:val="left"/>
            </w:pPr>
            <w:r>
              <w:rPr>
                <w:bCs/>
                <w:b/>
              </w:rPr>
              <w:t xml:space="preserve">U1 Self</w:t>
            </w:r>
          </w:p>
        </w:tc>
        <w:tc>
          <w:tcPr>
            <w:vAlign w:val="top"/>
          </w:tcPr>
          <w:p>
            <w:pPr>
              <w:pStyle w:val="Compact"/>
              <w:jc w:val="left"/>
            </w:pPr>
            <w:r>
              <w:rPr>
                <w:bCs/>
                <w:b/>
              </w:rPr>
              <w:t xml:space="preserve">U1/D1</w:t>
            </w:r>
            <w:r>
              <w:t xml:space="preserve"> </w:t>
            </w:r>
            <w:r>
              <w:t xml:space="preserve">- Personal Resources</w:t>
            </w:r>
          </w:p>
        </w:tc>
        <w:tc>
          <w:tcPr>
            <w:vAlign w:val="top"/>
          </w:tcPr>
          <w:p>
            <w:pPr>
              <w:pStyle w:val="Compact"/>
              <w:jc w:val="left"/>
            </w:pPr>
            <w:r>
              <w:rPr>
                <w:bCs/>
                <w:b/>
              </w:rPr>
              <w:t xml:space="preserve">U1/D2</w:t>
            </w:r>
            <w:r>
              <w:t xml:space="preserve"> </w:t>
            </w:r>
            <w:r>
              <w:t xml:space="preserve">- Personal Health</w:t>
            </w:r>
          </w:p>
        </w:tc>
        <w:tc>
          <w:tcPr>
            <w:vAlign w:val="top"/>
          </w:tcPr>
          <w:p>
            <w:pPr>
              <w:pStyle w:val="Compact"/>
              <w:jc w:val="left"/>
            </w:pPr>
            <w:r>
              <w:rPr>
                <w:bCs/>
                <w:b/>
              </w:rPr>
              <w:t xml:space="preserve">U1/D3</w:t>
            </w:r>
            <w:r>
              <w:t xml:space="preserve"> </w:t>
            </w:r>
            <w:r>
              <w:t xml:space="preserve">- Relationships</w:t>
            </w:r>
          </w:p>
        </w:tc>
        <w:tc>
          <w:tcPr>
            <w:vAlign w:val="top"/>
          </w:tcPr>
          <w:p>
            <w:pPr>
              <w:pStyle w:val="Compact"/>
              <w:jc w:val="left"/>
            </w:pPr>
            <w:r>
              <w:rPr>
                <w:bCs/>
                <w:b/>
              </w:rPr>
              <w:t xml:space="preserve">U1/D4</w:t>
            </w:r>
            <w:r>
              <w:t xml:space="preserve"> </w:t>
            </w:r>
            <w:r>
              <w:t xml:space="preserve">- Learning</w:t>
            </w:r>
          </w:p>
        </w:tc>
        <w:tc>
          <w:tcPr>
            <w:vAlign w:val="top"/>
          </w:tcPr>
          <w:p>
            <w:pPr>
              <w:pStyle w:val="Compact"/>
              <w:jc w:val="left"/>
            </w:pPr>
            <w:r>
              <w:rPr>
                <w:bCs/>
                <w:b/>
              </w:rPr>
              <w:t xml:space="preserve">U1/D5</w:t>
            </w:r>
            <w:r>
              <w:t xml:space="preserve"> </w:t>
            </w:r>
            <w:r>
              <w:t xml:space="preserve">- Personal Agency</w:t>
            </w:r>
          </w:p>
        </w:tc>
        <w:tc>
          <w:tcPr>
            <w:vAlign w:val="top"/>
          </w:tcPr>
          <w:p>
            <w:pPr>
              <w:pStyle w:val="Compact"/>
              <w:jc w:val="left"/>
            </w:pPr>
            <w:r>
              <w:rPr>
                <w:bCs/>
                <w:b/>
              </w:rPr>
              <w:t xml:space="preserve">U1/D6</w:t>
            </w:r>
            <w:r>
              <w:t xml:space="preserve"> </w:t>
            </w:r>
            <w:r>
              <w:t xml:space="preserve">- Purpose</w:t>
            </w:r>
          </w:p>
        </w:tc>
        <w:tc>
          <w:tcPr>
            <w:vAlign w:val="top"/>
          </w:tcPr>
          <w:p>
            <w:pPr>
              <w:pStyle w:val="Compact"/>
              <w:jc w:val="left"/>
            </w:pPr>
            <w:r>
              <w:rPr>
                <w:bCs/>
                <w:b/>
              </w:rPr>
              <w:t xml:space="preserve">U1/D7</w:t>
            </w:r>
            <w:r>
              <w:t xml:space="preserve"> </w:t>
            </w:r>
            <w:r>
              <w:t xml:space="preserve">- Local Conditions</w:t>
            </w:r>
          </w:p>
        </w:tc>
      </w:tr>
      <w:tr>
        <w:tc>
          <w:tcPr>
            <w:shd w:val="clear" w:color="auto" w:fill="F7FBFE"/>
            <w:vAlign w:val="top"/>
          </w:tcPr>
          <w:p>
            <w:pPr>
              <w:pStyle w:val="Compact"/>
              <w:jc w:val="left"/>
            </w:pPr>
            <w:r>
              <w:rPr>
                <w:bCs/>
                <w:b/>
              </w:rPr>
              <w:t xml:space="preserve">U2 Household</w:t>
            </w:r>
          </w:p>
        </w:tc>
        <w:tc>
          <w:tcPr>
            <w:shd w:val="clear" w:color="auto" w:fill="F7FBFE"/>
            <w:vAlign w:val="top"/>
          </w:tcPr>
          <w:p>
            <w:pPr>
              <w:pStyle w:val="Compact"/>
              <w:jc w:val="left"/>
            </w:pPr>
            <w:r>
              <w:rPr>
                <w:bCs/>
                <w:b/>
              </w:rPr>
              <w:t xml:space="preserve">U2/D1</w:t>
            </w:r>
            <w:r>
              <w:t xml:space="preserve"> </w:t>
            </w:r>
            <w:r>
              <w:t xml:space="preserve">- Household Resources</w:t>
            </w:r>
          </w:p>
        </w:tc>
        <w:tc>
          <w:tcPr>
            <w:shd w:val="clear" w:color="auto" w:fill="F7FBFE"/>
            <w:vAlign w:val="top"/>
          </w:tcPr>
          <w:p>
            <w:pPr>
              <w:pStyle w:val="Compact"/>
              <w:jc w:val="left"/>
            </w:pPr>
            <w:r>
              <w:rPr>
                <w:bCs/>
                <w:b/>
              </w:rPr>
              <w:t xml:space="preserve">U2/D2</w:t>
            </w:r>
            <w:r>
              <w:t xml:space="preserve"> </w:t>
            </w:r>
            <w:r>
              <w:t xml:space="preserve">- Household Health</w:t>
            </w:r>
          </w:p>
        </w:tc>
        <w:tc>
          <w:tcPr>
            <w:shd w:val="clear" w:color="auto" w:fill="F7FBFE"/>
            <w:vAlign w:val="top"/>
          </w:tcPr>
          <w:p>
            <w:pPr>
              <w:pStyle w:val="Compact"/>
              <w:jc w:val="left"/>
            </w:pPr>
            <w:r>
              <w:rPr>
                <w:bCs/>
                <w:b/>
              </w:rPr>
              <w:t xml:space="preserve">U2/D3</w:t>
            </w:r>
            <w:r>
              <w:t xml:space="preserve"> </w:t>
            </w:r>
            <w:r>
              <w:t xml:space="preserve">- Family Cohesion</w:t>
            </w:r>
          </w:p>
        </w:tc>
        <w:tc>
          <w:tcPr>
            <w:shd w:val="clear" w:color="auto" w:fill="F7FBFE"/>
            <w:vAlign w:val="top"/>
          </w:tcPr>
          <w:p>
            <w:pPr>
              <w:pStyle w:val="Compact"/>
              <w:jc w:val="left"/>
            </w:pPr>
            <w:r>
              <w:rPr>
                <w:bCs/>
                <w:b/>
              </w:rPr>
              <w:t xml:space="preserve">U2/D4</w:t>
            </w:r>
            <w:r>
              <w:t xml:space="preserve"> </w:t>
            </w:r>
            <w:r>
              <w:t xml:space="preserve">- Shared Learning</w:t>
            </w:r>
          </w:p>
        </w:tc>
        <w:tc>
          <w:tcPr>
            <w:shd w:val="clear" w:color="auto" w:fill="F7FBFE"/>
            <w:vAlign w:val="top"/>
          </w:tcPr>
          <w:p>
            <w:pPr>
              <w:pStyle w:val="Compact"/>
              <w:jc w:val="left"/>
            </w:pPr>
            <w:r>
              <w:rPr>
                <w:bCs/>
                <w:b/>
              </w:rPr>
              <w:t xml:space="preserve">U2/D5</w:t>
            </w:r>
            <w:r>
              <w:t xml:space="preserve"> </w:t>
            </w:r>
            <w:r>
              <w:t xml:space="preserve">- Household Agency</w:t>
            </w:r>
          </w:p>
        </w:tc>
        <w:tc>
          <w:tcPr>
            <w:shd w:val="clear" w:color="auto" w:fill="F7FBFE"/>
            <w:vAlign w:val="top"/>
          </w:tcPr>
          <w:p>
            <w:pPr>
              <w:pStyle w:val="Compact"/>
              <w:jc w:val="left"/>
            </w:pPr>
            <w:r>
              <w:rPr>
                <w:bCs/>
                <w:b/>
              </w:rPr>
              <w:t xml:space="preserve">U2/D6</w:t>
            </w:r>
            <w:r>
              <w:t xml:space="preserve"> </w:t>
            </w:r>
            <w:r>
              <w:t xml:space="preserve">- Family Meaning</w:t>
            </w:r>
          </w:p>
        </w:tc>
        <w:tc>
          <w:tcPr>
            <w:shd w:val="clear" w:color="auto" w:fill="F7FBFE"/>
            <w:vAlign w:val="top"/>
          </w:tcPr>
          <w:p>
            <w:pPr>
              <w:pStyle w:val="Compact"/>
              <w:jc w:val="left"/>
            </w:pPr>
            <w:r>
              <w:rPr>
                <w:bCs/>
                <w:b/>
              </w:rPr>
              <w:t xml:space="preserve">U2/D7</w:t>
            </w:r>
            <w:r>
              <w:t xml:space="preserve"> </w:t>
            </w:r>
            <w:r>
              <w:t xml:space="preserve">- Home Environment</w:t>
            </w:r>
          </w:p>
        </w:tc>
      </w:tr>
      <w:tr>
        <w:tc>
          <w:tcPr>
            <w:vAlign w:val="top"/>
          </w:tcPr>
          <w:p>
            <w:pPr>
              <w:pStyle w:val="Compact"/>
              <w:jc w:val="left"/>
            </w:pPr>
            <w:r>
              <w:rPr>
                <w:bCs/>
                <w:b/>
              </w:rPr>
              <w:t xml:space="preserve">U3 Community</w:t>
            </w:r>
          </w:p>
        </w:tc>
        <w:tc>
          <w:tcPr>
            <w:vAlign w:val="top"/>
          </w:tcPr>
          <w:p>
            <w:pPr>
              <w:pStyle w:val="Compact"/>
              <w:jc w:val="left"/>
            </w:pPr>
            <w:r>
              <w:rPr>
                <w:bCs/>
                <w:b/>
              </w:rPr>
              <w:t xml:space="preserve">U3/D1</w:t>
            </w:r>
            <w:r>
              <w:t xml:space="preserve"> </w:t>
            </w:r>
            <w:r>
              <w:t xml:space="preserve">- Local Resources</w:t>
            </w:r>
          </w:p>
        </w:tc>
        <w:tc>
          <w:tcPr>
            <w:vAlign w:val="top"/>
          </w:tcPr>
          <w:p>
            <w:pPr>
              <w:pStyle w:val="Compact"/>
              <w:jc w:val="left"/>
            </w:pPr>
            <w:r>
              <w:rPr>
                <w:bCs/>
                <w:b/>
              </w:rPr>
              <w:t xml:space="preserve">U3/D2</w:t>
            </w:r>
            <w:r>
              <w:t xml:space="preserve"> </w:t>
            </w:r>
            <w:r>
              <w:t xml:space="preserve">- Community Health</w:t>
            </w:r>
          </w:p>
        </w:tc>
        <w:tc>
          <w:tcPr>
            <w:vAlign w:val="top"/>
          </w:tcPr>
          <w:p>
            <w:pPr>
              <w:pStyle w:val="Compact"/>
              <w:jc w:val="left"/>
            </w:pPr>
            <w:r>
              <w:rPr>
                <w:bCs/>
                <w:b/>
              </w:rPr>
              <w:t xml:space="preserve">U3/D3</w:t>
            </w:r>
            <w:r>
              <w:t xml:space="preserve"> </w:t>
            </w:r>
            <w:r>
              <w:t xml:space="preserve">- Community Cohesion</w:t>
            </w:r>
          </w:p>
        </w:tc>
        <w:tc>
          <w:tcPr>
            <w:vAlign w:val="top"/>
          </w:tcPr>
          <w:p>
            <w:pPr>
              <w:pStyle w:val="Compact"/>
              <w:jc w:val="left"/>
            </w:pPr>
            <w:r>
              <w:rPr>
                <w:bCs/>
                <w:b/>
              </w:rPr>
              <w:t xml:space="preserve">U3/D4</w:t>
            </w:r>
            <w:r>
              <w:t xml:space="preserve"> </w:t>
            </w:r>
            <w:r>
              <w:t xml:space="preserve">- Local Knowledge</w:t>
            </w:r>
          </w:p>
        </w:tc>
        <w:tc>
          <w:tcPr>
            <w:vAlign w:val="top"/>
          </w:tcPr>
          <w:p>
            <w:pPr>
              <w:pStyle w:val="Compact"/>
              <w:jc w:val="left"/>
            </w:pPr>
            <w:r>
              <w:rPr>
                <w:bCs/>
                <w:b/>
              </w:rPr>
              <w:t xml:space="preserve">U3/D5</w:t>
            </w:r>
            <w:r>
              <w:t xml:space="preserve"> </w:t>
            </w:r>
            <w:r>
              <w:t xml:space="preserve">- Community Agency</w:t>
            </w:r>
          </w:p>
        </w:tc>
        <w:tc>
          <w:tcPr>
            <w:vAlign w:val="top"/>
          </w:tcPr>
          <w:p>
            <w:pPr>
              <w:pStyle w:val="Compact"/>
              <w:jc w:val="left"/>
            </w:pPr>
            <w:r>
              <w:rPr>
                <w:bCs/>
                <w:b/>
              </w:rPr>
              <w:t xml:space="preserve">U3/D6</w:t>
            </w:r>
            <w:r>
              <w:t xml:space="preserve"> </w:t>
            </w:r>
            <w:r>
              <w:t xml:space="preserve">- Shared Meaning</w:t>
            </w:r>
          </w:p>
        </w:tc>
        <w:tc>
          <w:tcPr>
            <w:vAlign w:val="top"/>
          </w:tcPr>
          <w:p>
            <w:pPr>
              <w:pStyle w:val="Compact"/>
              <w:jc w:val="left"/>
            </w:pPr>
            <w:r>
              <w:rPr>
                <w:bCs/>
                <w:b/>
              </w:rPr>
              <w:t xml:space="preserve">U3/D7</w:t>
            </w:r>
            <w:r>
              <w:t xml:space="preserve"> </w:t>
            </w:r>
            <w:r>
              <w:t xml:space="preserve">- Local Ecology</w:t>
            </w:r>
          </w:p>
        </w:tc>
      </w:tr>
      <w:tr>
        <w:tc>
          <w:tcPr>
            <w:shd w:val="clear" w:color="auto" w:fill="F7FBFE"/>
            <w:vAlign w:val="top"/>
          </w:tcPr>
          <w:p>
            <w:pPr>
              <w:pStyle w:val="Compact"/>
              <w:jc w:val="left"/>
            </w:pPr>
            <w:r>
              <w:rPr>
                <w:bCs/>
                <w:b/>
              </w:rPr>
              <w:t xml:space="preserve">U4 Organization</w:t>
            </w:r>
          </w:p>
        </w:tc>
        <w:tc>
          <w:tcPr>
            <w:shd w:val="clear" w:color="auto" w:fill="F7FBFE"/>
            <w:vAlign w:val="top"/>
          </w:tcPr>
          <w:p>
            <w:pPr>
              <w:pStyle w:val="Compact"/>
              <w:jc w:val="left"/>
            </w:pPr>
            <w:r>
              <w:rPr>
                <w:bCs/>
                <w:b/>
              </w:rPr>
              <w:t xml:space="preserve">U4/D1</w:t>
            </w:r>
            <w:r>
              <w:t xml:space="preserve"> </w:t>
            </w:r>
            <w:r>
              <w:t xml:space="preserve">- Organizational Resources</w:t>
            </w:r>
          </w:p>
        </w:tc>
        <w:tc>
          <w:tcPr>
            <w:shd w:val="clear" w:color="auto" w:fill="F7FBFE"/>
            <w:vAlign w:val="top"/>
          </w:tcPr>
          <w:p>
            <w:pPr>
              <w:pStyle w:val="Compact"/>
              <w:jc w:val="left"/>
            </w:pPr>
            <w:r>
              <w:rPr>
                <w:bCs/>
                <w:b/>
              </w:rPr>
              <w:t xml:space="preserve">U4/D2</w:t>
            </w:r>
            <w:r>
              <w:t xml:space="preserve"> </w:t>
            </w:r>
            <w:r>
              <w:t xml:space="preserve">- Organizational Safety</w:t>
            </w:r>
          </w:p>
        </w:tc>
        <w:tc>
          <w:tcPr>
            <w:shd w:val="clear" w:color="auto" w:fill="F7FBFE"/>
            <w:vAlign w:val="top"/>
          </w:tcPr>
          <w:p>
            <w:pPr>
              <w:pStyle w:val="Compact"/>
              <w:jc w:val="left"/>
            </w:pPr>
            <w:r>
              <w:rPr>
                <w:bCs/>
                <w:b/>
              </w:rPr>
              <w:t xml:space="preserve">U4/D3</w:t>
            </w:r>
            <w:r>
              <w:t xml:space="preserve"> </w:t>
            </w:r>
            <w:r>
              <w:t xml:space="preserve">- Organizational Culture</w:t>
            </w:r>
          </w:p>
        </w:tc>
        <w:tc>
          <w:tcPr>
            <w:shd w:val="clear" w:color="auto" w:fill="F7FBFE"/>
            <w:vAlign w:val="top"/>
          </w:tcPr>
          <w:p>
            <w:pPr>
              <w:pStyle w:val="Compact"/>
              <w:jc w:val="left"/>
            </w:pPr>
            <w:r>
              <w:rPr>
                <w:bCs/>
                <w:b/>
              </w:rPr>
              <w:t xml:space="preserve">U4/D4</w:t>
            </w:r>
            <w:r>
              <w:t xml:space="preserve"> </w:t>
            </w:r>
            <w:r>
              <w:t xml:space="preserve">- Knowledge Systems</w:t>
            </w:r>
          </w:p>
        </w:tc>
        <w:tc>
          <w:tcPr>
            <w:shd w:val="clear" w:color="auto" w:fill="F7FBFE"/>
            <w:vAlign w:val="top"/>
          </w:tcPr>
          <w:p>
            <w:pPr>
              <w:pStyle w:val="Compact"/>
              <w:jc w:val="left"/>
            </w:pPr>
            <w:r>
              <w:rPr>
                <w:bCs/>
                <w:b/>
              </w:rPr>
              <w:t xml:space="preserve">U4/D5</w:t>
            </w:r>
            <w:r>
              <w:t xml:space="preserve"> </w:t>
            </w:r>
            <w:r>
              <w:t xml:space="preserve">- Role Agency</w:t>
            </w:r>
          </w:p>
        </w:tc>
        <w:tc>
          <w:tcPr>
            <w:shd w:val="clear" w:color="auto" w:fill="F7FBFE"/>
            <w:vAlign w:val="top"/>
          </w:tcPr>
          <w:p>
            <w:pPr>
              <w:pStyle w:val="Compact"/>
              <w:jc w:val="left"/>
            </w:pPr>
            <w:r>
              <w:rPr>
                <w:bCs/>
                <w:b/>
              </w:rPr>
              <w:t xml:space="preserve">U4/D6</w:t>
            </w:r>
            <w:r>
              <w:t xml:space="preserve"> </w:t>
            </w:r>
            <w:r>
              <w:t xml:space="preserve">- Mission Coherence</w:t>
            </w:r>
          </w:p>
        </w:tc>
        <w:tc>
          <w:tcPr>
            <w:shd w:val="clear" w:color="auto" w:fill="F7FBFE"/>
            <w:vAlign w:val="top"/>
          </w:tcPr>
          <w:p>
            <w:pPr>
              <w:pStyle w:val="Compact"/>
              <w:jc w:val="left"/>
            </w:pPr>
            <w:r>
              <w:rPr>
                <w:bCs/>
                <w:b/>
              </w:rPr>
              <w:t xml:space="preserve">U4/D7</w:t>
            </w:r>
            <w:r>
              <w:t xml:space="preserve"> </w:t>
            </w:r>
            <w:r>
              <w:t xml:space="preserve">- Operational Footprint</w:t>
            </w:r>
          </w:p>
        </w:tc>
      </w:tr>
      <w:tr>
        <w:tc>
          <w:tcPr>
            <w:vAlign w:val="top"/>
          </w:tcPr>
          <w:p>
            <w:pPr>
              <w:pStyle w:val="Compact"/>
              <w:jc w:val="left"/>
            </w:pPr>
            <w:r>
              <w:rPr>
                <w:bCs/>
                <w:b/>
              </w:rPr>
              <w:t xml:space="preserve">U5 Polity</w:t>
            </w:r>
          </w:p>
        </w:tc>
        <w:tc>
          <w:tcPr>
            <w:vAlign w:val="top"/>
          </w:tcPr>
          <w:p>
            <w:pPr>
              <w:pStyle w:val="Compact"/>
              <w:jc w:val="left"/>
            </w:pPr>
            <w:r>
              <w:rPr>
                <w:bCs/>
                <w:b/>
              </w:rPr>
              <w:t xml:space="preserve">U5/D1</w:t>
            </w:r>
            <w:r>
              <w:t xml:space="preserve"> </w:t>
            </w:r>
            <w:r>
              <w:t xml:space="preserve">- Public Resources</w:t>
            </w:r>
          </w:p>
        </w:tc>
        <w:tc>
          <w:tcPr>
            <w:vAlign w:val="top"/>
          </w:tcPr>
          <w:p>
            <w:pPr>
              <w:pStyle w:val="Compact"/>
              <w:jc w:val="left"/>
            </w:pPr>
            <w:r>
              <w:rPr>
                <w:bCs/>
                <w:b/>
              </w:rPr>
              <w:t xml:space="preserve">U5/D2</w:t>
            </w:r>
            <w:r>
              <w:t xml:space="preserve"> </w:t>
            </w:r>
            <w:r>
              <w:t xml:space="preserve">- Population Health</w:t>
            </w:r>
          </w:p>
        </w:tc>
        <w:tc>
          <w:tcPr>
            <w:vAlign w:val="top"/>
          </w:tcPr>
          <w:p>
            <w:pPr>
              <w:pStyle w:val="Compact"/>
              <w:jc w:val="left"/>
            </w:pPr>
            <w:r>
              <w:rPr>
                <w:bCs/>
                <w:b/>
              </w:rPr>
              <w:t xml:space="preserve">U5/D3</w:t>
            </w:r>
            <w:r>
              <w:t xml:space="preserve"> </w:t>
            </w:r>
            <w:r>
              <w:t xml:space="preserve">- Legitimacy</w:t>
            </w:r>
          </w:p>
        </w:tc>
        <w:tc>
          <w:tcPr>
            <w:vAlign w:val="top"/>
          </w:tcPr>
          <w:p>
            <w:pPr>
              <w:pStyle w:val="Compact"/>
              <w:jc w:val="left"/>
            </w:pPr>
            <w:r>
              <w:rPr>
                <w:bCs/>
                <w:b/>
              </w:rPr>
              <w:t xml:space="preserve">U5/D4</w:t>
            </w:r>
            <w:r>
              <w:t xml:space="preserve"> </w:t>
            </w:r>
            <w:r>
              <w:t xml:space="preserve">- Information Access</w:t>
            </w:r>
          </w:p>
        </w:tc>
        <w:tc>
          <w:tcPr>
            <w:vAlign w:val="top"/>
          </w:tcPr>
          <w:p>
            <w:pPr>
              <w:pStyle w:val="Compact"/>
              <w:jc w:val="left"/>
            </w:pPr>
            <w:r>
              <w:rPr>
                <w:bCs/>
                <w:b/>
              </w:rPr>
              <w:t xml:space="preserve">U5/D5</w:t>
            </w:r>
            <w:r>
              <w:t xml:space="preserve"> </w:t>
            </w:r>
            <w:r>
              <w:t xml:space="preserve">- Civil Agency</w:t>
            </w:r>
          </w:p>
        </w:tc>
        <w:tc>
          <w:tcPr>
            <w:vAlign w:val="top"/>
          </w:tcPr>
          <w:p>
            <w:pPr>
              <w:pStyle w:val="Compact"/>
              <w:jc w:val="left"/>
            </w:pPr>
            <w:r>
              <w:rPr>
                <w:bCs/>
                <w:b/>
              </w:rPr>
              <w:t xml:space="preserve">U5/D6</w:t>
            </w:r>
            <w:r>
              <w:t xml:space="preserve"> </w:t>
            </w:r>
            <w:r>
              <w:t xml:space="preserve">- Public Meaning</w:t>
            </w:r>
          </w:p>
        </w:tc>
        <w:tc>
          <w:tcPr>
            <w:vAlign w:val="top"/>
          </w:tcPr>
          <w:p>
            <w:pPr>
              <w:pStyle w:val="Compact"/>
              <w:jc w:val="left"/>
            </w:pPr>
            <w:r>
              <w:rPr>
                <w:bCs/>
                <w:b/>
              </w:rPr>
              <w:t xml:space="preserve">U5/D7</w:t>
            </w:r>
            <w:r>
              <w:t xml:space="preserve"> </w:t>
            </w:r>
            <w:r>
              <w:t xml:space="preserve">- Public Environment</w:t>
            </w:r>
          </w:p>
        </w:tc>
      </w:tr>
      <w:tr>
        <w:tc>
          <w:tcPr>
            <w:shd w:val="clear" w:color="auto" w:fill="F7FBFE"/>
            <w:vAlign w:val="top"/>
          </w:tcPr>
          <w:p>
            <w:pPr>
              <w:pStyle w:val="Compact"/>
              <w:jc w:val="left"/>
            </w:pPr>
            <w:r>
              <w:rPr>
                <w:bCs/>
                <w:b/>
              </w:rPr>
              <w:t xml:space="preserve">U6 Humanity / Global Coordination</w:t>
            </w:r>
          </w:p>
        </w:tc>
        <w:tc>
          <w:tcPr>
            <w:shd w:val="clear" w:color="auto" w:fill="F7FBFE"/>
            <w:vAlign w:val="top"/>
          </w:tcPr>
          <w:p>
            <w:pPr>
              <w:pStyle w:val="Compact"/>
              <w:jc w:val="left"/>
            </w:pPr>
            <w:r>
              <w:rPr>
                <w:bCs/>
                <w:b/>
              </w:rPr>
              <w:t xml:space="preserve">U6/D1</w:t>
            </w:r>
            <w:r>
              <w:t xml:space="preserve"> </w:t>
            </w:r>
            <w:r>
              <w:t xml:space="preserve">- Global Resources</w:t>
            </w:r>
          </w:p>
        </w:tc>
        <w:tc>
          <w:tcPr>
            <w:shd w:val="clear" w:color="auto" w:fill="F7FBFE"/>
            <w:vAlign w:val="top"/>
          </w:tcPr>
          <w:p>
            <w:pPr>
              <w:pStyle w:val="Compact"/>
              <w:jc w:val="left"/>
            </w:pPr>
            <w:r>
              <w:rPr>
                <w:bCs/>
                <w:b/>
              </w:rPr>
              <w:t xml:space="preserve">U6/D2</w:t>
            </w:r>
            <w:r>
              <w:t xml:space="preserve"> </w:t>
            </w:r>
            <w:r>
              <w:t xml:space="preserve">- Human Safety</w:t>
            </w:r>
          </w:p>
        </w:tc>
        <w:tc>
          <w:tcPr>
            <w:shd w:val="clear" w:color="auto" w:fill="F7FBFE"/>
            <w:vAlign w:val="top"/>
          </w:tcPr>
          <w:p>
            <w:pPr>
              <w:pStyle w:val="Compact"/>
              <w:jc w:val="left"/>
            </w:pPr>
            <w:r>
              <w:rPr>
                <w:bCs/>
                <w:b/>
              </w:rPr>
              <w:t xml:space="preserve">U6/D3</w:t>
            </w:r>
            <w:r>
              <w:t xml:space="preserve"> </w:t>
            </w:r>
            <w:r>
              <w:t xml:space="preserve">- Cooperation</w:t>
            </w:r>
          </w:p>
        </w:tc>
        <w:tc>
          <w:tcPr>
            <w:shd w:val="clear" w:color="auto" w:fill="F7FBFE"/>
            <w:vAlign w:val="top"/>
          </w:tcPr>
          <w:p>
            <w:pPr>
              <w:pStyle w:val="Compact"/>
              <w:jc w:val="left"/>
            </w:pPr>
            <w:r>
              <w:rPr>
                <w:bCs/>
                <w:b/>
              </w:rPr>
              <w:t xml:space="preserve">U6/D4</w:t>
            </w:r>
            <w:r>
              <w:t xml:space="preserve"> </w:t>
            </w:r>
            <w:r>
              <w:t xml:space="preserve">- Civilizational Knowledge</w:t>
            </w:r>
          </w:p>
        </w:tc>
        <w:tc>
          <w:tcPr>
            <w:shd w:val="clear" w:color="auto" w:fill="F7FBFE"/>
            <w:vAlign w:val="top"/>
          </w:tcPr>
          <w:p>
            <w:pPr>
              <w:pStyle w:val="Compact"/>
              <w:jc w:val="left"/>
            </w:pPr>
            <w:r>
              <w:rPr>
                <w:bCs/>
                <w:b/>
              </w:rPr>
              <w:t xml:space="preserve">U6/D5</w:t>
            </w:r>
            <w:r>
              <w:t xml:space="preserve"> </w:t>
            </w:r>
            <w:r>
              <w:t xml:space="preserve">- Collective Agency</w:t>
            </w:r>
          </w:p>
        </w:tc>
        <w:tc>
          <w:tcPr>
            <w:shd w:val="clear" w:color="auto" w:fill="F7FBFE"/>
            <w:vAlign w:val="top"/>
          </w:tcPr>
          <w:p>
            <w:pPr>
              <w:pStyle w:val="Compact"/>
              <w:jc w:val="left"/>
            </w:pPr>
            <w:r>
              <w:rPr>
                <w:bCs/>
                <w:b/>
              </w:rPr>
              <w:t xml:space="preserve">U6/D6</w:t>
            </w:r>
            <w:r>
              <w:t xml:space="preserve"> </w:t>
            </w:r>
            <w:r>
              <w:t xml:space="preserve">- Shared Purpose</w:t>
            </w:r>
          </w:p>
        </w:tc>
        <w:tc>
          <w:tcPr>
            <w:shd w:val="clear" w:color="auto" w:fill="F7FBFE"/>
            <w:vAlign w:val="top"/>
          </w:tcPr>
          <w:p>
            <w:pPr>
              <w:pStyle w:val="Compact"/>
              <w:jc w:val="left"/>
            </w:pPr>
            <w:r>
              <w:rPr>
                <w:bCs/>
                <w:b/>
              </w:rPr>
              <w:t xml:space="preserve">U6/D7</w:t>
            </w:r>
            <w:r>
              <w:t xml:space="preserve"> </w:t>
            </w:r>
            <w:r>
              <w:t xml:space="preserve">- Planetary Conditions</w:t>
            </w:r>
          </w:p>
        </w:tc>
      </w:tr>
      <w:tr>
        <w:tc>
          <w:tcPr>
            <w:vAlign w:val="top"/>
          </w:tcPr>
          <w:p>
            <w:pPr>
              <w:pStyle w:val="Compact"/>
              <w:jc w:val="left"/>
            </w:pPr>
            <w:r>
              <w:rPr>
                <w:bCs/>
                <w:b/>
              </w:rPr>
              <w:t xml:space="preserve">U7 Biosphere</w:t>
            </w:r>
          </w:p>
        </w:tc>
        <w:tc>
          <w:tcPr>
            <w:vAlign w:val="top"/>
          </w:tcPr>
          <w:p>
            <w:pPr>
              <w:pStyle w:val="Compact"/>
              <w:jc w:val="left"/>
            </w:pPr>
            <w:r>
              <w:rPr>
                <w:bCs/>
                <w:b/>
              </w:rPr>
              <w:t xml:space="preserve">U7/D1</w:t>
            </w:r>
            <w:r>
              <w:t xml:space="preserve"> </w:t>
            </w:r>
            <w:r>
              <w:t xml:space="preserve">- Life-Support Resources</w:t>
            </w:r>
          </w:p>
        </w:tc>
        <w:tc>
          <w:tcPr>
            <w:vAlign w:val="top"/>
          </w:tcPr>
          <w:p>
            <w:pPr>
              <w:pStyle w:val="Compact"/>
              <w:jc w:val="left"/>
            </w:pPr>
            <w:r>
              <w:rPr>
                <w:bCs/>
                <w:b/>
              </w:rPr>
              <w:t xml:space="preserve">U7/D2</w:t>
            </w:r>
            <w:r>
              <w:t xml:space="preserve"> </w:t>
            </w:r>
            <w:r>
              <w:t xml:space="preserve">- Ecosystem Health</w:t>
            </w:r>
          </w:p>
        </w:tc>
        <w:tc>
          <w:tcPr>
            <w:vAlign w:val="top"/>
          </w:tcPr>
          <w:p>
            <w:pPr>
              <w:pStyle w:val="Compact"/>
              <w:jc w:val="left"/>
            </w:pPr>
            <w:r>
              <w:rPr>
                <w:bCs/>
                <w:b/>
              </w:rPr>
              <w:t xml:space="preserve">U7/D3</w:t>
            </w:r>
            <w:r>
              <w:t xml:space="preserve"> </w:t>
            </w:r>
            <w:r>
              <w:t xml:space="preserve">- Biotic Relations</w:t>
            </w:r>
          </w:p>
        </w:tc>
        <w:tc>
          <w:tcPr>
            <w:vAlign w:val="top"/>
          </w:tcPr>
          <w:p>
            <w:pPr>
              <w:pStyle w:val="Compact"/>
              <w:jc w:val="left"/>
            </w:pPr>
            <w:r>
              <w:rPr>
                <w:bCs/>
                <w:b/>
              </w:rPr>
              <w:t xml:space="preserve">U7/D4</w:t>
            </w:r>
            <w:r>
              <w:t xml:space="preserve"> </w:t>
            </w:r>
            <w:r>
              <w:t xml:space="preserve">- Ecological Knowledge</w:t>
            </w:r>
          </w:p>
        </w:tc>
        <w:tc>
          <w:tcPr>
            <w:vAlign w:val="top"/>
          </w:tcPr>
          <w:p>
            <w:pPr>
              <w:pStyle w:val="Compact"/>
              <w:jc w:val="left"/>
            </w:pPr>
            <w:r>
              <w:rPr>
                <w:bCs/>
                <w:b/>
              </w:rPr>
              <w:t xml:space="preserve">U7/D5</w:t>
            </w:r>
            <w:r>
              <w:t xml:space="preserve"> </w:t>
            </w:r>
            <w:r>
              <w:t xml:space="preserve">- Resilience Capacity</w:t>
            </w:r>
          </w:p>
        </w:tc>
        <w:tc>
          <w:tcPr>
            <w:vAlign w:val="top"/>
          </w:tcPr>
          <w:p>
            <w:pPr>
              <w:pStyle w:val="Compact"/>
              <w:jc w:val="left"/>
            </w:pPr>
            <w:r>
              <w:rPr>
                <w:bCs/>
                <w:b/>
              </w:rPr>
              <w:t xml:space="preserve">U7/D6</w:t>
            </w:r>
            <w:r>
              <w:t xml:space="preserve"> </w:t>
            </w:r>
            <w:r>
              <w:t xml:space="preserve">- Life Continuity</w:t>
            </w:r>
          </w:p>
        </w:tc>
        <w:tc>
          <w:tcPr>
            <w:vAlign w:val="top"/>
          </w:tcPr>
          <w:p>
            <w:pPr>
              <w:pStyle w:val="Compact"/>
              <w:jc w:val="left"/>
            </w:pPr>
            <w:r>
              <w:rPr>
                <w:bCs/>
                <w:b/>
              </w:rPr>
              <w:t xml:space="preserve">U7/D7</w:t>
            </w:r>
            <w:r>
              <w:t xml:space="preserve"> </w:t>
            </w:r>
            <w:r>
              <w:t xml:space="preserve">- Ecological Integrity</w:t>
            </w:r>
          </w:p>
        </w:tc>
      </w:tr>
    </w:tbl>
    <w:bookmarkEnd w:id="640"/>
    <w:bookmarkStart w:id="641" w:name="ad1b-detailed-49-cell-dictionary"/>
    <w:p>
      <w:pPr>
        <w:pStyle w:val="Heading3"/>
      </w:pPr>
      <w:r>
        <w:rPr>
          <w:bCs/>
          <w:b/>
        </w:rPr>
        <w:t xml:space="preserve">AD.1B Detailed 49-cell dictionary</w:t>
      </w:r>
    </w:p>
    <w:bookmarkEnd w:id="641"/>
    <w:bookmarkStart w:id="642" w:name="u1-self---meaning-and-movement"/>
    <w:p>
      <w:pPr>
        <w:pStyle w:val="Heading3"/>
      </w:pPr>
      <w:r>
        <w:rPr>
          <w:bCs/>
          <w:b/>
        </w:rPr>
        <w:t xml:space="preserve">U1 Self - meaning and movement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What this cell measures</w:t>
            </w:r>
          </w:p>
        </w:tc>
        <w:tc>
          <w:tcPr>
            <w:shd w:val="clear" w:color="auto" w:fill="D9EAF7"/>
            <w:vAlign w:val="center"/>
          </w:tcPr>
          <w:p>
            <w:pPr>
              <w:pStyle w:val="Compact"/>
              <w:jc w:val="left"/>
            </w:pPr>
            <w:r>
              <w:rPr>
                <w:bCs/>
                <w:b/>
                <w:color w:val="17365D"/>
              </w:rPr>
              <w:t xml:space="preserve">+ Benefit</w:t>
            </w:r>
          </w:p>
        </w:tc>
        <w:tc>
          <w:tcPr>
            <w:shd w:val="clear" w:color="auto" w:fill="D9EAF7"/>
            <w:vAlign w:val="center"/>
          </w:tcPr>
          <w:p>
            <w:pPr>
              <w:pStyle w:val="Compact"/>
              <w:jc w:val="left"/>
            </w:pPr>
            <w:r>
              <w:rPr>
                <w:bCs/>
                <w:b/>
                <w:color w:val="17365D"/>
              </w:rPr>
              <w:t xml:space="preserve">- Harm</w:t>
            </w:r>
          </w:p>
        </w:tc>
      </w:tr>
      <w:tr>
        <w:tc>
          <w:tcPr>
            <w:vAlign w:val="top"/>
          </w:tcPr>
          <w:p>
            <w:pPr>
              <w:pStyle w:val="Compact"/>
              <w:jc w:val="left"/>
            </w:pPr>
            <w:r>
              <w:rPr>
                <w:bCs/>
                <w:b/>
              </w:rPr>
              <w:t xml:space="preserve">U1/D1</w:t>
            </w:r>
            <w:r>
              <w:t xml:space="preserve"> </w:t>
            </w:r>
            <w:r>
              <w:t xml:space="preserve">- Personal Resources (label: personal resources)</w:t>
            </w:r>
          </w:p>
        </w:tc>
        <w:tc>
          <w:tcPr>
            <w:vAlign w:val="top"/>
          </w:tcPr>
          <w:p>
            <w:pPr>
              <w:pStyle w:val="Compact"/>
              <w:jc w:val="left"/>
            </w:pPr>
            <w:r>
              <w:t xml:space="preserve">An individual’s economic security: income, savings, housing stability, and access to the material means of a decent life.</w:t>
            </w:r>
          </w:p>
        </w:tc>
        <w:tc>
          <w:tcPr>
            <w:vAlign w:val="top"/>
          </w:tcPr>
          <w:p>
            <w:pPr>
              <w:pStyle w:val="Compact"/>
              <w:jc w:val="left"/>
            </w:pPr>
            <w:r>
              <w:t xml:space="preserve">More stable income, affordable housing, reduced debt, secured access to essentials.</w:t>
            </w:r>
          </w:p>
        </w:tc>
        <w:tc>
          <w:tcPr>
            <w:vAlign w:val="top"/>
          </w:tcPr>
          <w:p>
            <w:pPr>
              <w:pStyle w:val="Compact"/>
              <w:jc w:val="left"/>
            </w:pPr>
            <w:r>
              <w:t xml:space="preserve">Job loss, eviction risk, debt spirals, loss of essential goods or services.</w:t>
            </w:r>
          </w:p>
        </w:tc>
      </w:tr>
      <w:tr>
        <w:tc>
          <w:tcPr>
            <w:shd w:val="clear" w:color="auto" w:fill="F7FBFE"/>
            <w:vAlign w:val="top"/>
          </w:tcPr>
          <w:p>
            <w:pPr>
              <w:pStyle w:val="Compact"/>
              <w:jc w:val="left"/>
            </w:pPr>
            <w:r>
              <w:rPr>
                <w:bCs/>
                <w:b/>
              </w:rPr>
              <w:t xml:space="preserve">U1/D2</w:t>
            </w:r>
            <w:r>
              <w:t xml:space="preserve"> </w:t>
            </w:r>
            <w:r>
              <w:t xml:space="preserve">- Personal Health (label: personal health)</w:t>
            </w:r>
          </w:p>
        </w:tc>
        <w:tc>
          <w:tcPr>
            <w:shd w:val="clear" w:color="auto" w:fill="F7FBFE"/>
            <w:vAlign w:val="top"/>
          </w:tcPr>
          <w:p>
            <w:pPr>
              <w:pStyle w:val="Compact"/>
              <w:jc w:val="left"/>
            </w:pPr>
            <w:r>
              <w:t xml:space="preserve">The individual’s physical and mental health, safety, and bodily integrity.</w:t>
            </w:r>
          </w:p>
        </w:tc>
        <w:tc>
          <w:tcPr>
            <w:shd w:val="clear" w:color="auto" w:fill="F7FBFE"/>
            <w:vAlign w:val="top"/>
          </w:tcPr>
          <w:p>
            <w:pPr>
              <w:pStyle w:val="Compact"/>
              <w:jc w:val="left"/>
            </w:pPr>
            <w:r>
              <w:t xml:space="preserve">Lower injury/illness risk, better access to care, improved mental health, safer conditions.</w:t>
            </w:r>
          </w:p>
        </w:tc>
        <w:tc>
          <w:tcPr>
            <w:shd w:val="clear" w:color="auto" w:fill="F7FBFE"/>
            <w:vAlign w:val="top"/>
          </w:tcPr>
          <w:p>
            <w:pPr>
              <w:pStyle w:val="Compact"/>
              <w:jc w:val="left"/>
            </w:pPr>
            <w:r>
              <w:t xml:space="preserve">Injury, illness, untreated conditions, exposure to hazards, deteriorating mental health.</w:t>
            </w:r>
          </w:p>
        </w:tc>
      </w:tr>
      <w:tr>
        <w:tc>
          <w:tcPr>
            <w:vAlign w:val="top"/>
          </w:tcPr>
          <w:p>
            <w:pPr>
              <w:pStyle w:val="Compact"/>
              <w:jc w:val="left"/>
            </w:pPr>
            <w:r>
              <w:rPr>
                <w:bCs/>
                <w:b/>
              </w:rPr>
              <w:t xml:space="preserve">U1/D3</w:t>
            </w:r>
            <w:r>
              <w:t xml:space="preserve"> </w:t>
            </w:r>
            <w:r>
              <w:t xml:space="preserve">- Relationships (label: relationships)</w:t>
            </w:r>
          </w:p>
        </w:tc>
        <w:tc>
          <w:tcPr>
            <w:vAlign w:val="top"/>
          </w:tcPr>
          <w:p>
            <w:pPr>
              <w:pStyle w:val="Compact"/>
              <w:jc w:val="left"/>
            </w:pPr>
            <w:r>
              <w:t xml:space="preserve">The quality and stability of a person’s close personal relationships and social connection.</w:t>
            </w:r>
          </w:p>
        </w:tc>
        <w:tc>
          <w:tcPr>
            <w:vAlign w:val="top"/>
          </w:tcPr>
          <w:p>
            <w:pPr>
              <w:pStyle w:val="Compact"/>
              <w:jc w:val="left"/>
            </w:pPr>
            <w:r>
              <w:t xml:space="preserve">Stronger bonds, reduced isolation, more supportive networks.</w:t>
            </w:r>
          </w:p>
        </w:tc>
        <w:tc>
          <w:tcPr>
            <w:vAlign w:val="top"/>
          </w:tcPr>
          <w:p>
            <w:pPr>
              <w:pStyle w:val="Compact"/>
              <w:jc w:val="left"/>
            </w:pPr>
            <w:r>
              <w:t xml:space="preserve">Isolation, relationship breakdown, forced separation, loss of support.</w:t>
            </w:r>
          </w:p>
        </w:tc>
      </w:tr>
      <w:tr>
        <w:tc>
          <w:tcPr>
            <w:shd w:val="clear" w:color="auto" w:fill="F7FBFE"/>
            <w:vAlign w:val="top"/>
          </w:tcPr>
          <w:p>
            <w:pPr>
              <w:pStyle w:val="Compact"/>
              <w:jc w:val="left"/>
            </w:pPr>
            <w:r>
              <w:rPr>
                <w:bCs/>
                <w:b/>
              </w:rPr>
              <w:t xml:space="preserve">U1/D4</w:t>
            </w:r>
            <w:r>
              <w:t xml:space="preserve"> </w:t>
            </w:r>
            <w:r>
              <w:t xml:space="preserve">- Learning (label: learning)</w:t>
            </w:r>
          </w:p>
        </w:tc>
        <w:tc>
          <w:tcPr>
            <w:shd w:val="clear" w:color="auto" w:fill="F7FBFE"/>
            <w:vAlign w:val="top"/>
          </w:tcPr>
          <w:p>
            <w:pPr>
              <w:pStyle w:val="Compact"/>
              <w:jc w:val="left"/>
            </w:pPr>
            <w:r>
              <w:t xml:space="preserve">The individual’s access to education, skills, and the capacity to learn and develop.</w:t>
            </w:r>
          </w:p>
        </w:tc>
        <w:tc>
          <w:tcPr>
            <w:shd w:val="clear" w:color="auto" w:fill="F7FBFE"/>
            <w:vAlign w:val="top"/>
          </w:tcPr>
          <w:p>
            <w:pPr>
              <w:pStyle w:val="Compact"/>
              <w:jc w:val="left"/>
            </w:pPr>
            <w:r>
              <w:t xml:space="preserve">Better access to learning, skill gains, expanded opportunity.</w:t>
            </w:r>
          </w:p>
        </w:tc>
        <w:tc>
          <w:tcPr>
            <w:shd w:val="clear" w:color="auto" w:fill="F7FBFE"/>
            <w:vAlign w:val="top"/>
          </w:tcPr>
          <w:p>
            <w:pPr>
              <w:pStyle w:val="Compact"/>
              <w:jc w:val="left"/>
            </w:pPr>
            <w:r>
              <w:t xml:space="preserve">Lost access to education, deskilling, barriers to learning.</w:t>
            </w:r>
          </w:p>
        </w:tc>
      </w:tr>
      <w:tr>
        <w:tc>
          <w:tcPr>
            <w:vAlign w:val="top"/>
          </w:tcPr>
          <w:p>
            <w:pPr>
              <w:pStyle w:val="Compact"/>
              <w:jc w:val="left"/>
            </w:pPr>
            <w:r>
              <w:rPr>
                <w:bCs/>
                <w:b/>
              </w:rPr>
              <w:t xml:space="preserve">U1/D5</w:t>
            </w:r>
            <w:r>
              <w:t xml:space="preserve"> </w:t>
            </w:r>
            <w:r>
              <w:t xml:space="preserve">- Personal Agency (label: autonomy)</w:t>
            </w:r>
          </w:p>
        </w:tc>
        <w:tc>
          <w:tcPr>
            <w:vAlign w:val="top"/>
          </w:tcPr>
          <w:p>
            <w:pPr>
              <w:pStyle w:val="Compact"/>
              <w:jc w:val="left"/>
            </w:pPr>
            <w:r>
              <w:t xml:space="preserve">The person’s real ability to choose, refuse, consent, act, and shape their own life path.</w:t>
            </w:r>
          </w:p>
        </w:tc>
        <w:tc>
          <w:tcPr>
            <w:vAlign w:val="top"/>
          </w:tcPr>
          <w:p>
            <w:pPr>
              <w:pStyle w:val="Compact"/>
              <w:jc w:val="left"/>
            </w:pPr>
            <w:r>
              <w:t xml:space="preserve">More autonomy, better options, stronger consent, freedom from coercion and surveillance.</w:t>
            </w:r>
          </w:p>
        </w:tc>
        <w:tc>
          <w:tcPr>
            <w:vAlign w:val="top"/>
          </w:tcPr>
          <w:p>
            <w:pPr>
              <w:pStyle w:val="Compact"/>
              <w:jc w:val="left"/>
            </w:pPr>
            <w:r>
              <w:t xml:space="preserve">Coercion, manipulation, surveillance, forced dependency, loss of meaningful choice.</w:t>
            </w:r>
          </w:p>
        </w:tc>
      </w:tr>
      <w:tr>
        <w:tc>
          <w:tcPr>
            <w:shd w:val="clear" w:color="auto" w:fill="F7FBFE"/>
            <w:vAlign w:val="top"/>
          </w:tcPr>
          <w:p>
            <w:pPr>
              <w:pStyle w:val="Compact"/>
              <w:jc w:val="left"/>
            </w:pPr>
            <w:r>
              <w:rPr>
                <w:bCs/>
                <w:b/>
              </w:rPr>
              <w:t xml:space="preserve">U1/D6</w:t>
            </w:r>
            <w:r>
              <w:t xml:space="preserve"> </w:t>
            </w:r>
            <w:r>
              <w:t xml:space="preserve">- Purpose (label: purpose)</w:t>
            </w:r>
          </w:p>
        </w:tc>
        <w:tc>
          <w:tcPr>
            <w:shd w:val="clear" w:color="auto" w:fill="F7FBFE"/>
            <w:vAlign w:val="top"/>
          </w:tcPr>
          <w:p>
            <w:pPr>
              <w:pStyle w:val="Compact"/>
              <w:jc w:val="left"/>
            </w:pPr>
            <w:r>
              <w:t xml:space="preserve">The individual’s sense of meaning, dignity, and worth in their life and work.</w:t>
            </w:r>
          </w:p>
        </w:tc>
        <w:tc>
          <w:tcPr>
            <w:shd w:val="clear" w:color="auto" w:fill="F7FBFE"/>
            <w:vAlign w:val="top"/>
          </w:tcPr>
          <w:p>
            <w:pPr>
              <w:pStyle w:val="Compact"/>
              <w:jc w:val="left"/>
            </w:pPr>
            <w:r>
              <w:t xml:space="preserve">Greater sense of purpose, recognition, dignity, and self-respect.</w:t>
            </w:r>
          </w:p>
        </w:tc>
        <w:tc>
          <w:tcPr>
            <w:shd w:val="clear" w:color="auto" w:fill="F7FBFE"/>
            <w:vAlign w:val="top"/>
          </w:tcPr>
          <w:p>
            <w:pPr>
              <w:pStyle w:val="Compact"/>
              <w:jc w:val="left"/>
            </w:pPr>
            <w:r>
              <w:t xml:space="preserve">Humiliation, alienation, loss of role or recognition, indignity.</w:t>
            </w:r>
          </w:p>
        </w:tc>
      </w:tr>
      <w:tr>
        <w:tc>
          <w:tcPr>
            <w:vAlign w:val="top"/>
          </w:tcPr>
          <w:p>
            <w:pPr>
              <w:pStyle w:val="Compact"/>
              <w:jc w:val="left"/>
            </w:pPr>
            <w:r>
              <w:rPr>
                <w:bCs/>
                <w:b/>
              </w:rPr>
              <w:t xml:space="preserve">U1/D7</w:t>
            </w:r>
            <w:r>
              <w:t xml:space="preserve"> </w:t>
            </w:r>
            <w:r>
              <w:t xml:space="preserve">- Local Conditions (label: local conditions)</w:t>
            </w:r>
          </w:p>
        </w:tc>
        <w:tc>
          <w:tcPr>
            <w:vAlign w:val="top"/>
          </w:tcPr>
          <w:p>
            <w:pPr>
              <w:pStyle w:val="Compact"/>
              <w:jc w:val="left"/>
            </w:pPr>
            <w:r>
              <w:t xml:space="preserve">The immediate physical environment a person lives in: air, noise, water, hazards, and surroundings.</w:t>
            </w:r>
          </w:p>
        </w:tc>
        <w:tc>
          <w:tcPr>
            <w:vAlign w:val="top"/>
          </w:tcPr>
          <w:p>
            <w:pPr>
              <w:pStyle w:val="Compact"/>
              <w:jc w:val="left"/>
            </w:pPr>
            <w:r>
              <w:t xml:space="preserve">Cleaner air/water, less noise, fewer local hazards, healthier surroundings.</w:t>
            </w:r>
          </w:p>
        </w:tc>
        <w:tc>
          <w:tcPr>
            <w:vAlign w:val="top"/>
          </w:tcPr>
          <w:p>
            <w:pPr>
              <w:pStyle w:val="Compact"/>
              <w:jc w:val="left"/>
            </w:pPr>
            <w:r>
              <w:t xml:space="preserve">Pollution exposure, noise, contamination, environmental hazards near the person.</w:t>
            </w:r>
          </w:p>
        </w:tc>
      </w:tr>
    </w:tbl>
    <w:bookmarkEnd w:id="642"/>
    <w:bookmarkStart w:id="643" w:name="u1-self---evidence-and-review"/>
    <w:p>
      <w:pPr>
        <w:pStyle w:val="Heading3"/>
      </w:pPr>
      <w:r>
        <w:rPr>
          <w:bCs/>
          <w:b/>
        </w:rPr>
        <w:t xml:space="preserve">U1 Self - evidence and review</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Evidence and gate cues</w:t>
            </w:r>
          </w:p>
        </w:tc>
        <w:tc>
          <w:tcPr>
            <w:shd w:val="clear" w:color="auto" w:fill="D9EAF7"/>
            <w:vAlign w:val="center"/>
          </w:tcPr>
          <w:p>
            <w:pPr>
              <w:pStyle w:val="Compact"/>
              <w:jc w:val="left"/>
            </w:pPr>
            <w:r>
              <w:rPr>
                <w:bCs/>
                <w:b/>
                <w:color w:val="17365D"/>
              </w:rPr>
              <w:t xml:space="preserve">Example and reviewer check</w:t>
            </w:r>
          </w:p>
        </w:tc>
      </w:tr>
      <w:tr>
        <w:tc>
          <w:tcPr>
            <w:vAlign w:val="top"/>
          </w:tcPr>
          <w:p>
            <w:pPr>
              <w:pStyle w:val="Compact"/>
              <w:jc w:val="left"/>
            </w:pPr>
            <w:r>
              <w:rPr>
                <w:bCs/>
                <w:b/>
              </w:rPr>
              <w:t xml:space="preserve">U1/D1</w:t>
            </w:r>
            <w:r>
              <w:t xml:space="preserve"> </w:t>
            </w:r>
            <w:r>
              <w:t xml:space="preserve">- Personal Resources (label: personal resources)</w:t>
            </w:r>
          </w:p>
        </w:tc>
        <w:tc>
          <w:tcPr>
            <w:vAlign w:val="top"/>
          </w:tcPr>
          <w:p>
            <w:pPr>
              <w:pStyle w:val="Compact"/>
              <w:jc w:val="left"/>
            </w:pPr>
            <w:r>
              <w:t xml:space="preserve">Evidence: income and employment records; housing stability / eviction data; debt and arrears; cost-of-living and benefit uptake; Gate classes: Ordinary welfare. Uncertainty: Standard assessment. Interpretation: Ordinary welfare in most cases; can escalate to rights-covered where a subsistence or social-minimum floor is legally recognised.</w:t>
            </w:r>
          </w:p>
        </w:tc>
        <w:tc>
          <w:tcPr>
            <w:vAlign w:val="top"/>
          </w:tcPr>
          <w:p>
            <w:pPr>
              <w:pStyle w:val="Compact"/>
              <w:jc w:val="left"/>
            </w:pPr>
            <w:r>
              <w:t xml:space="preserve">Example: A wage policy that lifts low-income workers above a local living-wage line improves U1/D1.; Reviewer check: A reviewer checks whether the income/housing change is measured against a declared baseline cohort, not anecdote.</w:t>
            </w:r>
          </w:p>
        </w:tc>
      </w:tr>
      <w:tr>
        <w:tc>
          <w:tcPr>
            <w:shd w:val="clear" w:color="auto" w:fill="F7FBFE"/>
            <w:vAlign w:val="top"/>
          </w:tcPr>
          <w:p>
            <w:pPr>
              <w:pStyle w:val="Compact"/>
              <w:jc w:val="left"/>
            </w:pPr>
            <w:r>
              <w:rPr>
                <w:bCs/>
                <w:b/>
              </w:rPr>
              <w:t xml:space="preserve">U1/D2</w:t>
            </w:r>
            <w:r>
              <w:t xml:space="preserve"> </w:t>
            </w:r>
            <w:r>
              <w:t xml:space="preserve">- Personal Health (label: personal health)</w:t>
            </w:r>
          </w:p>
        </w:tc>
        <w:tc>
          <w:tcPr>
            <w:shd w:val="clear" w:color="auto" w:fill="F7FBFE"/>
            <w:vAlign w:val="top"/>
          </w:tcPr>
          <w:p>
            <w:pPr>
              <w:pStyle w:val="Compact"/>
              <w:jc w:val="left"/>
            </w:pPr>
            <w:r>
              <w:t xml:space="preserve">Evidence: morbidity / mortality data; care access and waiting times; injury and exposure records; validated mental-health measures; Gate classes: Rights Floor; Ordinary welfare. Uncertainty: Standard assessment. Interpretation: Frequently rights-covered: bodily integrity and access-to-care floors can trigger NCRC. Severe individual harm escalates regardless of aggregate benefit.</w:t>
            </w:r>
          </w:p>
        </w:tc>
        <w:tc>
          <w:tcPr>
            <w:shd w:val="clear" w:color="auto" w:fill="F7FBFE"/>
            <w:vAlign w:val="top"/>
          </w:tcPr>
          <w:p>
            <w:pPr>
              <w:pStyle w:val="Compact"/>
              <w:jc w:val="left"/>
            </w:pPr>
            <w:r>
              <w:t xml:space="preserve">Example: A treatment-access change that removes a barrier for a chronic-illness group improves U1/D2.; Reviewer check: A reviewer asks whether a claimed health gain rests on outcome data or only on inputs (e.g. clinics built ≠ health improved).</w:t>
            </w:r>
          </w:p>
        </w:tc>
      </w:tr>
      <w:tr>
        <w:tc>
          <w:tcPr>
            <w:vAlign w:val="top"/>
          </w:tcPr>
          <w:p>
            <w:pPr>
              <w:pStyle w:val="Compact"/>
              <w:jc w:val="left"/>
            </w:pPr>
            <w:r>
              <w:rPr>
                <w:bCs/>
                <w:b/>
              </w:rPr>
              <w:t xml:space="preserve">U1/D3</w:t>
            </w:r>
            <w:r>
              <w:t xml:space="preserve"> </w:t>
            </w:r>
            <w:r>
              <w:t xml:space="preserve">- Relationships (label: relationships)</w:t>
            </w:r>
          </w:p>
        </w:tc>
        <w:tc>
          <w:tcPr>
            <w:vAlign w:val="top"/>
          </w:tcPr>
          <w:p>
            <w:pPr>
              <w:pStyle w:val="Compact"/>
              <w:jc w:val="left"/>
            </w:pPr>
            <w:r>
              <w:t xml:space="preserve">Evidence: loneliness / connection surveys; support-network mapping; separation or displacement records; Gate classes: Ordinary welfare. Uncertainty: Explicitly elevated. Interpretation: Usually ordinary welfare; measurement is often soft, so uncertainty should be marked explicitly.</w:t>
            </w:r>
          </w:p>
        </w:tc>
        <w:tc>
          <w:tcPr>
            <w:vAlign w:val="top"/>
          </w:tcPr>
          <w:p>
            <w:pPr>
              <w:pStyle w:val="Compact"/>
              <w:jc w:val="left"/>
            </w:pPr>
            <w:r>
              <w:t xml:space="preserve">Example: A relocation program that keeps support networks intact protects U1/D3.; Reviewer check: A reviewer challenges whether a relationship claim is evidenced or inferred from a proxy like attendance.</w:t>
            </w:r>
          </w:p>
        </w:tc>
      </w:tr>
      <w:tr>
        <w:tc>
          <w:tcPr>
            <w:shd w:val="clear" w:color="auto" w:fill="F7FBFE"/>
            <w:vAlign w:val="top"/>
          </w:tcPr>
          <w:p>
            <w:pPr>
              <w:pStyle w:val="Compact"/>
              <w:jc w:val="left"/>
            </w:pPr>
            <w:r>
              <w:rPr>
                <w:bCs/>
                <w:b/>
              </w:rPr>
              <w:t xml:space="preserve">U1/D4</w:t>
            </w:r>
            <w:r>
              <w:t xml:space="preserve"> </w:t>
            </w:r>
            <w:r>
              <w:t xml:space="preserve">- Learning (label: learning)</w:t>
            </w:r>
          </w:p>
        </w:tc>
        <w:tc>
          <w:tcPr>
            <w:shd w:val="clear" w:color="auto" w:fill="F7FBFE"/>
            <w:vAlign w:val="top"/>
          </w:tcPr>
          <w:p>
            <w:pPr>
              <w:pStyle w:val="Compact"/>
              <w:jc w:val="left"/>
            </w:pPr>
            <w:r>
              <w:t xml:space="preserve">Evidence: enrolment and completion; skills assessments; access and dropout data; Gate classes: Ordinary welfare. Uncertainty: Standard assessment. Interpretation: Ordinary welfare; can touch rights where a basic-education entitlement exists.</w:t>
            </w:r>
          </w:p>
        </w:tc>
        <w:tc>
          <w:tcPr>
            <w:shd w:val="clear" w:color="auto" w:fill="F7FBFE"/>
            <w:vAlign w:val="top"/>
          </w:tcPr>
          <w:p>
            <w:pPr>
              <w:pStyle w:val="Compact"/>
              <w:jc w:val="left"/>
            </w:pPr>
            <w:r>
              <w:t xml:space="preserve">Example: A reskilling program for displaced workers improves U1/D4.; Reviewer check: A reviewer asks whether learning outcomes are demonstrated or only opportunity offered.</w:t>
            </w:r>
          </w:p>
        </w:tc>
      </w:tr>
      <w:tr>
        <w:tc>
          <w:tcPr>
            <w:vAlign w:val="top"/>
          </w:tcPr>
          <w:p>
            <w:pPr>
              <w:pStyle w:val="Compact"/>
              <w:jc w:val="left"/>
            </w:pPr>
            <w:r>
              <w:rPr>
                <w:bCs/>
                <w:b/>
              </w:rPr>
              <w:t xml:space="preserve">U1/D5</w:t>
            </w:r>
            <w:r>
              <w:t xml:space="preserve"> </w:t>
            </w:r>
            <w:r>
              <w:t xml:space="preserve">- Personal Agency (label: autonomy)</w:t>
            </w:r>
          </w:p>
        </w:tc>
        <w:tc>
          <w:tcPr>
            <w:vAlign w:val="top"/>
          </w:tcPr>
          <w:p>
            <w:pPr>
              <w:pStyle w:val="Compact"/>
              <w:jc w:val="left"/>
            </w:pPr>
            <w:r>
              <w:t xml:space="preserve">Evidence: consent quality; availability of alternatives / opt-out; coercion complaints; mobility and accessibility data; applicable legal protections; Gate classes: Rights Floor; Ordinary welfare. Uncertainty: Standard assessment. Interpretation: Often rights-covered. Triggers NCRC when liberty, bodily integrity, due process, dignity, or information rights are impaired — non-compensatory regardless of welfare gains elsewhere.</w:t>
            </w:r>
          </w:p>
        </w:tc>
        <w:tc>
          <w:tcPr>
            <w:vAlign w:val="top"/>
          </w:tcPr>
          <w:p>
            <w:pPr>
              <w:pStyle w:val="Compact"/>
              <w:jc w:val="left"/>
            </w:pPr>
            <w:r>
              <w:t xml:space="preserve">Example: A transport policy that gives disabled residents reliable independent mobility improves U1/D5.; Reviewer check: A reviewer tests whether consent was genuine and revocable, or merely formal.</w:t>
            </w:r>
          </w:p>
        </w:tc>
      </w:tr>
      <w:tr>
        <w:tc>
          <w:tcPr>
            <w:shd w:val="clear" w:color="auto" w:fill="F7FBFE"/>
            <w:vAlign w:val="top"/>
          </w:tcPr>
          <w:p>
            <w:pPr>
              <w:pStyle w:val="Compact"/>
              <w:jc w:val="left"/>
            </w:pPr>
            <w:r>
              <w:rPr>
                <w:bCs/>
                <w:b/>
              </w:rPr>
              <w:t xml:space="preserve">U1/D6</w:t>
            </w:r>
            <w:r>
              <w:t xml:space="preserve"> </w:t>
            </w:r>
            <w:r>
              <w:t xml:space="preserve">- Purpose (label: purpose)</w:t>
            </w:r>
          </w:p>
        </w:tc>
        <w:tc>
          <w:tcPr>
            <w:shd w:val="clear" w:color="auto" w:fill="F7FBFE"/>
            <w:vAlign w:val="top"/>
          </w:tcPr>
          <w:p>
            <w:r>
              <w:t>Evidence: dignity / recognition measures; role and identity surveys; qualitative testimony; Gate classes: Rights-relevance cue; Ordinary welfare. Uncertainty: Explicitly elevated. Interpretation: Rights review is required when the underlying effect instantiates dignity, discrimination, coercion, conscience, or another protected interest routed through Appendix C.2 or a governed extension; otherwise this remains ordinary D6 welfare. Often hard to measure — mark uncertainty.</w:t>
            </w:r>
          </w:p>
        </w:tc>
        <w:tc>
          <w:tcPr>
            <w:shd w:val="clear" w:color="auto" w:fill="F7FBFE"/>
            <w:vAlign w:val="top"/>
          </w:tcPr>
          <w:p>
            <w:pPr>
              <w:pStyle w:val="Compact"/>
              <w:jc w:val="left"/>
            </w:pPr>
            <w:r>
              <w:t xml:space="preserve">Example: A program that treats welfare recipients with dignified, non-stigmatising processes supports U1/D6.; Reviewer check: A reviewer distinguishes a genuine dignity effect from sentiment unsupported by experience data.</w:t>
            </w:r>
          </w:p>
        </w:tc>
      </w:tr>
      <w:tr>
        <w:tc>
          <w:tcPr>
            <w:vAlign w:val="top"/>
          </w:tcPr>
          <w:p>
            <w:pPr>
              <w:pStyle w:val="Compact"/>
              <w:jc w:val="left"/>
            </w:pPr>
            <w:r>
              <w:rPr>
                <w:bCs/>
                <w:b/>
              </w:rPr>
              <w:t xml:space="preserve">U1/D7</w:t>
            </w:r>
            <w:r>
              <w:t xml:space="preserve"> </w:t>
            </w:r>
            <w:r>
              <w:t xml:space="preserve">- Local Conditions (label: local conditions)</w:t>
            </w:r>
          </w:p>
        </w:tc>
        <w:tc>
          <w:tcPr>
            <w:vAlign w:val="top"/>
          </w:tcPr>
          <w:p>
            <w:r>
              <w:t>Evidence: local air/water/noise monitoring; hazard proximity; exposure records; Gate classes: Rights-relevance cue; Ordinary welfare. Uncertainty: Standard assessment. Interpretation: Ordinary D7 welfare unless the underlying exposure is separately routed to Health, Basic Needs/habitability, Dignity, Agency, or another protected interest under Appendix C.2 or a governed extension.</w:t>
            </w:r>
          </w:p>
        </w:tc>
        <w:tc>
          <w:tcPr>
            <w:vAlign w:val="top"/>
          </w:tcPr>
          <w:p>
            <w:pPr>
              <w:pStyle w:val="Compact"/>
              <w:jc w:val="left"/>
            </w:pPr>
            <w:r>
              <w:t xml:space="preserve">Example: A factory buffer-zone rule that cuts a household’s pollutant exposure improves U1/D7.; Reviewer check: A reviewer checks measured exposure change against the affected location, not a city-wide average.</w:t>
            </w:r>
          </w:p>
        </w:tc>
      </w:tr>
    </w:tbl>
    <w:bookmarkEnd w:id="643"/>
    <w:bookmarkStart w:id="644" w:name="u2-household---meaning-and-movement"/>
    <w:p>
      <w:pPr>
        <w:pStyle w:val="Heading3"/>
      </w:pPr>
      <w:r>
        <w:rPr>
          <w:bCs/>
          <w:b/>
        </w:rPr>
        <w:t xml:space="preserve">U2 Household - meaning and movement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What this cell measures</w:t>
            </w:r>
          </w:p>
        </w:tc>
        <w:tc>
          <w:tcPr>
            <w:shd w:val="clear" w:color="auto" w:fill="D9EAF7"/>
            <w:vAlign w:val="center"/>
          </w:tcPr>
          <w:p>
            <w:pPr>
              <w:pStyle w:val="Compact"/>
              <w:jc w:val="left"/>
            </w:pPr>
            <w:r>
              <w:rPr>
                <w:bCs/>
                <w:b/>
                <w:color w:val="17365D"/>
              </w:rPr>
              <w:t xml:space="preserve">+ Benefit</w:t>
            </w:r>
          </w:p>
        </w:tc>
        <w:tc>
          <w:tcPr>
            <w:shd w:val="clear" w:color="auto" w:fill="D9EAF7"/>
            <w:vAlign w:val="center"/>
          </w:tcPr>
          <w:p>
            <w:pPr>
              <w:pStyle w:val="Compact"/>
              <w:jc w:val="left"/>
            </w:pPr>
            <w:r>
              <w:rPr>
                <w:bCs/>
                <w:b/>
                <w:color w:val="17365D"/>
              </w:rPr>
              <w:t xml:space="preserve">- Harm</w:t>
            </w:r>
          </w:p>
        </w:tc>
      </w:tr>
      <w:tr>
        <w:tc>
          <w:tcPr>
            <w:vAlign w:val="top"/>
          </w:tcPr>
          <w:p>
            <w:pPr>
              <w:pStyle w:val="Compact"/>
              <w:jc w:val="left"/>
            </w:pPr>
            <w:r>
              <w:rPr>
                <w:bCs/>
                <w:b/>
              </w:rPr>
              <w:t xml:space="preserve">U2/D1</w:t>
            </w:r>
            <w:r>
              <w:t xml:space="preserve"> </w:t>
            </w:r>
            <w:r>
              <w:t xml:space="preserve">- Household Resources (label: household resources)</w:t>
            </w:r>
          </w:p>
        </w:tc>
        <w:tc>
          <w:tcPr>
            <w:vAlign w:val="top"/>
          </w:tcPr>
          <w:p>
            <w:pPr>
              <w:pStyle w:val="Compact"/>
              <w:jc w:val="left"/>
            </w:pPr>
            <w:r>
              <w:t xml:space="preserve">The economic security of the household unit: shared income, assets, housing, and ability to meet needs.</w:t>
            </w:r>
          </w:p>
        </w:tc>
        <w:tc>
          <w:tcPr>
            <w:vAlign w:val="top"/>
          </w:tcPr>
          <w:p>
            <w:pPr>
              <w:pStyle w:val="Compact"/>
              <w:jc w:val="left"/>
            </w:pPr>
            <w:r>
              <w:t xml:space="preserve">Improved household finances, housing security, reduced shared debt.</w:t>
            </w:r>
          </w:p>
        </w:tc>
        <w:tc>
          <w:tcPr>
            <w:vAlign w:val="top"/>
          </w:tcPr>
          <w:p>
            <w:pPr>
              <w:pStyle w:val="Compact"/>
              <w:jc w:val="left"/>
            </w:pPr>
            <w:r>
              <w:t xml:space="preserve">Household impoverishment, housing loss, debt, inability to meet needs.</w:t>
            </w:r>
          </w:p>
        </w:tc>
      </w:tr>
      <w:tr>
        <w:tc>
          <w:tcPr>
            <w:shd w:val="clear" w:color="auto" w:fill="F7FBFE"/>
            <w:vAlign w:val="top"/>
          </w:tcPr>
          <w:p>
            <w:pPr>
              <w:pStyle w:val="Compact"/>
              <w:jc w:val="left"/>
            </w:pPr>
            <w:r>
              <w:rPr>
                <w:bCs/>
                <w:b/>
              </w:rPr>
              <w:t xml:space="preserve">U2/D2</w:t>
            </w:r>
            <w:r>
              <w:t xml:space="preserve"> </w:t>
            </w:r>
            <w:r>
              <w:t xml:space="preserve">- Household Health (label: household health)</w:t>
            </w:r>
          </w:p>
        </w:tc>
        <w:tc>
          <w:tcPr>
            <w:shd w:val="clear" w:color="auto" w:fill="F7FBFE"/>
            <w:vAlign w:val="top"/>
          </w:tcPr>
          <w:p>
            <w:pPr>
              <w:pStyle w:val="Compact"/>
              <w:jc w:val="left"/>
            </w:pPr>
            <w:r>
              <w:t xml:space="preserve">The collective physical and mental health and safety of household members, including dependents.</w:t>
            </w:r>
          </w:p>
        </w:tc>
        <w:tc>
          <w:tcPr>
            <w:shd w:val="clear" w:color="auto" w:fill="F7FBFE"/>
            <w:vAlign w:val="top"/>
          </w:tcPr>
          <w:p>
            <w:pPr>
              <w:pStyle w:val="Compact"/>
              <w:jc w:val="left"/>
            </w:pPr>
            <w:r>
              <w:t xml:space="preserve">Better shared health, safer home, improved care for dependents and caregivers.</w:t>
            </w:r>
          </w:p>
        </w:tc>
        <w:tc>
          <w:tcPr>
            <w:shd w:val="clear" w:color="auto" w:fill="F7FBFE"/>
            <w:vAlign w:val="top"/>
          </w:tcPr>
          <w:p>
            <w:pPr>
              <w:pStyle w:val="Compact"/>
              <w:jc w:val="left"/>
            </w:pPr>
            <w:r>
              <w:t xml:space="preserve">Household illness, unsafe housing, caregiver burnout, harm to dependents.</w:t>
            </w:r>
          </w:p>
        </w:tc>
      </w:tr>
      <w:tr>
        <w:tc>
          <w:tcPr>
            <w:vAlign w:val="top"/>
          </w:tcPr>
          <w:p>
            <w:pPr>
              <w:pStyle w:val="Compact"/>
              <w:jc w:val="left"/>
            </w:pPr>
            <w:r>
              <w:rPr>
                <w:bCs/>
                <w:b/>
              </w:rPr>
              <w:t xml:space="preserve">U2/D3</w:t>
            </w:r>
            <w:r>
              <w:t xml:space="preserve"> </w:t>
            </w:r>
            <w:r>
              <w:t xml:space="preserve">- Family Cohesion (label: family cohesion)</w:t>
            </w:r>
          </w:p>
        </w:tc>
        <w:tc>
          <w:tcPr>
            <w:vAlign w:val="top"/>
          </w:tcPr>
          <w:p>
            <w:pPr>
              <w:pStyle w:val="Compact"/>
              <w:jc w:val="left"/>
            </w:pPr>
            <w:r>
              <w:t xml:space="preserve">The strength, stability, and supportive quality of relationships within the household.</w:t>
            </w:r>
          </w:p>
        </w:tc>
        <w:tc>
          <w:tcPr>
            <w:vAlign w:val="top"/>
          </w:tcPr>
          <w:p>
            <w:pPr>
              <w:pStyle w:val="Compact"/>
              <w:jc w:val="left"/>
            </w:pPr>
            <w:r>
              <w:t xml:space="preserve">Stronger family bonds, stability, reduced conflict, kept-together units.</w:t>
            </w:r>
          </w:p>
        </w:tc>
        <w:tc>
          <w:tcPr>
            <w:vAlign w:val="top"/>
          </w:tcPr>
          <w:p>
            <w:pPr>
              <w:pStyle w:val="Compact"/>
              <w:jc w:val="left"/>
            </w:pPr>
            <w:r>
              <w:t xml:space="preserve">Family breakdown, forced separation, household conflict, instability.</w:t>
            </w:r>
          </w:p>
        </w:tc>
      </w:tr>
      <w:tr>
        <w:tc>
          <w:tcPr>
            <w:shd w:val="clear" w:color="auto" w:fill="F7FBFE"/>
            <w:vAlign w:val="top"/>
          </w:tcPr>
          <w:p>
            <w:pPr>
              <w:pStyle w:val="Compact"/>
              <w:jc w:val="left"/>
            </w:pPr>
            <w:r>
              <w:rPr>
                <w:bCs/>
                <w:b/>
              </w:rPr>
              <w:t xml:space="preserve">U2/D4</w:t>
            </w:r>
            <w:r>
              <w:t xml:space="preserve"> </w:t>
            </w:r>
            <w:r>
              <w:t xml:space="preserve">- Shared Learning (label: shared learning)</w:t>
            </w:r>
          </w:p>
        </w:tc>
        <w:tc>
          <w:tcPr>
            <w:shd w:val="clear" w:color="auto" w:fill="F7FBFE"/>
            <w:vAlign w:val="top"/>
          </w:tcPr>
          <w:p>
            <w:pPr>
              <w:pStyle w:val="Compact"/>
              <w:jc w:val="left"/>
            </w:pPr>
            <w:r>
              <w:t xml:space="preserve">The household’s collective access to information, education, and learning capacity.</w:t>
            </w:r>
          </w:p>
        </w:tc>
        <w:tc>
          <w:tcPr>
            <w:shd w:val="clear" w:color="auto" w:fill="F7FBFE"/>
            <w:vAlign w:val="top"/>
          </w:tcPr>
          <w:p>
            <w:pPr>
              <w:pStyle w:val="Compact"/>
              <w:jc w:val="left"/>
            </w:pPr>
            <w:r>
              <w:t xml:space="preserve">Better shared access to education and information, intergenerational learning.</w:t>
            </w:r>
          </w:p>
        </w:tc>
        <w:tc>
          <w:tcPr>
            <w:shd w:val="clear" w:color="auto" w:fill="F7FBFE"/>
            <w:vAlign w:val="top"/>
          </w:tcPr>
          <w:p>
            <w:pPr>
              <w:pStyle w:val="Compact"/>
              <w:jc w:val="left"/>
            </w:pPr>
            <w:r>
              <w:t xml:space="preserve">Loss of household educational access, information poverty.</w:t>
            </w:r>
          </w:p>
        </w:tc>
      </w:tr>
      <w:tr>
        <w:tc>
          <w:tcPr>
            <w:vAlign w:val="top"/>
          </w:tcPr>
          <w:p>
            <w:pPr>
              <w:pStyle w:val="Compact"/>
              <w:jc w:val="left"/>
            </w:pPr>
            <w:r>
              <w:rPr>
                <w:bCs/>
                <w:b/>
              </w:rPr>
              <w:t xml:space="preserve">U2/D5</w:t>
            </w:r>
            <w:r>
              <w:t xml:space="preserve"> </w:t>
            </w:r>
            <w:r>
              <w:t xml:space="preserve">- Household Agency (label: household agency)</w:t>
            </w:r>
          </w:p>
        </w:tc>
        <w:tc>
          <w:tcPr>
            <w:vAlign w:val="top"/>
          </w:tcPr>
          <w:p>
            <w:pPr>
              <w:pStyle w:val="Compact"/>
              <w:jc w:val="left"/>
            </w:pPr>
            <w:r>
              <w:t xml:space="preserve">The household’s collective ability to make decisions, plan, and control its own circumstances.</w:t>
            </w:r>
          </w:p>
        </w:tc>
        <w:tc>
          <w:tcPr>
            <w:vAlign w:val="top"/>
          </w:tcPr>
          <w:p>
            <w:pPr>
              <w:pStyle w:val="Compact"/>
              <w:jc w:val="left"/>
            </w:pPr>
            <w:r>
              <w:t xml:space="preserve">Greater household self-determination, planning ability, freedom from external control.</w:t>
            </w:r>
          </w:p>
        </w:tc>
        <w:tc>
          <w:tcPr>
            <w:vAlign w:val="top"/>
          </w:tcPr>
          <w:p>
            <w:pPr>
              <w:pStyle w:val="Compact"/>
              <w:jc w:val="left"/>
            </w:pPr>
            <w:r>
              <w:t xml:space="preserve">Loss of household control, externally imposed decisions, dependency.</w:t>
            </w:r>
          </w:p>
        </w:tc>
      </w:tr>
      <w:tr>
        <w:tc>
          <w:tcPr>
            <w:shd w:val="clear" w:color="auto" w:fill="F7FBFE"/>
            <w:vAlign w:val="top"/>
          </w:tcPr>
          <w:p>
            <w:pPr>
              <w:pStyle w:val="Compact"/>
              <w:jc w:val="left"/>
            </w:pPr>
            <w:r>
              <w:rPr>
                <w:bCs/>
                <w:b/>
              </w:rPr>
              <w:t xml:space="preserve">U2/D6</w:t>
            </w:r>
            <w:r>
              <w:t xml:space="preserve"> </w:t>
            </w:r>
            <w:r>
              <w:t xml:space="preserve">- Family Meaning (label: family meaning)</w:t>
            </w:r>
          </w:p>
        </w:tc>
        <w:tc>
          <w:tcPr>
            <w:shd w:val="clear" w:color="auto" w:fill="F7FBFE"/>
            <w:vAlign w:val="top"/>
          </w:tcPr>
          <w:p>
            <w:pPr>
              <w:pStyle w:val="Compact"/>
              <w:jc w:val="left"/>
            </w:pPr>
            <w:r>
              <w:t xml:space="preserve">The household’s shared sense of identity, belonging, dignity, and purpose.</w:t>
            </w:r>
          </w:p>
        </w:tc>
        <w:tc>
          <w:tcPr>
            <w:shd w:val="clear" w:color="auto" w:fill="F7FBFE"/>
            <w:vAlign w:val="top"/>
          </w:tcPr>
          <w:p>
            <w:pPr>
              <w:pStyle w:val="Compact"/>
              <w:jc w:val="left"/>
            </w:pPr>
            <w:r>
              <w:t xml:space="preserve">Stronger shared identity, belonging, dignity, and continuity.</w:t>
            </w:r>
          </w:p>
        </w:tc>
        <w:tc>
          <w:tcPr>
            <w:shd w:val="clear" w:color="auto" w:fill="F7FBFE"/>
            <w:vAlign w:val="top"/>
          </w:tcPr>
          <w:p>
            <w:pPr>
              <w:pStyle w:val="Compact"/>
              <w:jc w:val="left"/>
            </w:pPr>
            <w:r>
              <w:t xml:space="preserve">Loss of household identity, stigma, indignity, eroded belonging.</w:t>
            </w:r>
          </w:p>
        </w:tc>
      </w:tr>
      <w:tr>
        <w:tc>
          <w:tcPr>
            <w:vAlign w:val="top"/>
          </w:tcPr>
          <w:p>
            <w:pPr>
              <w:pStyle w:val="Compact"/>
              <w:jc w:val="left"/>
            </w:pPr>
            <w:r>
              <w:rPr>
                <w:bCs/>
                <w:b/>
              </w:rPr>
              <w:t xml:space="preserve">U2/D7</w:t>
            </w:r>
            <w:r>
              <w:t xml:space="preserve"> </w:t>
            </w:r>
            <w:r>
              <w:t xml:space="preserve">- Home Environment (label: home environment)</w:t>
            </w:r>
          </w:p>
        </w:tc>
        <w:tc>
          <w:tcPr>
            <w:vAlign w:val="top"/>
          </w:tcPr>
          <w:p>
            <w:pPr>
              <w:pStyle w:val="Compact"/>
              <w:jc w:val="left"/>
            </w:pPr>
            <w:r>
              <w:t xml:space="preserve">The physical environmental quality of the home and its immediate setting.</w:t>
            </w:r>
          </w:p>
        </w:tc>
        <w:tc>
          <w:tcPr>
            <w:vAlign w:val="top"/>
          </w:tcPr>
          <w:p>
            <w:pPr>
              <w:pStyle w:val="Compact"/>
              <w:jc w:val="left"/>
            </w:pPr>
            <w:r>
              <w:t xml:space="preserve">Healthier home conditions, reduced indoor hazards, better surroundings.</w:t>
            </w:r>
          </w:p>
        </w:tc>
        <w:tc>
          <w:tcPr>
            <w:vAlign w:val="top"/>
          </w:tcPr>
          <w:p>
            <w:pPr>
              <w:pStyle w:val="Compact"/>
              <w:jc w:val="left"/>
            </w:pPr>
            <w:r>
              <w:t xml:space="preserve">Indoor pollution, mould, hazards, degraded immediate environment.</w:t>
            </w:r>
          </w:p>
        </w:tc>
      </w:tr>
    </w:tbl>
    <w:bookmarkEnd w:id="644"/>
    <w:bookmarkStart w:id="645" w:name="u2-household---evidence-and-review"/>
    <w:p>
      <w:pPr>
        <w:pStyle w:val="Heading3"/>
      </w:pPr>
      <w:r>
        <w:rPr>
          <w:bCs/>
          <w:b/>
        </w:rPr>
        <w:t xml:space="preserve">U2 Household - evidence and review</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Evidence and gate cues</w:t>
            </w:r>
          </w:p>
        </w:tc>
        <w:tc>
          <w:tcPr>
            <w:shd w:val="clear" w:color="auto" w:fill="D9EAF7"/>
            <w:vAlign w:val="center"/>
          </w:tcPr>
          <w:p>
            <w:pPr>
              <w:pStyle w:val="Compact"/>
              <w:jc w:val="left"/>
            </w:pPr>
            <w:r>
              <w:rPr>
                <w:bCs/>
                <w:b/>
                <w:color w:val="17365D"/>
              </w:rPr>
              <w:t xml:space="preserve">Example and reviewer check</w:t>
            </w:r>
          </w:p>
        </w:tc>
      </w:tr>
      <w:tr>
        <w:tc>
          <w:tcPr>
            <w:vAlign w:val="top"/>
          </w:tcPr>
          <w:p>
            <w:pPr>
              <w:pStyle w:val="Compact"/>
              <w:jc w:val="left"/>
            </w:pPr>
            <w:r>
              <w:rPr>
                <w:bCs/>
                <w:b/>
              </w:rPr>
              <w:t xml:space="preserve">U2/D1</w:t>
            </w:r>
            <w:r>
              <w:t xml:space="preserve"> </w:t>
            </w:r>
            <w:r>
              <w:t xml:space="preserve">- Household Resources (label: household resources)</w:t>
            </w:r>
          </w:p>
        </w:tc>
        <w:tc>
          <w:tcPr>
            <w:vAlign w:val="top"/>
          </w:tcPr>
          <w:p>
            <w:pPr>
              <w:pStyle w:val="Compact"/>
              <w:jc w:val="left"/>
            </w:pPr>
            <w:r>
              <w:t xml:space="preserve">Evidence: household income and assets; housing tenure; arrears and food-security data; Gate classes: Ordinary welfare. Uncertainty: Standard assessment. Interpretation: Ordinary welfare; escalates toward rights where dependents (children, disabled members) face a subsistence floor.</w:t>
            </w:r>
          </w:p>
        </w:tc>
        <w:tc>
          <w:tcPr>
            <w:vAlign w:val="top"/>
          </w:tcPr>
          <w:p>
            <w:pPr>
              <w:pStyle w:val="Compact"/>
              <w:jc w:val="left"/>
            </w:pPr>
            <w:r>
              <w:t xml:space="preserve">Example: A childcare subsidy that frees household income improves U2/D1.; Reviewer check: A reviewer asks whether the household, not just the earner, is the measured unit.</w:t>
            </w:r>
          </w:p>
        </w:tc>
      </w:tr>
      <w:tr>
        <w:tc>
          <w:tcPr>
            <w:shd w:val="clear" w:color="auto" w:fill="F7FBFE"/>
            <w:vAlign w:val="top"/>
          </w:tcPr>
          <w:p>
            <w:pPr>
              <w:pStyle w:val="Compact"/>
              <w:jc w:val="left"/>
            </w:pPr>
            <w:r>
              <w:rPr>
                <w:bCs/>
                <w:b/>
              </w:rPr>
              <w:t xml:space="preserve">U2/D2</w:t>
            </w:r>
            <w:r>
              <w:t xml:space="preserve"> </w:t>
            </w:r>
            <w:r>
              <w:t xml:space="preserve">- Household Health (label: household health)</w:t>
            </w:r>
          </w:p>
        </w:tc>
        <w:tc>
          <w:tcPr>
            <w:shd w:val="clear" w:color="auto" w:fill="F7FBFE"/>
            <w:vAlign w:val="top"/>
          </w:tcPr>
          <w:p>
            <w:pPr>
              <w:pStyle w:val="Compact"/>
              <w:jc w:val="left"/>
            </w:pPr>
            <w:r>
              <w:t xml:space="preserve">Evidence: household health surveys; home-safety inspections; caregiver-strain measures; dependent outcome data; Gate classes: Rights Floor; Ordinary welfare. Uncertainty: Standard assessment. Interpretation: Frequently rights-covered where children or dependents are affected; child welfare can trigger NCRC. Caregiver harm is easily hidden — surface it.</w:t>
            </w:r>
          </w:p>
        </w:tc>
        <w:tc>
          <w:tcPr>
            <w:shd w:val="clear" w:color="auto" w:fill="F7FBFE"/>
            <w:vAlign w:val="top"/>
          </w:tcPr>
          <w:p>
            <w:pPr>
              <w:pStyle w:val="Compact"/>
              <w:jc w:val="left"/>
            </w:pPr>
            <w:r>
              <w:t xml:space="preserve">Example: A home-care support program that reduces caregiver strain and improves a dependent’s health raises U2/D2.; Reviewer check: A reviewer checks that dependents and caregivers are scored separately, not blended into one household figure.</w:t>
            </w:r>
          </w:p>
        </w:tc>
      </w:tr>
      <w:tr>
        <w:tc>
          <w:tcPr>
            <w:vAlign w:val="top"/>
          </w:tcPr>
          <w:p>
            <w:pPr>
              <w:pStyle w:val="Compact"/>
              <w:jc w:val="left"/>
            </w:pPr>
            <w:r>
              <w:rPr>
                <w:bCs/>
                <w:b/>
              </w:rPr>
              <w:t xml:space="preserve">U2/D3</w:t>
            </w:r>
            <w:r>
              <w:t xml:space="preserve"> </w:t>
            </w:r>
            <w:r>
              <w:t xml:space="preserve">- Family Cohesion (label: family cohesion)</w:t>
            </w:r>
          </w:p>
        </w:tc>
        <w:tc>
          <w:tcPr>
            <w:vAlign w:val="top"/>
          </w:tcPr>
          <w:p>
            <w:pPr>
              <w:pStyle w:val="Compact"/>
              <w:jc w:val="left"/>
            </w:pPr>
            <w:r>
              <w:t xml:space="preserve">Evidence: family-stability surveys; separation / removal records; conflict indicators; Gate classes: Rights Floor; Ordinary welfare. Uncertainty: Explicitly elevated. Interpretation: Can be rights-covered (family unity, child rights); otherwise ordinary. Measurement is soft — mark uncertainty.</w:t>
            </w:r>
          </w:p>
        </w:tc>
        <w:tc>
          <w:tcPr>
            <w:vAlign w:val="top"/>
          </w:tcPr>
          <w:p>
            <w:pPr>
              <w:pStyle w:val="Compact"/>
              <w:jc w:val="left"/>
            </w:pPr>
            <w:r>
              <w:t xml:space="preserve">Example: A policy that avoids unnecessary family separation in housing transitions protects U2/D3.; Reviewer check: A reviewer asks whether a cohesion claim rests on outcomes or on assumed effects of a program.</w:t>
            </w:r>
          </w:p>
        </w:tc>
      </w:tr>
      <w:tr>
        <w:tc>
          <w:tcPr>
            <w:shd w:val="clear" w:color="auto" w:fill="F7FBFE"/>
            <w:vAlign w:val="top"/>
          </w:tcPr>
          <w:p>
            <w:pPr>
              <w:pStyle w:val="Compact"/>
              <w:jc w:val="left"/>
            </w:pPr>
            <w:r>
              <w:rPr>
                <w:bCs/>
                <w:b/>
              </w:rPr>
              <w:t xml:space="preserve">U2/D4</w:t>
            </w:r>
            <w:r>
              <w:t xml:space="preserve"> </w:t>
            </w:r>
            <w:r>
              <w:t xml:space="preserve">- Shared Learning (label: shared learning)</w:t>
            </w:r>
          </w:p>
        </w:tc>
        <w:tc>
          <w:tcPr>
            <w:shd w:val="clear" w:color="auto" w:fill="F7FBFE"/>
            <w:vAlign w:val="top"/>
          </w:tcPr>
          <w:p>
            <w:pPr>
              <w:pStyle w:val="Compact"/>
              <w:jc w:val="left"/>
            </w:pPr>
            <w:r>
              <w:t xml:space="preserve">Evidence: household connectivity / device access; children’s schooling continuity; adult-learning access; Gate classes: Ordinary welfare. Uncertainty: Standard assessment. Interpretation: Ordinary welfare; touches rights where basic-education entitlements for children apply.</w:t>
            </w:r>
          </w:p>
        </w:tc>
        <w:tc>
          <w:tcPr>
            <w:shd w:val="clear" w:color="auto" w:fill="F7FBFE"/>
            <w:vAlign w:val="top"/>
          </w:tcPr>
          <w:p>
            <w:pPr>
              <w:pStyle w:val="Compact"/>
              <w:jc w:val="left"/>
            </w:pPr>
            <w:r>
              <w:t xml:space="preserve">Example: A home-broadband program that enables children’s remote schooling improves U2/D4.; Reviewer check: A reviewer checks access actually reaches the household, not just the area.</w:t>
            </w:r>
          </w:p>
        </w:tc>
      </w:tr>
      <w:tr>
        <w:tc>
          <w:tcPr>
            <w:vAlign w:val="top"/>
          </w:tcPr>
          <w:p>
            <w:pPr>
              <w:pStyle w:val="Compact"/>
              <w:jc w:val="left"/>
            </w:pPr>
            <w:r>
              <w:rPr>
                <w:bCs/>
                <w:b/>
              </w:rPr>
              <w:t xml:space="preserve">U2/D5</w:t>
            </w:r>
            <w:r>
              <w:t xml:space="preserve"> </w:t>
            </w:r>
            <w:r>
              <w:t xml:space="preserve">- Household Agency (label: household agency)</w:t>
            </w:r>
          </w:p>
        </w:tc>
        <w:tc>
          <w:tcPr>
            <w:vAlign w:val="top"/>
          </w:tcPr>
          <w:p>
            <w:pPr>
              <w:pStyle w:val="Compact"/>
              <w:jc w:val="left"/>
            </w:pPr>
            <w:r>
              <w:t xml:space="preserve">Evidence: decision-autonomy surveys; dependency / conditionality of support; forced-relocation data; Gate classes: Rights Floor; Ordinary welfare. Uncertainty: Standard assessment. Interpretation: Can be rights-covered (family privacy, autonomy); otherwise ordinary.</w:t>
            </w:r>
          </w:p>
        </w:tc>
        <w:tc>
          <w:tcPr>
            <w:vAlign w:val="top"/>
          </w:tcPr>
          <w:p>
            <w:pPr>
              <w:pStyle w:val="Compact"/>
              <w:jc w:val="left"/>
            </w:pPr>
            <w:r>
              <w:t xml:space="preserve">Example: A flexible-benefit design that lets households allocate support to their own priorities raises U2/D5.; Reviewer check: A reviewer tests whether household choice is real or constrained by conditions.</w:t>
            </w:r>
          </w:p>
        </w:tc>
      </w:tr>
      <w:tr>
        <w:tc>
          <w:tcPr>
            <w:shd w:val="clear" w:color="auto" w:fill="F7FBFE"/>
            <w:vAlign w:val="top"/>
          </w:tcPr>
          <w:p>
            <w:pPr>
              <w:pStyle w:val="Compact"/>
              <w:jc w:val="left"/>
            </w:pPr>
            <w:r>
              <w:rPr>
                <w:bCs/>
                <w:b/>
              </w:rPr>
              <w:t xml:space="preserve">U2/D6</w:t>
            </w:r>
            <w:r>
              <w:t xml:space="preserve"> </w:t>
            </w:r>
            <w:r>
              <w:t xml:space="preserve">- Family Meaning (label: family meaning)</w:t>
            </w:r>
          </w:p>
        </w:tc>
        <w:tc>
          <w:tcPr>
            <w:shd w:val="clear" w:color="auto" w:fill="F7FBFE"/>
            <w:vAlign w:val="top"/>
          </w:tcPr>
          <w:p>
            <w:pPr>
              <w:pStyle w:val="Compact"/>
              <w:jc w:val="left"/>
            </w:pPr>
            <w:r>
              <w:t xml:space="preserve">Evidence: belonging / identity surveys; stigma indicators; qualitative testimony; Gate classes: Ordinary welfare. Uncertainty: Explicitly elevated. Interpretation: Usually ordinary welfare; can touch dignity rights. Soft to measure — mark uncertainty.</w:t>
            </w:r>
          </w:p>
        </w:tc>
        <w:tc>
          <w:tcPr>
            <w:shd w:val="clear" w:color="auto" w:fill="F7FBFE"/>
            <w:vAlign w:val="top"/>
          </w:tcPr>
          <w:p>
            <w:pPr>
              <w:pStyle w:val="Compact"/>
              <w:jc w:val="left"/>
            </w:pPr>
            <w:r>
              <w:t xml:space="preserve">Example: A culturally-respectful resettlement process preserves U2/D6.; Reviewer check: A reviewer separates a real meaning effect from program rhetoric.</w:t>
            </w:r>
          </w:p>
        </w:tc>
      </w:tr>
      <w:tr>
        <w:tc>
          <w:tcPr>
            <w:vAlign w:val="top"/>
          </w:tcPr>
          <w:p>
            <w:pPr>
              <w:pStyle w:val="Compact"/>
              <w:jc w:val="left"/>
            </w:pPr>
            <w:r>
              <w:rPr>
                <w:bCs/>
                <w:b/>
              </w:rPr>
              <w:t xml:space="preserve">U2/D7</w:t>
            </w:r>
            <w:r>
              <w:t xml:space="preserve"> </w:t>
            </w:r>
            <w:r>
              <w:t xml:space="preserve">- Home Environment (label: home environment)</w:t>
            </w:r>
          </w:p>
        </w:tc>
        <w:tc>
          <w:tcPr>
            <w:vAlign w:val="top"/>
          </w:tcPr>
          <w:p>
            <w:r>
              <w:t>Evidence: housing-quality inspections; indoor air / damp measures; hazard records; Gate classes: Rights-relevance cue; Ordinary welfare. Uncertainty: Standard assessment. Interpretation: Ordinary D7 welfare; habitability, health, dependent-protection, or basic-needs effects must be separately routed to the applicable rights-covered dimension.</w:t>
            </w:r>
          </w:p>
        </w:tc>
        <w:tc>
          <w:tcPr>
            <w:vAlign w:val="top"/>
          </w:tcPr>
          <w:p>
            <w:pPr>
              <w:pStyle w:val="Compact"/>
              <w:jc w:val="left"/>
            </w:pPr>
            <w:r>
              <w:t xml:space="preserve">Example: A retrofit program that removes household mould improves U2/D7.; Reviewer check: A reviewer checks measured home conditions, not self-report alone.</w:t>
            </w:r>
          </w:p>
        </w:tc>
      </w:tr>
    </w:tbl>
    <w:bookmarkEnd w:id="645"/>
    <w:bookmarkStart w:id="646" w:name="u3-community---meaning-and-movement"/>
    <w:p>
      <w:pPr>
        <w:pStyle w:val="Heading3"/>
      </w:pPr>
      <w:r>
        <w:rPr>
          <w:bCs/>
          <w:b/>
        </w:rPr>
        <w:t xml:space="preserve">U3 Community - meaning and movement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What this cell measures</w:t>
            </w:r>
          </w:p>
        </w:tc>
        <w:tc>
          <w:tcPr>
            <w:shd w:val="clear" w:color="auto" w:fill="D9EAF7"/>
            <w:vAlign w:val="center"/>
          </w:tcPr>
          <w:p>
            <w:pPr>
              <w:pStyle w:val="Compact"/>
              <w:jc w:val="left"/>
            </w:pPr>
            <w:r>
              <w:rPr>
                <w:bCs/>
                <w:b/>
                <w:color w:val="17365D"/>
              </w:rPr>
              <w:t xml:space="preserve">+ Benefit</w:t>
            </w:r>
          </w:p>
        </w:tc>
        <w:tc>
          <w:tcPr>
            <w:shd w:val="clear" w:color="auto" w:fill="D9EAF7"/>
            <w:vAlign w:val="center"/>
          </w:tcPr>
          <w:p>
            <w:pPr>
              <w:pStyle w:val="Compact"/>
              <w:jc w:val="left"/>
            </w:pPr>
            <w:r>
              <w:rPr>
                <w:bCs/>
                <w:b/>
                <w:color w:val="17365D"/>
              </w:rPr>
              <w:t xml:space="preserve">- Harm</w:t>
            </w:r>
          </w:p>
        </w:tc>
      </w:tr>
      <w:tr>
        <w:tc>
          <w:tcPr>
            <w:vAlign w:val="top"/>
          </w:tcPr>
          <w:p>
            <w:pPr>
              <w:pStyle w:val="Compact"/>
              <w:jc w:val="left"/>
            </w:pPr>
            <w:r>
              <w:rPr>
                <w:bCs/>
                <w:b/>
              </w:rPr>
              <w:t xml:space="preserve">U3/D1</w:t>
            </w:r>
            <w:r>
              <w:t xml:space="preserve"> </w:t>
            </w:r>
            <w:r>
              <w:t xml:space="preserve">- Local Resources (label: local resources)</w:t>
            </w:r>
          </w:p>
        </w:tc>
        <w:tc>
          <w:tcPr>
            <w:vAlign w:val="top"/>
          </w:tcPr>
          <w:p>
            <w:pPr>
              <w:pStyle w:val="Compact"/>
              <w:jc w:val="left"/>
            </w:pPr>
            <w:r>
              <w:t xml:space="preserve">The shared economic resources, infrastructure, and services available to a local community.</w:t>
            </w:r>
          </w:p>
        </w:tc>
        <w:tc>
          <w:tcPr>
            <w:vAlign w:val="top"/>
          </w:tcPr>
          <w:p>
            <w:pPr>
              <w:pStyle w:val="Compact"/>
              <w:jc w:val="left"/>
            </w:pPr>
            <w:r>
              <w:t xml:space="preserve">Better local infrastructure, services, and economic opportunity.</w:t>
            </w:r>
          </w:p>
        </w:tc>
        <w:tc>
          <w:tcPr>
            <w:vAlign w:val="top"/>
          </w:tcPr>
          <w:p>
            <w:pPr>
              <w:pStyle w:val="Compact"/>
              <w:jc w:val="left"/>
            </w:pPr>
            <w:r>
              <w:t xml:space="preserve">Loss of services, infrastructure decay, local economic decline.</w:t>
            </w:r>
          </w:p>
        </w:tc>
      </w:tr>
      <w:tr>
        <w:tc>
          <w:tcPr>
            <w:shd w:val="clear" w:color="auto" w:fill="F7FBFE"/>
            <w:vAlign w:val="top"/>
          </w:tcPr>
          <w:p>
            <w:pPr>
              <w:pStyle w:val="Compact"/>
              <w:jc w:val="left"/>
            </w:pPr>
            <w:r>
              <w:rPr>
                <w:bCs/>
                <w:b/>
              </w:rPr>
              <w:t xml:space="preserve">U3/D2</w:t>
            </w:r>
            <w:r>
              <w:t xml:space="preserve"> </w:t>
            </w:r>
            <w:r>
              <w:t xml:space="preserve">- Community Health (label: public health)</w:t>
            </w:r>
          </w:p>
        </w:tc>
        <w:tc>
          <w:tcPr>
            <w:shd w:val="clear" w:color="auto" w:fill="F7FBFE"/>
            <w:vAlign w:val="top"/>
          </w:tcPr>
          <w:p>
            <w:pPr>
              <w:pStyle w:val="Compact"/>
              <w:jc w:val="left"/>
            </w:pPr>
            <w:r>
              <w:t xml:space="preserve">The collective physical and mental health and safety of the local population.</w:t>
            </w:r>
          </w:p>
        </w:tc>
        <w:tc>
          <w:tcPr>
            <w:shd w:val="clear" w:color="auto" w:fill="F7FBFE"/>
            <w:vAlign w:val="top"/>
          </w:tcPr>
          <w:p>
            <w:pPr>
              <w:pStyle w:val="Compact"/>
              <w:jc w:val="left"/>
            </w:pPr>
            <w:r>
              <w:t xml:space="preserve">Lower community disease/injury burden, better local care access, safer environment.</w:t>
            </w:r>
          </w:p>
        </w:tc>
        <w:tc>
          <w:tcPr>
            <w:shd w:val="clear" w:color="auto" w:fill="F7FBFE"/>
            <w:vAlign w:val="top"/>
          </w:tcPr>
          <w:p>
            <w:pPr>
              <w:pStyle w:val="Compact"/>
              <w:jc w:val="left"/>
            </w:pPr>
            <w:r>
              <w:t xml:space="preserve">Local disease spread, unsafe conditions, reduced care access, environmental health harm.</w:t>
            </w:r>
          </w:p>
        </w:tc>
      </w:tr>
      <w:tr>
        <w:tc>
          <w:tcPr>
            <w:vAlign w:val="top"/>
          </w:tcPr>
          <w:p>
            <w:pPr>
              <w:pStyle w:val="Compact"/>
              <w:jc w:val="left"/>
            </w:pPr>
            <w:r>
              <w:rPr>
                <w:bCs/>
                <w:b/>
              </w:rPr>
              <w:t xml:space="preserve">U3/D3</w:t>
            </w:r>
            <w:r>
              <w:t xml:space="preserve"> </w:t>
            </w:r>
            <w:r>
              <w:t xml:space="preserve">- Community Cohesion (label: trust and cohesion)</w:t>
            </w:r>
          </w:p>
        </w:tc>
        <w:tc>
          <w:tcPr>
            <w:vAlign w:val="top"/>
          </w:tcPr>
          <w:p>
            <w:pPr>
              <w:pStyle w:val="Compact"/>
              <w:jc w:val="left"/>
            </w:pPr>
            <w:r>
              <w:t xml:space="preserve">The quality of trust, cooperation, belonging, safety, and relational fabric within a community.</w:t>
            </w:r>
          </w:p>
        </w:tc>
        <w:tc>
          <w:tcPr>
            <w:vAlign w:val="top"/>
          </w:tcPr>
          <w:p>
            <w:pPr>
              <w:pStyle w:val="Compact"/>
              <w:jc w:val="left"/>
            </w:pPr>
            <w:r>
              <w:t xml:space="preserve">Increased trust, reduced isolation, better cooperation, stronger neighbourhood resilience.</w:t>
            </w:r>
          </w:p>
        </w:tc>
        <w:tc>
          <w:tcPr>
            <w:vAlign w:val="top"/>
          </w:tcPr>
          <w:p>
            <w:pPr>
              <w:pStyle w:val="Compact"/>
              <w:jc w:val="left"/>
            </w:pPr>
            <w:r>
              <w:t xml:space="preserve">Polarisation, exclusion, displacement, fear, social fragmentation.</w:t>
            </w:r>
          </w:p>
        </w:tc>
      </w:tr>
      <w:tr>
        <w:tc>
          <w:tcPr>
            <w:shd w:val="clear" w:color="auto" w:fill="F7FBFE"/>
            <w:vAlign w:val="top"/>
          </w:tcPr>
          <w:p>
            <w:pPr>
              <w:pStyle w:val="Compact"/>
              <w:jc w:val="left"/>
            </w:pPr>
            <w:r>
              <w:rPr>
                <w:bCs/>
                <w:b/>
              </w:rPr>
              <w:t xml:space="preserve">U3/D4</w:t>
            </w:r>
            <w:r>
              <w:t xml:space="preserve"> </w:t>
            </w:r>
            <w:r>
              <w:t xml:space="preserve">- Local Knowledge (label: local knowledge)</w:t>
            </w:r>
          </w:p>
        </w:tc>
        <w:tc>
          <w:tcPr>
            <w:shd w:val="clear" w:color="auto" w:fill="F7FBFE"/>
            <w:vAlign w:val="top"/>
          </w:tcPr>
          <w:p>
            <w:pPr>
              <w:pStyle w:val="Compact"/>
              <w:jc w:val="left"/>
            </w:pPr>
            <w:r>
              <w:t xml:space="preserve">The community’s shared knowledge, information access, and local expertise.</w:t>
            </w:r>
          </w:p>
        </w:tc>
        <w:tc>
          <w:tcPr>
            <w:shd w:val="clear" w:color="auto" w:fill="F7FBFE"/>
            <w:vAlign w:val="top"/>
          </w:tcPr>
          <w:p>
            <w:pPr>
              <w:pStyle w:val="Compact"/>
              <w:jc w:val="left"/>
            </w:pPr>
            <w:r>
              <w:t xml:space="preserve">Better local information access, preserved local/Indigenous knowledge, stronger civic literacy.</w:t>
            </w:r>
          </w:p>
        </w:tc>
        <w:tc>
          <w:tcPr>
            <w:shd w:val="clear" w:color="auto" w:fill="F7FBFE"/>
            <w:vAlign w:val="top"/>
          </w:tcPr>
          <w:p>
            <w:pPr>
              <w:pStyle w:val="Compact"/>
              <w:jc w:val="left"/>
            </w:pPr>
            <w:r>
              <w:t xml:space="preserve">Information loss, erosion of local knowledge, misinformation spread.</w:t>
            </w:r>
          </w:p>
        </w:tc>
      </w:tr>
      <w:tr>
        <w:tc>
          <w:tcPr>
            <w:vAlign w:val="top"/>
          </w:tcPr>
          <w:p>
            <w:pPr>
              <w:pStyle w:val="Compact"/>
              <w:jc w:val="left"/>
            </w:pPr>
            <w:r>
              <w:rPr>
                <w:bCs/>
                <w:b/>
              </w:rPr>
              <w:t xml:space="preserve">U3/D5</w:t>
            </w:r>
            <w:r>
              <w:t xml:space="preserve"> </w:t>
            </w:r>
            <w:r>
              <w:t xml:space="preserve">- Community Agency (label: community agency)</w:t>
            </w:r>
          </w:p>
        </w:tc>
        <w:tc>
          <w:tcPr>
            <w:vAlign w:val="top"/>
          </w:tcPr>
          <w:p>
            <w:pPr>
              <w:pStyle w:val="Compact"/>
              <w:jc w:val="left"/>
            </w:pPr>
            <w:r>
              <w:t xml:space="preserve">The community’s collective capacity to organise, participate, and influence decisions affecting it.</w:t>
            </w:r>
          </w:p>
        </w:tc>
        <w:tc>
          <w:tcPr>
            <w:vAlign w:val="top"/>
          </w:tcPr>
          <w:p>
            <w:pPr>
              <w:pStyle w:val="Compact"/>
              <w:jc w:val="left"/>
            </w:pPr>
            <w:r>
              <w:t xml:space="preserve">Stronger local voice, participation, self-organisation, and contestability.</w:t>
            </w:r>
          </w:p>
        </w:tc>
        <w:tc>
          <w:tcPr>
            <w:vAlign w:val="top"/>
          </w:tcPr>
          <w:p>
            <w:pPr>
              <w:pStyle w:val="Compact"/>
              <w:jc w:val="left"/>
            </w:pPr>
            <w:r>
              <w:t xml:space="preserve">Disenfranchisement, suppressed organising, exclusion from decisions.</w:t>
            </w:r>
          </w:p>
        </w:tc>
      </w:tr>
      <w:tr>
        <w:tc>
          <w:tcPr>
            <w:shd w:val="clear" w:color="auto" w:fill="F7FBFE"/>
            <w:vAlign w:val="top"/>
          </w:tcPr>
          <w:p>
            <w:pPr>
              <w:pStyle w:val="Compact"/>
              <w:jc w:val="left"/>
            </w:pPr>
            <w:r>
              <w:rPr>
                <w:bCs/>
                <w:b/>
              </w:rPr>
              <w:t xml:space="preserve">U3/D6</w:t>
            </w:r>
            <w:r>
              <w:t xml:space="preserve"> </w:t>
            </w:r>
            <w:r>
              <w:t xml:space="preserve">- Shared Meaning (label: shared meaning)</w:t>
            </w:r>
          </w:p>
        </w:tc>
        <w:tc>
          <w:tcPr>
            <w:shd w:val="clear" w:color="auto" w:fill="F7FBFE"/>
            <w:vAlign w:val="top"/>
          </w:tcPr>
          <w:p>
            <w:pPr>
              <w:pStyle w:val="Compact"/>
              <w:jc w:val="left"/>
            </w:pPr>
            <w:r>
              <w:t xml:space="preserve">The community’s shared identity, culture, dignity, and sense of collective purpose.</w:t>
            </w:r>
          </w:p>
        </w:tc>
        <w:tc>
          <w:tcPr>
            <w:shd w:val="clear" w:color="auto" w:fill="F7FBFE"/>
            <w:vAlign w:val="top"/>
          </w:tcPr>
          <w:p>
            <w:pPr>
              <w:pStyle w:val="Compact"/>
              <w:jc w:val="left"/>
            </w:pPr>
            <w:r>
              <w:t xml:space="preserve">Stronger shared identity, cultural continuity, pride, and belonging.</w:t>
            </w:r>
          </w:p>
        </w:tc>
        <w:tc>
          <w:tcPr>
            <w:shd w:val="clear" w:color="auto" w:fill="F7FBFE"/>
            <w:vAlign w:val="top"/>
          </w:tcPr>
          <w:p>
            <w:pPr>
              <w:pStyle w:val="Compact"/>
              <w:jc w:val="left"/>
            </w:pPr>
            <w:r>
              <w:t xml:space="preserve">Cultural erosion, stigma, loss of identity, collective humiliation.</w:t>
            </w:r>
          </w:p>
        </w:tc>
      </w:tr>
      <w:tr>
        <w:tc>
          <w:tcPr>
            <w:vAlign w:val="top"/>
          </w:tcPr>
          <w:p>
            <w:pPr>
              <w:pStyle w:val="Compact"/>
              <w:jc w:val="left"/>
            </w:pPr>
            <w:r>
              <w:rPr>
                <w:bCs/>
                <w:b/>
              </w:rPr>
              <w:t xml:space="preserve">U3/D7</w:t>
            </w:r>
            <w:r>
              <w:t xml:space="preserve"> </w:t>
            </w:r>
            <w:r>
              <w:t xml:space="preserve">- Local Ecology (label: local ecology)</w:t>
            </w:r>
          </w:p>
        </w:tc>
        <w:tc>
          <w:tcPr>
            <w:vAlign w:val="top"/>
          </w:tcPr>
          <w:p>
            <w:pPr>
              <w:pStyle w:val="Compact"/>
              <w:jc w:val="left"/>
            </w:pPr>
            <w:r>
              <w:t xml:space="preserve">The ecological condition of the community’s local environment: green space, biodiversity, water, land.</w:t>
            </w:r>
          </w:p>
        </w:tc>
        <w:tc>
          <w:tcPr>
            <w:vAlign w:val="top"/>
          </w:tcPr>
          <w:p>
            <w:pPr>
              <w:pStyle w:val="Compact"/>
              <w:jc w:val="left"/>
            </w:pPr>
            <w:r>
              <w:t xml:space="preserve">Restored habitat, cleaner local environment, protected green space.</w:t>
            </w:r>
          </w:p>
        </w:tc>
        <w:tc>
          <w:tcPr>
            <w:vAlign w:val="top"/>
          </w:tcPr>
          <w:p>
            <w:pPr>
              <w:pStyle w:val="Compact"/>
              <w:jc w:val="left"/>
            </w:pPr>
            <w:r>
              <w:t xml:space="preserve">Habitat loss, local pollution, degraded green space, contamination.</w:t>
            </w:r>
          </w:p>
        </w:tc>
      </w:tr>
    </w:tbl>
    <w:bookmarkEnd w:id="646"/>
    <w:bookmarkStart w:id="647" w:name="u3-community---evidence-and-review"/>
    <w:p>
      <w:pPr>
        <w:pStyle w:val="Heading3"/>
      </w:pPr>
      <w:r>
        <w:rPr>
          <w:bCs/>
          <w:b/>
        </w:rPr>
        <w:t xml:space="preserve">U3 Community - evidence and review</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Evidence and gate cues</w:t>
            </w:r>
          </w:p>
        </w:tc>
        <w:tc>
          <w:tcPr>
            <w:shd w:val="clear" w:color="auto" w:fill="D9EAF7"/>
            <w:vAlign w:val="center"/>
          </w:tcPr>
          <w:p>
            <w:pPr>
              <w:pStyle w:val="Compact"/>
              <w:jc w:val="left"/>
            </w:pPr>
            <w:r>
              <w:rPr>
                <w:bCs/>
                <w:b/>
                <w:color w:val="17365D"/>
              </w:rPr>
              <w:t xml:space="preserve">Example and reviewer check</w:t>
            </w:r>
          </w:p>
        </w:tc>
      </w:tr>
      <w:tr>
        <w:tc>
          <w:tcPr>
            <w:vAlign w:val="top"/>
          </w:tcPr>
          <w:p>
            <w:pPr>
              <w:pStyle w:val="Compact"/>
              <w:jc w:val="left"/>
            </w:pPr>
            <w:r>
              <w:rPr>
                <w:bCs/>
                <w:b/>
              </w:rPr>
              <w:t xml:space="preserve">U3/D1</w:t>
            </w:r>
            <w:r>
              <w:t xml:space="preserve"> </w:t>
            </w:r>
            <w:r>
              <w:t xml:space="preserve">- Local Resources (label: local resources)</w:t>
            </w:r>
          </w:p>
        </w:tc>
        <w:tc>
          <w:tcPr>
            <w:vAlign w:val="top"/>
          </w:tcPr>
          <w:p>
            <w:pPr>
              <w:pStyle w:val="Compact"/>
              <w:jc w:val="left"/>
            </w:pPr>
            <w:r>
              <w:t xml:space="preserve">Evidence: local service provision; infrastructure condition; local employment / business data; Gate classes: Containment / Structural Viability; Ordinary welfare. Uncertainty: Standard assessment. Interpretation: Ordinary welfare; containment-relevant when local gains are extracted at the cost of wider scopes, or when shared infrastructure is hollowed out.</w:t>
            </w:r>
          </w:p>
        </w:tc>
        <w:tc>
          <w:tcPr>
            <w:vAlign w:val="top"/>
          </w:tcPr>
          <w:p>
            <w:pPr>
              <w:pStyle w:val="Compact"/>
              <w:jc w:val="left"/>
            </w:pPr>
            <w:r>
              <w:t xml:space="preserve">Example: A community facility upgrade that adds usable shared services improves U3/D1.; Reviewer check: A reviewer asks whether the benefit is genuinely shared or captured by a subgroup.</w:t>
            </w:r>
          </w:p>
        </w:tc>
      </w:tr>
      <w:tr>
        <w:tc>
          <w:tcPr>
            <w:shd w:val="clear" w:color="auto" w:fill="F7FBFE"/>
            <w:vAlign w:val="top"/>
          </w:tcPr>
          <w:p>
            <w:pPr>
              <w:pStyle w:val="Compact"/>
              <w:jc w:val="left"/>
            </w:pPr>
            <w:r>
              <w:rPr>
                <w:bCs/>
                <w:b/>
              </w:rPr>
              <w:t xml:space="preserve">U3/D2</w:t>
            </w:r>
            <w:r>
              <w:t xml:space="preserve"> </w:t>
            </w:r>
            <w:r>
              <w:t xml:space="preserve">- Community Health (label: public health)</w:t>
            </w:r>
          </w:p>
        </w:tc>
        <w:tc>
          <w:tcPr>
            <w:shd w:val="clear" w:color="auto" w:fill="F7FBFE"/>
            <w:vAlign w:val="top"/>
          </w:tcPr>
          <w:p>
            <w:pPr>
              <w:pStyle w:val="Compact"/>
              <w:jc w:val="left"/>
            </w:pPr>
            <w:r>
              <w:t xml:space="preserve">Evidence: local public-health surveillance; care-access data; injury / safety statistics; environmental-health monitoring; Gate classes: Rights Floor; Tail Risk; Ordinary welfare. Uncertainty: Standard assessment. Interpretation: Ordinary welfare normally; rights-relevant under disproportionate harm or care-access floors; tail-relevant where local outbreaks or contamination could cascade.</w:t>
            </w:r>
          </w:p>
        </w:tc>
        <w:tc>
          <w:tcPr>
            <w:shd w:val="clear" w:color="auto" w:fill="F7FBFE"/>
            <w:vAlign w:val="top"/>
          </w:tcPr>
          <w:p>
            <w:pPr>
              <w:pStyle w:val="Compact"/>
              <w:jc w:val="left"/>
            </w:pPr>
            <w:r>
              <w:t xml:space="preserve">Example: A clean-water intervention that cuts a community’s disease burden improves U3/D2.; Reviewer check: A reviewer checks whether subgroup harms are masked by a favourable community average.</w:t>
            </w:r>
          </w:p>
        </w:tc>
      </w:tr>
      <w:tr>
        <w:tc>
          <w:tcPr>
            <w:vAlign w:val="top"/>
          </w:tcPr>
          <w:p>
            <w:pPr>
              <w:pStyle w:val="Compact"/>
              <w:jc w:val="left"/>
            </w:pPr>
            <w:r>
              <w:rPr>
                <w:bCs/>
                <w:b/>
              </w:rPr>
              <w:t xml:space="preserve">U3/D3</w:t>
            </w:r>
            <w:r>
              <w:t xml:space="preserve"> </w:t>
            </w:r>
            <w:r>
              <w:t xml:space="preserve">- Community Cohesion (label: trust and cohesion)</w:t>
            </w:r>
          </w:p>
        </w:tc>
        <w:tc>
          <w:tcPr>
            <w:vAlign w:val="top"/>
          </w:tcPr>
          <w:p>
            <w:pPr>
              <w:pStyle w:val="Compact"/>
              <w:jc w:val="left"/>
            </w:pPr>
            <w:r>
              <w:t xml:space="preserve">Evidence: community trust surveys; participation rates; crime / fear-of-crime data; displacement records; Gate classes: Rights Floor; Containment / Structural Viability; Ordinary welfare. Uncertainty: Standard assessment. Interpretation: Containment-relevant because eroded social fabric degrades the wider system; rights-relevant if discrimination, exclusion, or targeted domination appears.</w:t>
            </w:r>
          </w:p>
        </w:tc>
        <w:tc>
          <w:tcPr>
            <w:vAlign w:val="top"/>
          </w:tcPr>
          <w:p>
            <w:pPr>
              <w:pStyle w:val="Compact"/>
              <w:jc w:val="left"/>
            </w:pPr>
            <w:r>
              <w:t xml:space="preserve">Example: A public-space renovation that increases safe cross-group interaction improves U3/D3.; Reviewer check: A reviewer asks whether cohesion gains for some came via exclusion of others.</w:t>
            </w:r>
          </w:p>
        </w:tc>
      </w:tr>
      <w:tr>
        <w:tc>
          <w:tcPr>
            <w:shd w:val="clear" w:color="auto" w:fill="F7FBFE"/>
            <w:vAlign w:val="top"/>
          </w:tcPr>
          <w:p>
            <w:pPr>
              <w:pStyle w:val="Compact"/>
              <w:jc w:val="left"/>
            </w:pPr>
            <w:r>
              <w:rPr>
                <w:bCs/>
                <w:b/>
              </w:rPr>
              <w:t xml:space="preserve">U3/D4</w:t>
            </w:r>
            <w:r>
              <w:t xml:space="preserve"> </w:t>
            </w:r>
            <w:r>
              <w:t xml:space="preserve">- Local Knowledge (label: local knowledge)</w:t>
            </w:r>
          </w:p>
        </w:tc>
        <w:tc>
          <w:tcPr>
            <w:shd w:val="clear" w:color="auto" w:fill="F7FBFE"/>
            <w:vAlign w:val="top"/>
          </w:tcPr>
          <w:p>
            <w:pPr>
              <w:pStyle w:val="Compact"/>
              <w:jc w:val="left"/>
            </w:pPr>
            <w:r>
              <w:t xml:space="preserve">Evidence: information-access measures; local-knowledge preservation records; misinformation prevalence; Gate classes: Containment / Structural Viability; Ordinary welfare. Uncertainty: Explicitly elevated. Interpretation: Ordinary welfare; containment-relevant where an epistemic commons is degraded. Can be rights-relevant for Indigenous knowledge.</w:t>
            </w:r>
          </w:p>
        </w:tc>
        <w:tc>
          <w:tcPr>
            <w:shd w:val="clear" w:color="auto" w:fill="F7FBFE"/>
            <w:vAlign w:val="top"/>
          </w:tcPr>
          <w:p>
            <w:pPr>
              <w:pStyle w:val="Compact"/>
              <w:jc w:val="left"/>
            </w:pPr>
            <w:r>
              <w:t xml:space="preserve">Example: A program documenting local ecological knowledge with community consent improves U3/D4.; Reviewer check: A reviewer checks consent and ownership of the knowledge claimed as preserved.</w:t>
            </w:r>
          </w:p>
        </w:tc>
      </w:tr>
      <w:tr>
        <w:tc>
          <w:tcPr>
            <w:vAlign w:val="top"/>
          </w:tcPr>
          <w:p>
            <w:pPr>
              <w:pStyle w:val="Compact"/>
              <w:jc w:val="left"/>
            </w:pPr>
            <w:r>
              <w:rPr>
                <w:bCs/>
                <w:b/>
              </w:rPr>
              <w:t xml:space="preserve">U3/D5</w:t>
            </w:r>
            <w:r>
              <w:t xml:space="preserve"> </w:t>
            </w:r>
            <w:r>
              <w:t xml:space="preserve">- Community Agency (label: community agency)</w:t>
            </w:r>
          </w:p>
        </w:tc>
        <w:tc>
          <w:tcPr>
            <w:vAlign w:val="top"/>
          </w:tcPr>
          <w:p>
            <w:pPr>
              <w:pStyle w:val="Compact"/>
              <w:jc w:val="left"/>
            </w:pPr>
            <w:r>
              <w:t xml:space="preserve">Evidence: participation in local governance; consultation quality; association / assembly freedom; Gate classes: Rights Floor; Containment / Structural Viability; Ordinary welfare. Uncertainty: Standard assessment. Interpretation: Often rights-covered (assembly, association, participation); containment-relevant where civic capacity underpins system stability.</w:t>
            </w:r>
          </w:p>
        </w:tc>
        <w:tc>
          <w:tcPr>
            <w:vAlign w:val="top"/>
          </w:tcPr>
          <w:p>
            <w:pPr>
              <w:pStyle w:val="Compact"/>
              <w:jc w:val="left"/>
            </w:pPr>
            <w:r>
              <w:t xml:space="preserve">Example: A binding community-consultation requirement on local development raises U3/D5.; Reviewer check: A reviewer tests whether participation was substantive or a procedural formality.</w:t>
            </w:r>
          </w:p>
        </w:tc>
      </w:tr>
      <w:tr>
        <w:tc>
          <w:tcPr>
            <w:shd w:val="clear" w:color="auto" w:fill="F7FBFE"/>
            <w:vAlign w:val="top"/>
          </w:tcPr>
          <w:p>
            <w:pPr>
              <w:pStyle w:val="Compact"/>
              <w:jc w:val="left"/>
            </w:pPr>
            <w:r>
              <w:rPr>
                <w:bCs/>
                <w:b/>
              </w:rPr>
              <w:t xml:space="preserve">U3/D6</w:t>
            </w:r>
            <w:r>
              <w:t xml:space="preserve"> </w:t>
            </w:r>
            <w:r>
              <w:t xml:space="preserve">- Shared Meaning (label: shared meaning)</w:t>
            </w:r>
          </w:p>
        </w:tc>
        <w:tc>
          <w:tcPr>
            <w:shd w:val="clear" w:color="auto" w:fill="F7FBFE"/>
            <w:vAlign w:val="top"/>
          </w:tcPr>
          <w:p>
            <w:r>
              <w:t>Evidence: cultural-participation data; heritage continuity; community-identity surveys; Gate classes: Rights-relevance cue; Ordinary welfare. Uncertainty: Explicitly elevated. Interpretation: Ordinary D6 welfare; conscience, discrimination, coercion, exclusion, information, or agency effects must be separately routed to the applicable rights-covered dimension or a governed extension. Soft to measure — mark uncertainty.</w:t>
            </w:r>
          </w:p>
        </w:tc>
        <w:tc>
          <w:tcPr>
            <w:shd w:val="clear" w:color="auto" w:fill="F7FBFE"/>
            <w:vAlign w:val="top"/>
          </w:tcPr>
          <w:p>
            <w:pPr>
              <w:pStyle w:val="Compact"/>
              <w:jc w:val="left"/>
            </w:pPr>
            <w:r>
              <w:t xml:space="preserve">Example: Protecting a culturally significant site during redevelopment preserves U3/D6.; Reviewer check: A reviewer separates a genuine cultural effect from a symbolic gesture.</w:t>
            </w:r>
          </w:p>
        </w:tc>
      </w:tr>
      <w:tr>
        <w:tc>
          <w:tcPr>
            <w:vAlign w:val="top"/>
          </w:tcPr>
          <w:p>
            <w:pPr>
              <w:pStyle w:val="Compact"/>
              <w:jc w:val="left"/>
            </w:pPr>
            <w:r>
              <w:rPr>
                <w:bCs/>
                <w:b/>
              </w:rPr>
              <w:t xml:space="preserve">U3/D7</w:t>
            </w:r>
            <w:r>
              <w:t xml:space="preserve"> </w:t>
            </w:r>
            <w:r>
              <w:t xml:space="preserve">- Local Ecology (label: local ecology)</w:t>
            </w:r>
          </w:p>
        </w:tc>
        <w:tc>
          <w:tcPr>
            <w:vAlign w:val="top"/>
          </w:tcPr>
          <w:p>
            <w:pPr>
              <w:pStyle w:val="Compact"/>
              <w:jc w:val="left"/>
            </w:pPr>
            <w:r>
              <w:t xml:space="preserve">Evidence: local biodiversity / green-space data; pollution monitoring; land-use change; Gate classes: Tail Risk; Containment / Structural Viability; Ordinary welfare. Uncertainty: Standard assessment. Interpretation: Containment-relevant (local ecology supports wider systems); tail-relevant where degradation is irreversible or contamination could cascade.</w:t>
            </w:r>
          </w:p>
        </w:tc>
        <w:tc>
          <w:tcPr>
            <w:vAlign w:val="top"/>
          </w:tcPr>
          <w:p>
            <w:pPr>
              <w:pStyle w:val="Compact"/>
              <w:jc w:val="left"/>
            </w:pPr>
            <w:r>
              <w:t xml:space="preserve">Example: A watershed-protection rule that prevents local contamination improves U3/D7.; Reviewer check: A reviewer asks whether ‘no local effect’ was measured or merely assumed.</w:t>
            </w:r>
          </w:p>
        </w:tc>
      </w:tr>
    </w:tbl>
    <w:bookmarkEnd w:id="647"/>
    <w:bookmarkStart w:id="648" w:name="u4-organization---meaning-and-movement"/>
    <w:p>
      <w:pPr>
        <w:pStyle w:val="Heading3"/>
      </w:pPr>
      <w:r>
        <w:rPr>
          <w:bCs/>
          <w:b/>
        </w:rPr>
        <w:t xml:space="preserve">U4 Organization - meaning and movement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What this cell measures</w:t>
            </w:r>
          </w:p>
        </w:tc>
        <w:tc>
          <w:tcPr>
            <w:shd w:val="clear" w:color="auto" w:fill="D9EAF7"/>
            <w:vAlign w:val="center"/>
          </w:tcPr>
          <w:p>
            <w:pPr>
              <w:pStyle w:val="Compact"/>
              <w:jc w:val="left"/>
            </w:pPr>
            <w:r>
              <w:rPr>
                <w:bCs/>
                <w:b/>
                <w:color w:val="17365D"/>
              </w:rPr>
              <w:t xml:space="preserve">+ Benefit</w:t>
            </w:r>
          </w:p>
        </w:tc>
        <w:tc>
          <w:tcPr>
            <w:shd w:val="clear" w:color="auto" w:fill="D9EAF7"/>
            <w:vAlign w:val="center"/>
          </w:tcPr>
          <w:p>
            <w:pPr>
              <w:pStyle w:val="Compact"/>
              <w:jc w:val="left"/>
            </w:pPr>
            <w:r>
              <w:rPr>
                <w:bCs/>
                <w:b/>
                <w:color w:val="17365D"/>
              </w:rPr>
              <w:t xml:space="preserve">- Harm</w:t>
            </w:r>
          </w:p>
        </w:tc>
      </w:tr>
      <w:tr>
        <w:tc>
          <w:tcPr>
            <w:vAlign w:val="top"/>
          </w:tcPr>
          <w:p>
            <w:pPr>
              <w:pStyle w:val="Compact"/>
              <w:jc w:val="left"/>
            </w:pPr>
            <w:r>
              <w:rPr>
                <w:bCs/>
                <w:b/>
              </w:rPr>
              <w:t xml:space="preserve">U4/D1</w:t>
            </w:r>
            <w:r>
              <w:t xml:space="preserve"> </w:t>
            </w:r>
            <w:r>
              <w:t xml:space="preserve">- Organizational Resources (label: operating resources)</w:t>
            </w:r>
          </w:p>
        </w:tc>
        <w:tc>
          <w:tcPr>
            <w:vAlign w:val="top"/>
          </w:tcPr>
          <w:p>
            <w:pPr>
              <w:pStyle w:val="Compact"/>
              <w:jc w:val="left"/>
            </w:pPr>
            <w:r>
              <w:t xml:space="preserve">An organization’s operating means: finances, capital, staffing, and capacity to function and deliver.</w:t>
            </w:r>
          </w:p>
        </w:tc>
        <w:tc>
          <w:tcPr>
            <w:vAlign w:val="top"/>
          </w:tcPr>
          <w:p>
            <w:pPr>
              <w:pStyle w:val="Compact"/>
              <w:jc w:val="left"/>
            </w:pPr>
            <w:r>
              <w:t xml:space="preserve">Stronger finances, capacity, staffing, and operational sustainability.</w:t>
            </w:r>
          </w:p>
        </w:tc>
        <w:tc>
          <w:tcPr>
            <w:vAlign w:val="top"/>
          </w:tcPr>
          <w:p>
            <w:pPr>
              <w:pStyle w:val="Compact"/>
              <w:jc w:val="left"/>
            </w:pPr>
            <w:r>
              <w:t xml:space="preserve">Insolvency risk, capacity loss, layoffs, operational decline.</w:t>
            </w:r>
          </w:p>
        </w:tc>
      </w:tr>
      <w:tr>
        <w:tc>
          <w:tcPr>
            <w:shd w:val="clear" w:color="auto" w:fill="F7FBFE"/>
            <w:vAlign w:val="top"/>
          </w:tcPr>
          <w:p>
            <w:pPr>
              <w:pStyle w:val="Compact"/>
              <w:jc w:val="left"/>
            </w:pPr>
            <w:r>
              <w:rPr>
                <w:bCs/>
                <w:b/>
              </w:rPr>
              <w:t xml:space="preserve">U4/D2</w:t>
            </w:r>
            <w:r>
              <w:t xml:space="preserve"> </w:t>
            </w:r>
            <w:r>
              <w:t xml:space="preserve">- Organizational Safety (label: safety)</w:t>
            </w:r>
          </w:p>
        </w:tc>
        <w:tc>
          <w:tcPr>
            <w:shd w:val="clear" w:color="auto" w:fill="F7FBFE"/>
            <w:vAlign w:val="top"/>
          </w:tcPr>
          <w:p>
            <w:pPr>
              <w:pStyle w:val="Compact"/>
              <w:jc w:val="left"/>
            </w:pPr>
            <w:r>
              <w:t xml:space="preserve">The safety of people within and affected by the organization: workers, users, and the public.</w:t>
            </w:r>
          </w:p>
        </w:tc>
        <w:tc>
          <w:tcPr>
            <w:shd w:val="clear" w:color="auto" w:fill="F7FBFE"/>
            <w:vAlign w:val="top"/>
          </w:tcPr>
          <w:p>
            <w:pPr>
              <w:pStyle w:val="Compact"/>
              <w:jc w:val="left"/>
            </w:pPr>
            <w:r>
              <w:t xml:space="preserve">Fewer injuries, safer operations, better safety culture and compliance.</w:t>
            </w:r>
          </w:p>
        </w:tc>
        <w:tc>
          <w:tcPr>
            <w:shd w:val="clear" w:color="auto" w:fill="F7FBFE"/>
            <w:vAlign w:val="top"/>
          </w:tcPr>
          <w:p>
            <w:pPr>
              <w:pStyle w:val="Compact"/>
              <w:jc w:val="left"/>
            </w:pPr>
            <w:r>
              <w:t xml:space="preserve">Workplace injury, unsafe products/services, public-safety incidents.</w:t>
            </w:r>
          </w:p>
        </w:tc>
      </w:tr>
      <w:tr>
        <w:tc>
          <w:tcPr>
            <w:vAlign w:val="top"/>
          </w:tcPr>
          <w:p>
            <w:pPr>
              <w:pStyle w:val="Compact"/>
              <w:jc w:val="left"/>
            </w:pPr>
            <w:r>
              <w:rPr>
                <w:bCs/>
                <w:b/>
              </w:rPr>
              <w:t xml:space="preserve">U4/D3</w:t>
            </w:r>
            <w:r>
              <w:t xml:space="preserve"> </w:t>
            </w:r>
            <w:r>
              <w:t xml:space="preserve">- Organizational Culture (label: culture)</w:t>
            </w:r>
          </w:p>
        </w:tc>
        <w:tc>
          <w:tcPr>
            <w:vAlign w:val="top"/>
          </w:tcPr>
          <w:p>
            <w:pPr>
              <w:pStyle w:val="Compact"/>
              <w:jc w:val="left"/>
            </w:pPr>
            <w:r>
              <w:t xml:space="preserve">The internal relational health of the organization: trust, fairness, inclusion, and cooperation.</w:t>
            </w:r>
          </w:p>
        </w:tc>
        <w:tc>
          <w:tcPr>
            <w:vAlign w:val="top"/>
          </w:tcPr>
          <w:p>
            <w:pPr>
              <w:pStyle w:val="Compact"/>
              <w:jc w:val="left"/>
            </w:pPr>
            <w:r>
              <w:t xml:space="preserve">Healthier culture, fairer treatment, reduced harassment, stronger cooperation.</w:t>
            </w:r>
          </w:p>
        </w:tc>
        <w:tc>
          <w:tcPr>
            <w:vAlign w:val="top"/>
          </w:tcPr>
          <w:p>
            <w:pPr>
              <w:pStyle w:val="Compact"/>
              <w:jc w:val="left"/>
            </w:pPr>
            <w:r>
              <w:t xml:space="preserve">Toxic culture, discrimination, harassment, low trust, burnout.</w:t>
            </w:r>
          </w:p>
        </w:tc>
      </w:tr>
      <w:tr>
        <w:tc>
          <w:tcPr>
            <w:shd w:val="clear" w:color="auto" w:fill="F7FBFE"/>
            <w:vAlign w:val="top"/>
          </w:tcPr>
          <w:p>
            <w:pPr>
              <w:pStyle w:val="Compact"/>
              <w:jc w:val="left"/>
            </w:pPr>
            <w:r>
              <w:rPr>
                <w:bCs/>
                <w:b/>
              </w:rPr>
              <w:t xml:space="preserve">U4/D4</w:t>
            </w:r>
            <w:r>
              <w:t xml:space="preserve"> </w:t>
            </w:r>
            <w:r>
              <w:t xml:space="preserve">- Knowledge Systems (label: knowledge systems)</w:t>
            </w:r>
          </w:p>
        </w:tc>
        <w:tc>
          <w:tcPr>
            <w:shd w:val="clear" w:color="auto" w:fill="F7FBFE"/>
            <w:vAlign w:val="top"/>
          </w:tcPr>
          <w:p>
            <w:pPr>
              <w:pStyle w:val="Compact"/>
              <w:jc w:val="left"/>
            </w:pPr>
            <w:r>
              <w:t xml:space="preserve">The organization’s knowledge, data integrity, institutional memory, and learning systems.</w:t>
            </w:r>
          </w:p>
        </w:tc>
        <w:tc>
          <w:tcPr>
            <w:shd w:val="clear" w:color="auto" w:fill="F7FBFE"/>
            <w:vAlign w:val="top"/>
          </w:tcPr>
          <w:p>
            <w:pPr>
              <w:pStyle w:val="Compact"/>
              <w:jc w:val="left"/>
            </w:pPr>
            <w:r>
              <w:t xml:space="preserve">Better knowledge retention, data integrity, transparency, and learning.</w:t>
            </w:r>
          </w:p>
        </w:tc>
        <w:tc>
          <w:tcPr>
            <w:shd w:val="clear" w:color="auto" w:fill="F7FBFE"/>
            <w:vAlign w:val="top"/>
          </w:tcPr>
          <w:p>
            <w:pPr>
              <w:pStyle w:val="Compact"/>
              <w:jc w:val="left"/>
            </w:pPr>
            <w:r>
              <w:t xml:space="preserve">Knowledge loss, data corruption, opacity, broken institutional memory.</w:t>
            </w:r>
          </w:p>
        </w:tc>
      </w:tr>
      <w:tr>
        <w:tc>
          <w:tcPr>
            <w:vAlign w:val="top"/>
          </w:tcPr>
          <w:p>
            <w:pPr>
              <w:pStyle w:val="Compact"/>
              <w:jc w:val="left"/>
            </w:pPr>
            <w:r>
              <w:rPr>
                <w:bCs/>
                <w:b/>
              </w:rPr>
              <w:t xml:space="preserve">U4/D5</w:t>
            </w:r>
            <w:r>
              <w:t xml:space="preserve"> </w:t>
            </w:r>
            <w:r>
              <w:t xml:space="preserve">- Role Agency (label: role agency)</w:t>
            </w:r>
          </w:p>
        </w:tc>
        <w:tc>
          <w:tcPr>
            <w:vAlign w:val="top"/>
          </w:tcPr>
          <w:p>
            <w:pPr>
              <w:pStyle w:val="Compact"/>
              <w:jc w:val="left"/>
            </w:pPr>
            <w:r>
              <w:t xml:space="preserve">The meaningful autonomy, voice, and fair treatment of individuals in their organizational roles.</w:t>
            </w:r>
          </w:p>
        </w:tc>
        <w:tc>
          <w:tcPr>
            <w:vAlign w:val="top"/>
          </w:tcPr>
          <w:p>
            <w:pPr>
              <w:pStyle w:val="Compact"/>
              <w:jc w:val="left"/>
            </w:pPr>
            <w:r>
              <w:t xml:space="preserve">More voice, fair process, reasonable autonomy, freedom from arbitrary treatment.</w:t>
            </w:r>
          </w:p>
        </w:tc>
        <w:tc>
          <w:tcPr>
            <w:vAlign w:val="top"/>
          </w:tcPr>
          <w:p>
            <w:pPr>
              <w:pStyle w:val="Compact"/>
              <w:jc w:val="left"/>
            </w:pPr>
            <w:r>
              <w:t xml:space="preserve">Arbitrary power, suppressed voice, exploitation, loss of role autonomy.</w:t>
            </w:r>
          </w:p>
        </w:tc>
      </w:tr>
      <w:tr>
        <w:tc>
          <w:tcPr>
            <w:shd w:val="clear" w:color="auto" w:fill="F7FBFE"/>
            <w:vAlign w:val="top"/>
          </w:tcPr>
          <w:p>
            <w:pPr>
              <w:pStyle w:val="Compact"/>
              <w:jc w:val="left"/>
            </w:pPr>
            <w:r>
              <w:rPr>
                <w:bCs/>
                <w:b/>
              </w:rPr>
              <w:t xml:space="preserve">U4/D6</w:t>
            </w:r>
            <w:r>
              <w:t xml:space="preserve"> </w:t>
            </w:r>
            <w:r>
              <w:t xml:space="preserve">- Mission Coherence (label: mission coherence)</w:t>
            </w:r>
          </w:p>
        </w:tc>
        <w:tc>
          <w:tcPr>
            <w:shd w:val="clear" w:color="auto" w:fill="F7FBFE"/>
            <w:vAlign w:val="top"/>
          </w:tcPr>
          <w:p>
            <w:pPr>
              <w:pStyle w:val="Compact"/>
              <w:jc w:val="left"/>
            </w:pPr>
            <w:r>
              <w:t xml:space="preserve">The alignment between the organization’s stated purpose and its actual conduct and effects.</w:t>
            </w:r>
          </w:p>
        </w:tc>
        <w:tc>
          <w:tcPr>
            <w:shd w:val="clear" w:color="auto" w:fill="F7FBFE"/>
            <w:vAlign w:val="top"/>
          </w:tcPr>
          <w:p>
            <w:pPr>
              <w:pStyle w:val="Compact"/>
              <w:jc w:val="left"/>
            </w:pPr>
            <w:r>
              <w:t xml:space="preserve">Stronger purpose-conduct alignment, integrity, and legitimate mission delivery.</w:t>
            </w:r>
          </w:p>
        </w:tc>
        <w:tc>
          <w:tcPr>
            <w:shd w:val="clear" w:color="auto" w:fill="F7FBFE"/>
            <w:vAlign w:val="top"/>
          </w:tcPr>
          <w:p>
            <w:pPr>
              <w:pStyle w:val="Compact"/>
              <w:jc w:val="left"/>
            </w:pPr>
            <w:r>
              <w:t xml:space="preserve">Mission drift, purpose-washing, hollow mandate, loss of legitimacy.</w:t>
            </w:r>
          </w:p>
        </w:tc>
      </w:tr>
      <w:tr>
        <w:tc>
          <w:tcPr>
            <w:vAlign w:val="top"/>
          </w:tcPr>
          <w:p>
            <w:pPr>
              <w:pStyle w:val="Compact"/>
              <w:jc w:val="left"/>
            </w:pPr>
            <w:r>
              <w:rPr>
                <w:bCs/>
                <w:b/>
              </w:rPr>
              <w:t xml:space="preserve">U4/D7</w:t>
            </w:r>
            <w:r>
              <w:t xml:space="preserve"> </w:t>
            </w:r>
            <w:r>
              <w:t xml:space="preserve">- Operational Footprint (label: operational footprint)</w:t>
            </w:r>
          </w:p>
        </w:tc>
        <w:tc>
          <w:tcPr>
            <w:vAlign w:val="top"/>
          </w:tcPr>
          <w:p>
            <w:pPr>
              <w:pStyle w:val="Compact"/>
              <w:jc w:val="left"/>
            </w:pPr>
            <w:r>
              <w:t xml:space="preserve">The environmental impact of the organization’s operations: emissions, waste, resource use, land.</w:t>
            </w:r>
          </w:p>
        </w:tc>
        <w:tc>
          <w:tcPr>
            <w:vAlign w:val="top"/>
          </w:tcPr>
          <w:p>
            <w:pPr>
              <w:pStyle w:val="Compact"/>
              <w:jc w:val="left"/>
            </w:pPr>
            <w:r>
              <w:t xml:space="preserve">Lower emissions/waste, reduced resource intensity, smaller harmful footprint.</w:t>
            </w:r>
          </w:p>
        </w:tc>
        <w:tc>
          <w:tcPr>
            <w:vAlign w:val="top"/>
          </w:tcPr>
          <w:p>
            <w:pPr>
              <w:pStyle w:val="Compact"/>
              <w:jc w:val="left"/>
            </w:pPr>
            <w:r>
              <w:t xml:space="preserve">Pollution, emissions, waste, resource depletion, ecological damage.</w:t>
            </w:r>
          </w:p>
        </w:tc>
      </w:tr>
    </w:tbl>
    <w:bookmarkEnd w:id="648"/>
    <w:bookmarkStart w:id="649" w:name="u4-organization---evidence-and-review"/>
    <w:p>
      <w:pPr>
        <w:pStyle w:val="Heading3"/>
      </w:pPr>
      <w:r>
        <w:rPr>
          <w:bCs/>
          <w:b/>
        </w:rPr>
        <w:t xml:space="preserve">U4 Organization - evidence and review</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Evidence and gate cues</w:t>
            </w:r>
          </w:p>
        </w:tc>
        <w:tc>
          <w:tcPr>
            <w:shd w:val="clear" w:color="auto" w:fill="D9EAF7"/>
            <w:vAlign w:val="center"/>
          </w:tcPr>
          <w:p>
            <w:pPr>
              <w:pStyle w:val="Compact"/>
              <w:jc w:val="left"/>
            </w:pPr>
            <w:r>
              <w:rPr>
                <w:bCs/>
                <w:b/>
                <w:color w:val="17365D"/>
              </w:rPr>
              <w:t xml:space="preserve">Example and reviewer check</w:t>
            </w:r>
          </w:p>
        </w:tc>
      </w:tr>
      <w:tr>
        <w:tc>
          <w:tcPr>
            <w:vAlign w:val="top"/>
          </w:tcPr>
          <w:p>
            <w:pPr>
              <w:pStyle w:val="Compact"/>
              <w:jc w:val="left"/>
            </w:pPr>
            <w:r>
              <w:rPr>
                <w:bCs/>
                <w:b/>
              </w:rPr>
              <w:t xml:space="preserve">U4/D1</w:t>
            </w:r>
            <w:r>
              <w:t xml:space="preserve"> </w:t>
            </w:r>
            <w:r>
              <w:t xml:space="preserve">- Organizational Resources (label: operating resources)</w:t>
            </w:r>
          </w:p>
        </w:tc>
        <w:tc>
          <w:tcPr>
            <w:vAlign w:val="top"/>
          </w:tcPr>
          <w:p>
            <w:pPr>
              <w:pStyle w:val="Compact"/>
              <w:jc w:val="left"/>
            </w:pPr>
            <w:r>
              <w:t xml:space="preserve">Evidence: financial statements; staffing and capacity data; service-delivery metrics; Gate classes: Containment / Structural Viability; Ordinary welfare. Uncertainty: Standard assessment. Interpretation: Ordinary welfare; containment-relevant when organizational gains are extracted by externalising harm onto community, polity, or biosphere scopes.</w:t>
            </w:r>
          </w:p>
        </w:tc>
        <w:tc>
          <w:tcPr>
            <w:vAlign w:val="top"/>
          </w:tcPr>
          <w:p>
            <w:pPr>
              <w:pStyle w:val="Compact"/>
              <w:jc w:val="left"/>
            </w:pPr>
            <w:r>
              <w:t xml:space="preserve">Example: A funding change that stabilises a hospital’s operating budget improves U4/D1.; Reviewer check: A reviewer checks whether the organizational gain creates uncosted externalities in other cells (the classic ‘operating resources up, U7 down’ trap).</w:t>
            </w:r>
          </w:p>
        </w:tc>
      </w:tr>
      <w:tr>
        <w:tc>
          <w:tcPr>
            <w:shd w:val="clear" w:color="auto" w:fill="F7FBFE"/>
            <w:vAlign w:val="top"/>
          </w:tcPr>
          <w:p>
            <w:pPr>
              <w:pStyle w:val="Compact"/>
              <w:jc w:val="left"/>
            </w:pPr>
            <w:r>
              <w:rPr>
                <w:bCs/>
                <w:b/>
              </w:rPr>
              <w:t xml:space="preserve">U4/D2</w:t>
            </w:r>
            <w:r>
              <w:t xml:space="preserve"> </w:t>
            </w:r>
            <w:r>
              <w:t xml:space="preserve">- Organizational Safety (label: safety)</w:t>
            </w:r>
          </w:p>
        </w:tc>
        <w:tc>
          <w:tcPr>
            <w:shd w:val="clear" w:color="auto" w:fill="F7FBFE"/>
            <w:vAlign w:val="top"/>
          </w:tcPr>
          <w:p>
            <w:pPr>
              <w:pStyle w:val="Compact"/>
              <w:jc w:val="left"/>
            </w:pPr>
            <w:r>
              <w:t xml:space="preserve">Evidence: incident and injury rates; safety-compliance audits; near-miss reporting; Gate classes: Rights Floor; Tail Risk; Ordinary welfare. Uncertainty: Standard assessment. Interpretation: Rights-covered via labour and safety protections; tail-relevant where failure could cause catastrophic or mass-casualty events.</w:t>
            </w:r>
          </w:p>
        </w:tc>
        <w:tc>
          <w:tcPr>
            <w:shd w:val="clear" w:color="auto" w:fill="F7FBFE"/>
            <w:vAlign w:val="top"/>
          </w:tcPr>
          <w:p>
            <w:pPr>
              <w:pStyle w:val="Compact"/>
              <w:jc w:val="left"/>
            </w:pPr>
            <w:r>
              <w:t xml:space="preserve">Example: A maintenance regime that cuts industrial-accident rates improves U4/D2.; Reviewer check: A reviewer checks whether reported safety reflects outcomes or only paperwork compliance.</w:t>
            </w:r>
          </w:p>
        </w:tc>
      </w:tr>
      <w:tr>
        <w:tc>
          <w:tcPr>
            <w:vAlign w:val="top"/>
          </w:tcPr>
          <w:p>
            <w:pPr>
              <w:pStyle w:val="Compact"/>
              <w:jc w:val="left"/>
            </w:pPr>
            <w:r>
              <w:rPr>
                <w:bCs/>
                <w:b/>
              </w:rPr>
              <w:t xml:space="preserve">U4/D3</w:t>
            </w:r>
            <w:r>
              <w:t xml:space="preserve"> </w:t>
            </w:r>
            <w:r>
              <w:t xml:space="preserve">- Organizational Culture (label: culture)</w:t>
            </w:r>
          </w:p>
        </w:tc>
        <w:tc>
          <w:tcPr>
            <w:vAlign w:val="top"/>
          </w:tcPr>
          <w:p>
            <w:pPr>
              <w:pStyle w:val="Compact"/>
              <w:jc w:val="left"/>
            </w:pPr>
            <w:r>
              <w:t xml:space="preserve">Evidence: staff-climate surveys; grievance and turnover data; fairness / inclusion measures; Gate classes: Rights Floor; Ordinary welfare. Uncertainty: Standard assessment. Interpretation: Ordinary welfare; rights-relevant where discrimination or harassment occurs.</w:t>
            </w:r>
          </w:p>
        </w:tc>
        <w:tc>
          <w:tcPr>
            <w:vAlign w:val="top"/>
          </w:tcPr>
          <w:p>
            <w:pPr>
              <w:pStyle w:val="Compact"/>
              <w:jc w:val="left"/>
            </w:pPr>
            <w:r>
              <w:t xml:space="preserve">Example: An anti-harassment reform that reduces verified grievances improves U4/D3.; Reviewer check: A reviewer asks whether culture data is independent or self-reported by leadership.</w:t>
            </w:r>
          </w:p>
        </w:tc>
      </w:tr>
      <w:tr>
        <w:tc>
          <w:tcPr>
            <w:shd w:val="clear" w:color="auto" w:fill="F7FBFE"/>
            <w:vAlign w:val="top"/>
          </w:tcPr>
          <w:p>
            <w:pPr>
              <w:pStyle w:val="Compact"/>
              <w:jc w:val="left"/>
            </w:pPr>
            <w:r>
              <w:rPr>
                <w:bCs/>
                <w:b/>
              </w:rPr>
              <w:t xml:space="preserve">U4/D4</w:t>
            </w:r>
            <w:r>
              <w:t xml:space="preserve"> </w:t>
            </w:r>
            <w:r>
              <w:t xml:space="preserve">- Knowledge Systems (label: knowledge systems)</w:t>
            </w:r>
          </w:p>
        </w:tc>
        <w:tc>
          <w:tcPr>
            <w:shd w:val="clear" w:color="auto" w:fill="F7FBFE"/>
            <w:vAlign w:val="top"/>
          </w:tcPr>
          <w:p>
            <w:pPr>
              <w:pStyle w:val="Compact"/>
              <w:jc w:val="left"/>
            </w:pPr>
            <w:r>
              <w:t xml:space="preserve">Evidence: data-integrity audits; documentation completeness; knowledge-retention metrics; Gate classes: Containment / Structural Viability; Ordinary welfare. Uncertainty: Standard assessment. Interpretation: Ordinary welfare; containment-relevant where degraded knowledge systems undermine accountability or wider-system reliability.</w:t>
            </w:r>
          </w:p>
        </w:tc>
        <w:tc>
          <w:tcPr>
            <w:shd w:val="clear" w:color="auto" w:fill="F7FBFE"/>
            <w:vAlign w:val="top"/>
          </w:tcPr>
          <w:p>
            <w:pPr>
              <w:pStyle w:val="Compact"/>
              <w:jc w:val="left"/>
            </w:pPr>
            <w:r>
              <w:t xml:space="preserve">Example: A records-integrity upgrade that makes decisions auditable improves U4/D4.; Reviewer check: A reviewer tests whether claimed integrity is verifiable or asserted.</w:t>
            </w:r>
          </w:p>
        </w:tc>
      </w:tr>
      <w:tr>
        <w:tc>
          <w:tcPr>
            <w:vAlign w:val="top"/>
          </w:tcPr>
          <w:p>
            <w:pPr>
              <w:pStyle w:val="Compact"/>
              <w:jc w:val="left"/>
            </w:pPr>
            <w:r>
              <w:rPr>
                <w:bCs/>
                <w:b/>
              </w:rPr>
              <w:t xml:space="preserve">U4/D5</w:t>
            </w:r>
            <w:r>
              <w:t xml:space="preserve"> </w:t>
            </w:r>
            <w:r>
              <w:t xml:space="preserve">- Role Agency (label: role agency)</w:t>
            </w:r>
          </w:p>
        </w:tc>
        <w:tc>
          <w:tcPr>
            <w:vAlign w:val="top"/>
          </w:tcPr>
          <w:p>
            <w:pPr>
              <w:pStyle w:val="Compact"/>
              <w:jc w:val="left"/>
            </w:pPr>
            <w:r>
              <w:t xml:space="preserve">Evidence: worker-voice mechanisms; grievance outcomes; autonomy / discretion measures; Gate classes: Rights Floor; Ordinary welfare. Uncertainty: Standard assessment. Interpretation: Rights-relevant via labour rights and freedom of association; otherwise ordinary.</w:t>
            </w:r>
          </w:p>
        </w:tc>
        <w:tc>
          <w:tcPr>
            <w:vAlign w:val="top"/>
          </w:tcPr>
          <w:p>
            <w:pPr>
              <w:pStyle w:val="Compact"/>
              <w:jc w:val="left"/>
            </w:pPr>
            <w:r>
              <w:t xml:space="preserve">Example: A grievance process with real remedy improves U4/D5.; Reviewer check: A reviewer checks whether voice mechanisms produce outcomes or are decorative.</w:t>
            </w:r>
          </w:p>
        </w:tc>
      </w:tr>
      <w:tr>
        <w:tc>
          <w:tcPr>
            <w:shd w:val="clear" w:color="auto" w:fill="F7FBFE"/>
            <w:vAlign w:val="top"/>
          </w:tcPr>
          <w:p>
            <w:pPr>
              <w:pStyle w:val="Compact"/>
              <w:jc w:val="left"/>
            </w:pPr>
            <w:r>
              <w:rPr>
                <w:bCs/>
                <w:b/>
              </w:rPr>
              <w:t xml:space="preserve">U4/D6</w:t>
            </w:r>
            <w:r>
              <w:t xml:space="preserve"> </w:t>
            </w:r>
            <w:r>
              <w:t xml:space="preserve">- Mission Coherence (label: mission coherence)</w:t>
            </w:r>
          </w:p>
        </w:tc>
        <w:tc>
          <w:tcPr>
            <w:shd w:val="clear" w:color="auto" w:fill="F7FBFE"/>
            <w:vAlign w:val="top"/>
          </w:tcPr>
          <w:p>
            <w:pPr>
              <w:pStyle w:val="Compact"/>
              <w:jc w:val="left"/>
            </w:pPr>
            <w:r>
              <w:t xml:space="preserve">Evidence: mission-vs-outcome analysis; stakeholder-trust measures; conduct audits; Gate classes: Containment / Structural Viability; Ordinary welfare. Uncertainty: Explicitly elevated. Interpretation: Ordinary welfare; containment-relevant where mission decay (HOI-adjacent) hollows out the institution. Distinct from the formal HOI diagnostic.</w:t>
            </w:r>
          </w:p>
        </w:tc>
        <w:tc>
          <w:tcPr>
            <w:shd w:val="clear" w:color="auto" w:fill="F7FBFE"/>
            <w:vAlign w:val="top"/>
          </w:tcPr>
          <w:p>
            <w:pPr>
              <w:pStyle w:val="Compact"/>
              <w:jc w:val="left"/>
            </w:pPr>
            <w:r>
              <w:t xml:space="preserve">Example: A governance reform that realigns conduct with mandate improves U4/D6.; Reviewer check: A reviewer asks whether coherence is evidenced by conduct or only by restated values.</w:t>
            </w:r>
          </w:p>
        </w:tc>
      </w:tr>
      <w:tr>
        <w:tc>
          <w:tcPr>
            <w:vAlign w:val="top"/>
          </w:tcPr>
          <w:p>
            <w:pPr>
              <w:pStyle w:val="Compact"/>
              <w:jc w:val="left"/>
            </w:pPr>
            <w:r>
              <w:rPr>
                <w:bCs/>
                <w:b/>
              </w:rPr>
              <w:t xml:space="preserve">U4/D7</w:t>
            </w:r>
            <w:r>
              <w:t xml:space="preserve"> </w:t>
            </w:r>
            <w:r>
              <w:t xml:space="preserve">- Operational Footprint (label: operational footprint)</w:t>
            </w:r>
          </w:p>
        </w:tc>
        <w:tc>
          <w:tcPr>
            <w:vAlign w:val="top"/>
          </w:tcPr>
          <w:p>
            <w:pPr>
              <w:pStyle w:val="Compact"/>
              <w:jc w:val="left"/>
            </w:pPr>
            <w:r>
              <w:t xml:space="preserve">Evidence: emissions and waste data; resource-use intensity; environmental-compliance records; Gate classes: Tail Risk; Containment / Structural Viability; Ordinary welfare. Uncertainty: Standard assessment. Interpretation: Containment-relevant (footprint degrades wider scopes); tail-relevant where the footprint contributes to irreversible or large-scale harm. The canonical ‘local win, wider loss’ cell.</w:t>
            </w:r>
          </w:p>
        </w:tc>
        <w:tc>
          <w:tcPr>
            <w:vAlign w:val="top"/>
          </w:tcPr>
          <w:p>
            <w:pPr>
              <w:pStyle w:val="Compact"/>
              <w:jc w:val="left"/>
            </w:pPr>
            <w:r>
              <w:t xml:space="preserve">Example: A process change that cuts a plant’s emissions while sustaining output improves U4/D7.; Reviewer check: A reviewer checks footprint against measured externalities, not offset claims alone.</w:t>
            </w:r>
          </w:p>
        </w:tc>
      </w:tr>
    </w:tbl>
    <w:bookmarkEnd w:id="649"/>
    <w:bookmarkStart w:id="650" w:name="u5-polity---meaning-and-movement"/>
    <w:p>
      <w:pPr>
        <w:pStyle w:val="Heading3"/>
      </w:pPr>
      <w:r>
        <w:rPr>
          <w:bCs/>
          <w:b/>
        </w:rPr>
        <w:t xml:space="preserve">U5 Polity - meaning and movement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What this cell measures</w:t>
            </w:r>
          </w:p>
        </w:tc>
        <w:tc>
          <w:tcPr>
            <w:shd w:val="clear" w:color="auto" w:fill="D9EAF7"/>
            <w:vAlign w:val="center"/>
          </w:tcPr>
          <w:p>
            <w:pPr>
              <w:pStyle w:val="Compact"/>
              <w:jc w:val="left"/>
            </w:pPr>
            <w:r>
              <w:rPr>
                <w:bCs/>
                <w:b/>
                <w:color w:val="17365D"/>
              </w:rPr>
              <w:t xml:space="preserve">+ Benefit</w:t>
            </w:r>
          </w:p>
        </w:tc>
        <w:tc>
          <w:tcPr>
            <w:shd w:val="clear" w:color="auto" w:fill="D9EAF7"/>
            <w:vAlign w:val="center"/>
          </w:tcPr>
          <w:p>
            <w:pPr>
              <w:pStyle w:val="Compact"/>
              <w:jc w:val="left"/>
            </w:pPr>
            <w:r>
              <w:rPr>
                <w:bCs/>
                <w:b/>
                <w:color w:val="17365D"/>
              </w:rPr>
              <w:t xml:space="preserve">- Harm</w:t>
            </w:r>
          </w:p>
        </w:tc>
      </w:tr>
      <w:tr>
        <w:tc>
          <w:tcPr>
            <w:vAlign w:val="top"/>
          </w:tcPr>
          <w:p>
            <w:pPr>
              <w:pStyle w:val="Compact"/>
              <w:jc w:val="left"/>
            </w:pPr>
            <w:r>
              <w:rPr>
                <w:bCs/>
                <w:b/>
              </w:rPr>
              <w:t xml:space="preserve">U5/D1</w:t>
            </w:r>
            <w:r>
              <w:t xml:space="preserve"> </w:t>
            </w:r>
            <w:r>
              <w:t xml:space="preserve">- Public Resources (label: public resources)</w:t>
            </w:r>
          </w:p>
        </w:tc>
        <w:tc>
          <w:tcPr>
            <w:vAlign w:val="top"/>
          </w:tcPr>
          <w:p>
            <w:pPr>
              <w:pStyle w:val="Compact"/>
              <w:jc w:val="left"/>
            </w:pPr>
            <w:r>
              <w:t xml:space="preserve">The polity’s fiscal and material capacity: public finances, infrastructure, and provisioning.</w:t>
            </w:r>
          </w:p>
        </w:tc>
        <w:tc>
          <w:tcPr>
            <w:vAlign w:val="top"/>
          </w:tcPr>
          <w:p>
            <w:pPr>
              <w:pStyle w:val="Compact"/>
              <w:jc w:val="left"/>
            </w:pPr>
            <w:r>
              <w:t xml:space="preserve">Sounder public finances, better infrastructure, sustainable provisioning.</w:t>
            </w:r>
          </w:p>
        </w:tc>
        <w:tc>
          <w:tcPr>
            <w:vAlign w:val="top"/>
          </w:tcPr>
          <w:p>
            <w:pPr>
              <w:pStyle w:val="Compact"/>
              <w:jc w:val="left"/>
            </w:pPr>
            <w:r>
              <w:t xml:space="preserve">Fiscal crisis, infrastructure decay, depleted public capacity.</w:t>
            </w:r>
          </w:p>
        </w:tc>
      </w:tr>
      <w:tr>
        <w:tc>
          <w:tcPr>
            <w:shd w:val="clear" w:color="auto" w:fill="F7FBFE"/>
            <w:vAlign w:val="top"/>
          </w:tcPr>
          <w:p>
            <w:pPr>
              <w:pStyle w:val="Compact"/>
              <w:jc w:val="left"/>
            </w:pPr>
            <w:r>
              <w:rPr>
                <w:bCs/>
                <w:b/>
              </w:rPr>
              <w:t xml:space="preserve">U5/D2</w:t>
            </w:r>
            <w:r>
              <w:t xml:space="preserve"> </w:t>
            </w:r>
            <w:r>
              <w:t xml:space="preserve">- Population Health (label: population health)</w:t>
            </w:r>
          </w:p>
        </w:tc>
        <w:tc>
          <w:tcPr>
            <w:shd w:val="clear" w:color="auto" w:fill="F7FBFE"/>
            <w:vAlign w:val="top"/>
          </w:tcPr>
          <w:p>
            <w:pPr>
              <w:pStyle w:val="Compact"/>
              <w:jc w:val="left"/>
            </w:pPr>
            <w:r>
              <w:t xml:space="preserve">The health, safety, and mortality outcomes of the whole population within a polity.</w:t>
            </w:r>
          </w:p>
        </w:tc>
        <w:tc>
          <w:tcPr>
            <w:shd w:val="clear" w:color="auto" w:fill="F7FBFE"/>
            <w:vAlign w:val="top"/>
          </w:tcPr>
          <w:p>
            <w:pPr>
              <w:pStyle w:val="Compact"/>
              <w:jc w:val="left"/>
            </w:pPr>
            <w:r>
              <w:t xml:space="preserve">Lower population mortality/morbidity, better system-wide care, stronger resilience.</w:t>
            </w:r>
          </w:p>
        </w:tc>
        <w:tc>
          <w:tcPr>
            <w:shd w:val="clear" w:color="auto" w:fill="F7FBFE"/>
            <w:vAlign w:val="top"/>
          </w:tcPr>
          <w:p>
            <w:pPr>
              <w:pStyle w:val="Compact"/>
              <w:jc w:val="left"/>
            </w:pPr>
            <w:r>
              <w:t xml:space="preserve">Rising mortality, system overload, reduced care access, public-health crises.</w:t>
            </w:r>
          </w:p>
        </w:tc>
      </w:tr>
      <w:tr>
        <w:tc>
          <w:tcPr>
            <w:vAlign w:val="top"/>
          </w:tcPr>
          <w:p>
            <w:pPr>
              <w:pStyle w:val="Compact"/>
              <w:jc w:val="left"/>
            </w:pPr>
            <w:r>
              <w:rPr>
                <w:bCs/>
                <w:b/>
              </w:rPr>
              <w:t xml:space="preserve">U5/D3</w:t>
            </w:r>
            <w:r>
              <w:t xml:space="preserve"> </w:t>
            </w:r>
            <w:r>
              <w:t xml:space="preserve">- Legitimacy (label: legitimacy)</w:t>
            </w:r>
          </w:p>
        </w:tc>
        <w:tc>
          <w:tcPr>
            <w:vAlign w:val="top"/>
          </w:tcPr>
          <w:p>
            <w:pPr>
              <w:pStyle w:val="Compact"/>
              <w:jc w:val="left"/>
            </w:pPr>
            <w:r>
              <w:t xml:space="preserve">The rule of law, due process, accountability, and perceived legitimacy of public institutions.</w:t>
            </w:r>
          </w:p>
        </w:tc>
        <w:tc>
          <w:tcPr>
            <w:vAlign w:val="top"/>
          </w:tcPr>
          <w:p>
            <w:pPr>
              <w:pStyle w:val="Compact"/>
              <w:jc w:val="left"/>
            </w:pPr>
            <w:r>
              <w:t xml:space="preserve">Stronger rule of law, due process, accountability, and institutional trust.</w:t>
            </w:r>
          </w:p>
        </w:tc>
        <w:tc>
          <w:tcPr>
            <w:vAlign w:val="top"/>
          </w:tcPr>
          <w:p>
            <w:pPr>
              <w:pStyle w:val="Compact"/>
              <w:jc w:val="left"/>
            </w:pPr>
            <w:r>
              <w:t xml:space="preserve">Erosion of rule of law, impunity, corruption, collapse of institutional trust.</w:t>
            </w:r>
          </w:p>
        </w:tc>
      </w:tr>
      <w:tr>
        <w:tc>
          <w:tcPr>
            <w:shd w:val="clear" w:color="auto" w:fill="F7FBFE"/>
            <w:vAlign w:val="top"/>
          </w:tcPr>
          <w:p>
            <w:pPr>
              <w:pStyle w:val="Compact"/>
              <w:jc w:val="left"/>
            </w:pPr>
            <w:r>
              <w:rPr>
                <w:bCs/>
                <w:b/>
              </w:rPr>
              <w:t xml:space="preserve">U5/D4</w:t>
            </w:r>
            <w:r>
              <w:t xml:space="preserve"> </w:t>
            </w:r>
            <w:r>
              <w:t xml:space="preserve">- Information Access (label: information access)</w:t>
            </w:r>
          </w:p>
        </w:tc>
        <w:tc>
          <w:tcPr>
            <w:shd w:val="clear" w:color="auto" w:fill="F7FBFE"/>
            <w:vAlign w:val="top"/>
          </w:tcPr>
          <w:p>
            <w:pPr>
              <w:pStyle w:val="Compact"/>
              <w:jc w:val="left"/>
            </w:pPr>
            <w:r>
              <w:t xml:space="preserve">The polity’s information environment: access, transparency, free expression, and epistemic integrity.</w:t>
            </w:r>
          </w:p>
        </w:tc>
        <w:tc>
          <w:tcPr>
            <w:shd w:val="clear" w:color="auto" w:fill="F7FBFE"/>
            <w:vAlign w:val="top"/>
          </w:tcPr>
          <w:p>
            <w:pPr>
              <w:pStyle w:val="Compact"/>
              <w:jc w:val="left"/>
            </w:pPr>
            <w:r>
              <w:t xml:space="preserve">Better transparency, information access, free expression, healthier epistemic commons.</w:t>
            </w:r>
          </w:p>
        </w:tc>
        <w:tc>
          <w:tcPr>
            <w:shd w:val="clear" w:color="auto" w:fill="F7FBFE"/>
            <w:vAlign w:val="top"/>
          </w:tcPr>
          <w:p>
            <w:pPr>
              <w:pStyle w:val="Compact"/>
              <w:jc w:val="left"/>
            </w:pPr>
            <w:r>
              <w:t xml:space="preserve">Censorship, opacity, disinformation, surveillance chilling, epistemic capture.</w:t>
            </w:r>
          </w:p>
        </w:tc>
      </w:tr>
      <w:tr>
        <w:tc>
          <w:tcPr>
            <w:vAlign w:val="top"/>
          </w:tcPr>
          <w:p>
            <w:pPr>
              <w:pStyle w:val="Compact"/>
              <w:jc w:val="left"/>
            </w:pPr>
            <w:r>
              <w:rPr>
                <w:bCs/>
                <w:b/>
              </w:rPr>
              <w:t xml:space="preserve">U5/D5</w:t>
            </w:r>
            <w:r>
              <w:t xml:space="preserve"> </w:t>
            </w:r>
            <w:r>
              <w:t xml:space="preserve">- Civil Agency (label: civil agency)</w:t>
            </w:r>
          </w:p>
        </w:tc>
        <w:tc>
          <w:tcPr>
            <w:vAlign w:val="top"/>
          </w:tcPr>
          <w:p>
            <w:pPr>
              <w:pStyle w:val="Compact"/>
              <w:jc w:val="left"/>
            </w:pPr>
            <w:r>
              <w:t xml:space="preserve">People’s ability to participate in public life, exercise rights, contest authority, and influence governance.</w:t>
            </w:r>
          </w:p>
        </w:tc>
        <w:tc>
          <w:tcPr>
            <w:vAlign w:val="top"/>
          </w:tcPr>
          <w:p>
            <w:pPr>
              <w:pStyle w:val="Compact"/>
              <w:jc w:val="left"/>
            </w:pPr>
            <w:r>
              <w:t xml:space="preserve">Stronger voting access, participation, transparency, due process, and contestability.</w:t>
            </w:r>
          </w:p>
        </w:tc>
        <w:tc>
          <w:tcPr>
            <w:vAlign w:val="top"/>
          </w:tcPr>
          <w:p>
            <w:pPr>
              <w:pStyle w:val="Compact"/>
              <w:jc w:val="left"/>
            </w:pPr>
            <w:r>
              <w:t xml:space="preserve">Suppression, censorship, corruption, procedural exclusion, arbitrary enforcement, reduced civic voice.</w:t>
            </w:r>
          </w:p>
        </w:tc>
      </w:tr>
      <w:tr>
        <w:tc>
          <w:tcPr>
            <w:shd w:val="clear" w:color="auto" w:fill="F7FBFE"/>
            <w:vAlign w:val="top"/>
          </w:tcPr>
          <w:p>
            <w:pPr>
              <w:pStyle w:val="Compact"/>
              <w:jc w:val="left"/>
            </w:pPr>
            <w:r>
              <w:rPr>
                <w:bCs/>
                <w:b/>
              </w:rPr>
              <w:t xml:space="preserve">U5/D6</w:t>
            </w:r>
            <w:r>
              <w:t xml:space="preserve"> </w:t>
            </w:r>
            <w:r>
              <w:t xml:space="preserve">- Public Meaning (label: public meaning)</w:t>
            </w:r>
          </w:p>
        </w:tc>
        <w:tc>
          <w:tcPr>
            <w:shd w:val="clear" w:color="auto" w:fill="F7FBFE"/>
            <w:vAlign w:val="top"/>
          </w:tcPr>
          <w:p>
            <w:pPr>
              <w:pStyle w:val="Compact"/>
              <w:jc w:val="left"/>
            </w:pPr>
            <w:r>
              <w:t xml:space="preserve">Shared civic identity, dignity, social contract, and non-domination across the polity.</w:t>
            </w:r>
          </w:p>
        </w:tc>
        <w:tc>
          <w:tcPr>
            <w:shd w:val="clear" w:color="auto" w:fill="F7FBFE"/>
            <w:vAlign w:val="top"/>
          </w:tcPr>
          <w:p>
            <w:pPr>
              <w:pStyle w:val="Compact"/>
              <w:jc w:val="left"/>
            </w:pPr>
            <w:r>
              <w:t xml:space="preserve">Stronger civic dignity, inclusion, fair recognition, and a credible social contract.</w:t>
            </w:r>
          </w:p>
        </w:tc>
        <w:tc>
          <w:tcPr>
            <w:shd w:val="clear" w:color="auto" w:fill="F7FBFE"/>
            <w:vAlign w:val="top"/>
          </w:tcPr>
          <w:p>
            <w:pPr>
              <w:pStyle w:val="Compact"/>
              <w:jc w:val="left"/>
            </w:pPr>
            <w:r>
              <w:t xml:space="preserve">Domination, civic humiliation, exclusionary identity, eroded social contract.</w:t>
            </w:r>
          </w:p>
        </w:tc>
      </w:tr>
      <w:tr>
        <w:tc>
          <w:tcPr>
            <w:vAlign w:val="top"/>
          </w:tcPr>
          <w:p>
            <w:pPr>
              <w:pStyle w:val="Compact"/>
              <w:jc w:val="left"/>
            </w:pPr>
            <w:r>
              <w:rPr>
                <w:bCs/>
                <w:b/>
              </w:rPr>
              <w:t xml:space="preserve">U5/D7</w:t>
            </w:r>
            <w:r>
              <w:t xml:space="preserve"> </w:t>
            </w:r>
            <w:r>
              <w:t xml:space="preserve">- Public Environment (label: public environment)</w:t>
            </w:r>
          </w:p>
        </w:tc>
        <w:tc>
          <w:tcPr>
            <w:vAlign w:val="top"/>
          </w:tcPr>
          <w:p>
            <w:pPr>
              <w:pStyle w:val="Compact"/>
              <w:jc w:val="left"/>
            </w:pPr>
            <w:r>
              <w:t xml:space="preserve">The environmental quality and ecological sustainability managed at the polity scale.</w:t>
            </w:r>
          </w:p>
        </w:tc>
        <w:tc>
          <w:tcPr>
            <w:vAlign w:val="top"/>
          </w:tcPr>
          <w:p>
            <w:pPr>
              <w:pStyle w:val="Compact"/>
              <w:jc w:val="left"/>
            </w:pPr>
            <w:r>
              <w:t xml:space="preserve">Better regional environmental quality, sustainable resource management, reduced systemic pollution.</w:t>
            </w:r>
          </w:p>
        </w:tc>
        <w:tc>
          <w:tcPr>
            <w:vAlign w:val="top"/>
          </w:tcPr>
          <w:p>
            <w:pPr>
              <w:pStyle w:val="Compact"/>
              <w:jc w:val="left"/>
            </w:pPr>
            <w:r>
              <w:t xml:space="preserve">Regional pollution, resource depletion, ecosystem degradation, environmental injustice.</w:t>
            </w:r>
          </w:p>
        </w:tc>
      </w:tr>
    </w:tbl>
    <w:bookmarkEnd w:id="650"/>
    <w:bookmarkStart w:id="651" w:name="u5-polity---evidence-and-review"/>
    <w:p>
      <w:pPr>
        <w:pStyle w:val="Heading3"/>
      </w:pPr>
      <w:r>
        <w:rPr>
          <w:bCs/>
          <w:b/>
        </w:rPr>
        <w:t xml:space="preserve">U5 Polity - evidence and review</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Evidence and gate cues</w:t>
            </w:r>
          </w:p>
        </w:tc>
        <w:tc>
          <w:tcPr>
            <w:shd w:val="clear" w:color="auto" w:fill="D9EAF7"/>
            <w:vAlign w:val="center"/>
          </w:tcPr>
          <w:p>
            <w:pPr>
              <w:pStyle w:val="Compact"/>
              <w:jc w:val="left"/>
            </w:pPr>
            <w:r>
              <w:rPr>
                <w:bCs/>
                <w:b/>
                <w:color w:val="17365D"/>
              </w:rPr>
              <w:t xml:space="preserve">Example and reviewer check</w:t>
            </w:r>
          </w:p>
        </w:tc>
      </w:tr>
      <w:tr>
        <w:tc>
          <w:tcPr>
            <w:vAlign w:val="top"/>
          </w:tcPr>
          <w:p>
            <w:pPr>
              <w:pStyle w:val="Compact"/>
              <w:jc w:val="left"/>
            </w:pPr>
            <w:r>
              <w:rPr>
                <w:bCs/>
                <w:b/>
              </w:rPr>
              <w:t xml:space="preserve">U5/D1</w:t>
            </w:r>
            <w:r>
              <w:t xml:space="preserve"> </w:t>
            </w:r>
            <w:r>
              <w:t xml:space="preserve">- Public Resources (label: public resources)</w:t>
            </w:r>
          </w:p>
        </w:tc>
        <w:tc>
          <w:tcPr>
            <w:vAlign w:val="top"/>
          </w:tcPr>
          <w:p>
            <w:pPr>
              <w:pStyle w:val="Compact"/>
              <w:jc w:val="left"/>
            </w:pPr>
            <w:r>
              <w:t xml:space="preserve">Evidence: public-finance data; infrastructure condition indices; fiscal-sustainability metrics; Gate classes: Containment / Structural Viability; Ordinary welfare. Uncertainty: Standard assessment. Interpretation: Ordinary welfare; containment-relevant where short-term fiscal wins erode long-term public capacity.</w:t>
            </w:r>
          </w:p>
        </w:tc>
        <w:tc>
          <w:tcPr>
            <w:vAlign w:val="top"/>
          </w:tcPr>
          <w:p>
            <w:pPr>
              <w:pStyle w:val="Compact"/>
              <w:jc w:val="left"/>
            </w:pPr>
            <w:r>
              <w:t xml:space="preserve">Example: An infrastructure-maintenance program that prevents asset decay improves U5/D1.; Reviewer check: A reviewer checks whether gains are sustainable or borrowed from the future.</w:t>
            </w:r>
          </w:p>
        </w:tc>
      </w:tr>
      <w:tr>
        <w:tc>
          <w:tcPr>
            <w:shd w:val="clear" w:color="auto" w:fill="F7FBFE"/>
            <w:vAlign w:val="top"/>
          </w:tcPr>
          <w:p>
            <w:pPr>
              <w:pStyle w:val="Compact"/>
              <w:jc w:val="left"/>
            </w:pPr>
            <w:r>
              <w:rPr>
                <w:bCs/>
                <w:b/>
              </w:rPr>
              <w:t xml:space="preserve">U5/D2</w:t>
            </w:r>
            <w:r>
              <w:t xml:space="preserve"> </w:t>
            </w:r>
            <w:r>
              <w:t xml:space="preserve">- Population Health (label: population health)</w:t>
            </w:r>
          </w:p>
        </w:tc>
        <w:tc>
          <w:tcPr>
            <w:shd w:val="clear" w:color="auto" w:fill="F7FBFE"/>
            <w:vAlign w:val="top"/>
          </w:tcPr>
          <w:p>
            <w:pPr>
              <w:pStyle w:val="Compact"/>
              <w:jc w:val="left"/>
            </w:pPr>
            <w:r>
              <w:t xml:space="preserve">Evidence: population mortality / morbidity; health-system capacity; health-equity gaps; outbreak surveillance; Gate classes: Rights Floor; Tail Risk; Ordinary welfare. Uncertainty: Standard assessment. Interpretation: Tail-relevant for pandemic / health-system-collapse scenarios (non-averagable); rights-relevant under right-to-health floors; otherwise ordinary welfare.</w:t>
            </w:r>
          </w:p>
        </w:tc>
        <w:tc>
          <w:tcPr>
            <w:shd w:val="clear" w:color="auto" w:fill="F7FBFE"/>
            <w:vAlign w:val="top"/>
          </w:tcPr>
          <w:p>
            <w:pPr>
              <w:pStyle w:val="Compact"/>
              <w:jc w:val="left"/>
            </w:pPr>
            <w:r>
              <w:t xml:space="preserve">Example: A vaccination program that lowers population mortality improves U5/D2.; Reviewer check: A reviewer checks whether worst-case scenarios were bounded with a tail measure, not averaged away.</w:t>
            </w:r>
          </w:p>
        </w:tc>
      </w:tr>
      <w:tr>
        <w:tc>
          <w:tcPr>
            <w:vAlign w:val="top"/>
          </w:tcPr>
          <w:p>
            <w:pPr>
              <w:pStyle w:val="Compact"/>
              <w:jc w:val="left"/>
            </w:pPr>
            <w:r>
              <w:rPr>
                <w:bCs/>
                <w:b/>
              </w:rPr>
              <w:t xml:space="preserve">U5/D3</w:t>
            </w:r>
            <w:r>
              <w:t xml:space="preserve"> </w:t>
            </w:r>
            <w:r>
              <w:t xml:space="preserve">- Legitimacy (label: legitimacy)</w:t>
            </w:r>
          </w:p>
        </w:tc>
        <w:tc>
          <w:tcPr>
            <w:vAlign w:val="top"/>
          </w:tcPr>
          <w:p>
            <w:pPr>
              <w:pStyle w:val="Compact"/>
              <w:jc w:val="left"/>
            </w:pPr>
            <w:r>
              <w:t xml:space="preserve">Evidence: rule-of-law indices; due-process / judicial-independence measures; corruption indicators; institutional-trust surveys; Gate classes: Rights Floor; Tail Risk; Containment / Structural Viability; Ordinary welfare. Uncertainty: Standard assessment. Interpretation: Strongly containment-relevant: legitimacy is load-bearing for the whole system. Rights-relevant (due process); tail-relevant where collapse risks systemic instability.</w:t>
            </w:r>
          </w:p>
        </w:tc>
        <w:tc>
          <w:tcPr>
            <w:vAlign w:val="top"/>
          </w:tcPr>
          <w:p>
            <w:pPr>
              <w:pStyle w:val="Compact"/>
              <w:jc w:val="left"/>
            </w:pPr>
            <w:r>
              <w:t xml:space="preserve">Example: A judicial-independence safeguard that resists political capture improves U5/D3.; Reviewer check: A reviewer tests whether legitimacy is measured independently or claimed by the institution being assessed.</w:t>
            </w:r>
          </w:p>
        </w:tc>
      </w:tr>
      <w:tr>
        <w:tc>
          <w:tcPr>
            <w:shd w:val="clear" w:color="auto" w:fill="F7FBFE"/>
            <w:vAlign w:val="top"/>
          </w:tcPr>
          <w:p>
            <w:pPr>
              <w:pStyle w:val="Compact"/>
              <w:jc w:val="left"/>
            </w:pPr>
            <w:r>
              <w:rPr>
                <w:bCs/>
                <w:b/>
              </w:rPr>
              <w:t xml:space="preserve">U5/D4</w:t>
            </w:r>
            <w:r>
              <w:t xml:space="preserve"> </w:t>
            </w:r>
            <w:r>
              <w:t xml:space="preserve">- Information Access (label: information access)</w:t>
            </w:r>
          </w:p>
        </w:tc>
        <w:tc>
          <w:tcPr>
            <w:shd w:val="clear" w:color="auto" w:fill="F7FBFE"/>
            <w:vAlign w:val="top"/>
          </w:tcPr>
          <w:p>
            <w:pPr>
              <w:pStyle w:val="Compact"/>
              <w:jc w:val="left"/>
            </w:pPr>
            <w:r>
              <w:t xml:space="preserve">Evidence: transparency / FOI metrics; press-freedom indices; disinformation prevalence; surveillance scope; Gate classes: Rights Floor; Containment / Structural Viability; Ordinary welfare. Uncertainty: Standard assessment. Interpretation: Rights-covered (free expression, information rights); containment-relevant because a damaged epistemic commons undermines all other governance.</w:t>
            </w:r>
          </w:p>
        </w:tc>
        <w:tc>
          <w:tcPr>
            <w:shd w:val="clear" w:color="auto" w:fill="F7FBFE"/>
            <w:vAlign w:val="top"/>
          </w:tcPr>
          <w:p>
            <w:pPr>
              <w:pStyle w:val="Compact"/>
              <w:jc w:val="left"/>
            </w:pPr>
            <w:r>
              <w:t xml:space="preserve">Example: An open-data and FOI reform that increases verifiable transparency improves U5/D4.; Reviewer check: A reviewer checks whether transparency is real and usable or nominal.</w:t>
            </w:r>
          </w:p>
        </w:tc>
      </w:tr>
      <w:tr>
        <w:tc>
          <w:tcPr>
            <w:vAlign w:val="top"/>
          </w:tcPr>
          <w:p>
            <w:pPr>
              <w:pStyle w:val="Compact"/>
              <w:jc w:val="left"/>
            </w:pPr>
            <w:r>
              <w:rPr>
                <w:bCs/>
                <w:b/>
              </w:rPr>
              <w:t xml:space="preserve">U5/D5</w:t>
            </w:r>
            <w:r>
              <w:t xml:space="preserve"> </w:t>
            </w:r>
            <w:r>
              <w:t xml:space="preserve">- Civil Agency (label: civil agency)</w:t>
            </w:r>
          </w:p>
        </w:tc>
        <w:tc>
          <w:tcPr>
            <w:vAlign w:val="top"/>
          </w:tcPr>
          <w:p>
            <w:pPr>
              <w:pStyle w:val="Compact"/>
              <w:jc w:val="left"/>
            </w:pPr>
            <w:r>
              <w:t xml:space="preserve">Evidence: voting access and turnout; procedural-fairness measures; availability of legal remedies; consultation quality; censorship reports; Gate classes: Rights Floor; Containment / Structural Viability; Ordinary welfare. Uncertainty: Standard assessment. Interpretation: Frequently rights-covered: tied to due process, liberty, information, dignity, and civic rights — non-compensatory under NCRC. Containment-relevant for system stability.</w:t>
            </w:r>
          </w:p>
        </w:tc>
        <w:tc>
          <w:tcPr>
            <w:vAlign w:val="top"/>
          </w:tcPr>
          <w:p>
            <w:pPr>
              <w:pStyle w:val="Compact"/>
              <w:jc w:val="left"/>
            </w:pPr>
            <w:r>
              <w:t xml:space="preserve">Example: A reform expanding access to public hearings raises U5/D5; one that blocks lawful dissent harms it.; Reviewer check: A reviewer tests whether civic participation is enforceable or merely nominal, and whether any group is selectively excluded.</w:t>
            </w:r>
          </w:p>
        </w:tc>
      </w:tr>
      <w:tr>
        <w:tc>
          <w:tcPr>
            <w:shd w:val="clear" w:color="auto" w:fill="F7FBFE"/>
            <w:vAlign w:val="top"/>
          </w:tcPr>
          <w:p>
            <w:pPr>
              <w:pStyle w:val="Compact"/>
              <w:jc w:val="left"/>
            </w:pPr>
            <w:r>
              <w:rPr>
                <w:bCs/>
                <w:b/>
              </w:rPr>
              <w:t xml:space="preserve">U5/D6</w:t>
            </w:r>
            <w:r>
              <w:t xml:space="preserve"> </w:t>
            </w:r>
            <w:r>
              <w:t xml:space="preserve">- Public Meaning (label: public meaning)</w:t>
            </w:r>
          </w:p>
        </w:tc>
        <w:tc>
          <w:tcPr>
            <w:shd w:val="clear" w:color="auto" w:fill="F7FBFE"/>
            <w:vAlign w:val="top"/>
          </w:tcPr>
          <w:p>
            <w:r>
              <w:t>Evidence: inclusion / recognition measures; social-contract trust surveys; discrimination indicators; Gate classes: Rights-relevance cue; Containment / Structural Viability; Ordinary welfare. Uncertainty: Explicitly elevated. Interpretation: Dignity, non-domination, discrimination, information, due-process, or agency effects require separate rights routing under Appendix C.2 or a governed extension; the residual public-meaning effect remains ordinary welfare. Containment remains relevant where a fractured social contract destabilises the polity. Soft to measure.</w:t>
            </w:r>
          </w:p>
        </w:tc>
        <w:tc>
          <w:tcPr>
            <w:shd w:val="clear" w:color="auto" w:fill="F7FBFE"/>
            <w:vAlign w:val="top"/>
          </w:tcPr>
          <w:p>
            <w:pPr>
              <w:pStyle w:val="Compact"/>
              <w:jc w:val="left"/>
            </w:pPr>
            <w:r>
              <w:t xml:space="preserve">Example: A reconciliation policy that credibly extends recognition to a marginalised group improves U5/D6.; Reviewer check: A reviewer separates symbolic recognition from changes people actually experience.</w:t>
            </w:r>
          </w:p>
        </w:tc>
      </w:tr>
      <w:tr>
        <w:tc>
          <w:tcPr>
            <w:vAlign w:val="top"/>
          </w:tcPr>
          <w:p>
            <w:pPr>
              <w:pStyle w:val="Compact"/>
              <w:jc w:val="left"/>
            </w:pPr>
            <w:r>
              <w:rPr>
                <w:bCs/>
                <w:b/>
              </w:rPr>
              <w:t xml:space="preserve">U5/D7</w:t>
            </w:r>
            <w:r>
              <w:t xml:space="preserve"> </w:t>
            </w:r>
            <w:r>
              <w:t xml:space="preserve">- Public Environment (label: public environment)</w:t>
            </w:r>
          </w:p>
        </w:tc>
        <w:tc>
          <w:tcPr>
            <w:vAlign w:val="top"/>
          </w:tcPr>
          <w:p>
            <w:r>
              <w:t>Evidence: regional environmental monitoring; resource-stock data; pollution and emissions; environmental-justice mapping; Gate classes: Rights-relevance cue; Tail Risk; Containment / Structural Viability; Ordinary welfare. Uncertainty: Standard assessment. Interpretation: Tail-relevant where regional harm is irreversible or large-scale; containment-relevant; environmental-justice, health, habitability, dignity, agency, or basic-needs effects require separate routing to the applicable rights-covered dimension or a governed extension.</w:t>
            </w:r>
          </w:p>
        </w:tc>
        <w:tc>
          <w:tcPr>
            <w:vAlign w:val="top"/>
          </w:tcPr>
          <w:p>
            <w:pPr>
              <w:pStyle w:val="Compact"/>
              <w:jc w:val="left"/>
            </w:pPr>
            <w:r>
              <w:t xml:space="preserve">Example: A regional emissions cap that prevents airshed degradation improves U5/D7.; Reviewer check: A reviewer checks whether environmental-justice distribution was assessed, not just regional totals.</w:t>
            </w:r>
          </w:p>
        </w:tc>
      </w:tr>
    </w:tbl>
    <w:bookmarkEnd w:id="651"/>
    <w:bookmarkStart w:id="652" w:name="Xccaae39d399c5c977557502ff839eaf29e3b563"/>
    <w:p>
      <w:pPr>
        <w:pStyle w:val="Heading3"/>
      </w:pPr>
      <w:r>
        <w:rPr>
          <w:bCs/>
          <w:b/>
        </w:rPr>
        <w:t xml:space="preserve">U6 Humanity / Global Coordination - meaning and movement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What this cell measures</w:t>
            </w:r>
          </w:p>
        </w:tc>
        <w:tc>
          <w:tcPr>
            <w:shd w:val="clear" w:color="auto" w:fill="D9EAF7"/>
            <w:vAlign w:val="center"/>
          </w:tcPr>
          <w:p>
            <w:pPr>
              <w:pStyle w:val="Compact"/>
              <w:jc w:val="left"/>
            </w:pPr>
            <w:r>
              <w:rPr>
                <w:bCs/>
                <w:b/>
                <w:color w:val="17365D"/>
              </w:rPr>
              <w:t xml:space="preserve">+ Benefit</w:t>
            </w:r>
          </w:p>
        </w:tc>
        <w:tc>
          <w:tcPr>
            <w:shd w:val="clear" w:color="auto" w:fill="D9EAF7"/>
            <w:vAlign w:val="center"/>
          </w:tcPr>
          <w:p>
            <w:pPr>
              <w:pStyle w:val="Compact"/>
              <w:jc w:val="left"/>
            </w:pPr>
            <w:r>
              <w:rPr>
                <w:bCs/>
                <w:b/>
                <w:color w:val="17365D"/>
              </w:rPr>
              <w:t xml:space="preserve">- Harm</w:t>
            </w:r>
          </w:p>
        </w:tc>
      </w:tr>
      <w:tr>
        <w:tc>
          <w:tcPr>
            <w:vAlign w:val="top"/>
          </w:tcPr>
          <w:p>
            <w:pPr>
              <w:pStyle w:val="Compact"/>
              <w:jc w:val="left"/>
            </w:pPr>
            <w:r>
              <w:rPr>
                <w:bCs/>
                <w:b/>
              </w:rPr>
              <w:t xml:space="preserve">U6/D1</w:t>
            </w:r>
            <w:r>
              <w:t xml:space="preserve"> </w:t>
            </w:r>
            <w:r>
              <w:t xml:space="preserve">- Global Resources (label: global resources)</w:t>
            </w:r>
          </w:p>
        </w:tc>
        <w:tc>
          <w:tcPr>
            <w:vAlign w:val="top"/>
          </w:tcPr>
          <w:p>
            <w:pPr>
              <w:pStyle w:val="Compact"/>
              <w:jc w:val="left"/>
            </w:pPr>
            <w:r>
              <w:t xml:space="preserve">Humanity’s shared material base: global resource stocks, critical supply chains, and common infrastructure.</w:t>
            </w:r>
          </w:p>
        </w:tc>
        <w:tc>
          <w:tcPr>
            <w:vAlign w:val="top"/>
          </w:tcPr>
          <w:p>
            <w:pPr>
              <w:pStyle w:val="Compact"/>
              <w:jc w:val="left"/>
            </w:pPr>
            <w:r>
              <w:t xml:space="preserve">More sustainable global resource use, resilient supply chains, protected commons.</w:t>
            </w:r>
          </w:p>
        </w:tc>
        <w:tc>
          <w:tcPr>
            <w:vAlign w:val="top"/>
          </w:tcPr>
          <w:p>
            <w:pPr>
              <w:pStyle w:val="Compact"/>
              <w:jc w:val="left"/>
            </w:pPr>
            <w:r>
              <w:t xml:space="preserve">Resource depletion, supply-chain fragility, degradation of global commons.</w:t>
            </w:r>
          </w:p>
        </w:tc>
      </w:tr>
      <w:tr>
        <w:tc>
          <w:tcPr>
            <w:shd w:val="clear" w:color="auto" w:fill="F7FBFE"/>
            <w:vAlign w:val="top"/>
          </w:tcPr>
          <w:p>
            <w:pPr>
              <w:pStyle w:val="Compact"/>
              <w:jc w:val="left"/>
            </w:pPr>
            <w:r>
              <w:rPr>
                <w:bCs/>
                <w:b/>
              </w:rPr>
              <w:t xml:space="preserve">U6/D2</w:t>
            </w:r>
            <w:r>
              <w:t xml:space="preserve"> </w:t>
            </w:r>
            <w:r>
              <w:t xml:space="preserve">- Human Safety (label: human safety)</w:t>
            </w:r>
          </w:p>
        </w:tc>
        <w:tc>
          <w:tcPr>
            <w:shd w:val="clear" w:color="auto" w:fill="F7FBFE"/>
            <w:vAlign w:val="top"/>
          </w:tcPr>
          <w:p>
            <w:pPr>
              <w:pStyle w:val="Compact"/>
              <w:jc w:val="left"/>
            </w:pPr>
            <w:r>
              <w:t xml:space="preserve">The safety and survival of humanity at large, including existential and catastrophic risk.</w:t>
            </w:r>
          </w:p>
        </w:tc>
        <w:tc>
          <w:tcPr>
            <w:shd w:val="clear" w:color="auto" w:fill="F7FBFE"/>
            <w:vAlign w:val="top"/>
          </w:tcPr>
          <w:p>
            <w:pPr>
              <w:pStyle w:val="Compact"/>
              <w:jc w:val="left"/>
            </w:pPr>
            <w:r>
              <w:t xml:space="preserve">Reduced catastrophic and existential risk; stronger global safety and resilience.</w:t>
            </w:r>
          </w:p>
        </w:tc>
        <w:tc>
          <w:tcPr>
            <w:shd w:val="clear" w:color="auto" w:fill="F7FBFE"/>
            <w:vAlign w:val="top"/>
          </w:tcPr>
          <w:p>
            <w:pPr>
              <w:pStyle w:val="Compact"/>
              <w:jc w:val="left"/>
            </w:pPr>
            <w:r>
              <w:t xml:space="preserve">Increased existential, pandemic, conflict, or technological catastrophic risk.</w:t>
            </w:r>
          </w:p>
        </w:tc>
      </w:tr>
      <w:tr>
        <w:tc>
          <w:tcPr>
            <w:vAlign w:val="top"/>
          </w:tcPr>
          <w:p>
            <w:pPr>
              <w:pStyle w:val="Compact"/>
              <w:jc w:val="left"/>
            </w:pPr>
            <w:r>
              <w:rPr>
                <w:bCs/>
                <w:b/>
              </w:rPr>
              <w:t xml:space="preserve">U6/D3</w:t>
            </w:r>
            <w:r>
              <w:t xml:space="preserve"> </w:t>
            </w:r>
            <w:r>
              <w:t xml:space="preserve">- Cooperation (label: cooperation)</w:t>
            </w:r>
          </w:p>
        </w:tc>
        <w:tc>
          <w:tcPr>
            <w:vAlign w:val="top"/>
          </w:tcPr>
          <w:p>
            <w:pPr>
              <w:pStyle w:val="Compact"/>
              <w:jc w:val="left"/>
            </w:pPr>
            <w:r>
              <w:t xml:space="preserve">The capacity of humanity to coordinate, cooperate, and maintain peaceful, stable relations at scale.</w:t>
            </w:r>
          </w:p>
        </w:tc>
        <w:tc>
          <w:tcPr>
            <w:vAlign w:val="top"/>
          </w:tcPr>
          <w:p>
            <w:pPr>
              <w:pStyle w:val="Compact"/>
              <w:jc w:val="left"/>
            </w:pPr>
            <w:r>
              <w:t xml:space="preserve">Stronger global cooperation, conflict reduction, durable coordination institutions.</w:t>
            </w:r>
          </w:p>
        </w:tc>
        <w:tc>
          <w:tcPr>
            <w:vAlign w:val="top"/>
          </w:tcPr>
          <w:p>
            <w:pPr>
              <w:pStyle w:val="Compact"/>
              <w:jc w:val="left"/>
            </w:pPr>
            <w:r>
              <w:t xml:space="preserve">Breakdown of cooperation, arms races, institutional collapse, escalating conflict.</w:t>
            </w:r>
          </w:p>
        </w:tc>
      </w:tr>
      <w:tr>
        <w:tc>
          <w:tcPr>
            <w:shd w:val="clear" w:color="auto" w:fill="F7FBFE"/>
            <w:vAlign w:val="top"/>
          </w:tcPr>
          <w:p>
            <w:pPr>
              <w:pStyle w:val="Compact"/>
              <w:jc w:val="left"/>
            </w:pPr>
            <w:r>
              <w:rPr>
                <w:bCs/>
                <w:b/>
              </w:rPr>
              <w:t xml:space="preserve">U6/D4</w:t>
            </w:r>
            <w:r>
              <w:t xml:space="preserve"> </w:t>
            </w:r>
            <w:r>
              <w:t xml:space="preserve">- Civilizational Knowledge (label: civilizational knowledge)</w:t>
            </w:r>
          </w:p>
        </w:tc>
        <w:tc>
          <w:tcPr>
            <w:shd w:val="clear" w:color="auto" w:fill="F7FBFE"/>
            <w:vAlign w:val="top"/>
          </w:tcPr>
          <w:p>
            <w:pPr>
              <w:pStyle w:val="Compact"/>
              <w:jc w:val="left"/>
            </w:pPr>
            <w:r>
              <w:t xml:space="preserve">Humanity’s accumulated knowledge, science, and the integrity and safety of its knowledge systems.</w:t>
            </w:r>
          </w:p>
        </w:tc>
        <w:tc>
          <w:tcPr>
            <w:shd w:val="clear" w:color="auto" w:fill="F7FBFE"/>
            <w:vAlign w:val="top"/>
          </w:tcPr>
          <w:p>
            <w:pPr>
              <w:pStyle w:val="Compact"/>
              <w:jc w:val="left"/>
            </w:pPr>
            <w:r>
              <w:t xml:space="preserve">Knowledge preservation, scientific progress, epistemic integrity, responsible knowledge stewardship.</w:t>
            </w:r>
          </w:p>
        </w:tc>
        <w:tc>
          <w:tcPr>
            <w:shd w:val="clear" w:color="auto" w:fill="F7FBFE"/>
            <w:vAlign w:val="top"/>
          </w:tcPr>
          <w:p>
            <w:pPr>
              <w:pStyle w:val="Compact"/>
              <w:jc w:val="left"/>
            </w:pPr>
            <w:r>
              <w:t xml:space="preserve">Knowledge loss, scientific capture, epistemic collapse, or proliferation of dangerous knowledge.</w:t>
            </w:r>
          </w:p>
        </w:tc>
      </w:tr>
      <w:tr>
        <w:tc>
          <w:tcPr>
            <w:vAlign w:val="top"/>
          </w:tcPr>
          <w:p>
            <w:pPr>
              <w:pStyle w:val="Compact"/>
              <w:jc w:val="left"/>
            </w:pPr>
            <w:r>
              <w:rPr>
                <w:bCs/>
                <w:b/>
              </w:rPr>
              <w:t xml:space="preserve">U6/D5</w:t>
            </w:r>
            <w:r>
              <w:t xml:space="preserve"> </w:t>
            </w:r>
            <w:r>
              <w:t xml:space="preserve">- Collective Agency (label: collective agency)</w:t>
            </w:r>
          </w:p>
        </w:tc>
        <w:tc>
          <w:tcPr>
            <w:vAlign w:val="top"/>
          </w:tcPr>
          <w:p>
            <w:pPr>
              <w:pStyle w:val="Compact"/>
              <w:jc w:val="left"/>
            </w:pPr>
            <w:r>
              <w:t xml:space="preserve">Humanity’s capacity for self-determination and legitimate collective decision-making at the species scale.</w:t>
            </w:r>
          </w:p>
        </w:tc>
        <w:tc>
          <w:tcPr>
            <w:vAlign w:val="top"/>
          </w:tcPr>
          <w:p>
            <w:pPr>
              <w:pStyle w:val="Compact"/>
              <w:jc w:val="left"/>
            </w:pPr>
            <w:r>
              <w:t xml:space="preserve">Stronger legitimate global agency, fair representation, and self-determination.</w:t>
            </w:r>
          </w:p>
        </w:tc>
        <w:tc>
          <w:tcPr>
            <w:vAlign w:val="top"/>
          </w:tcPr>
          <w:p>
            <w:pPr>
              <w:pStyle w:val="Compact"/>
              <w:jc w:val="left"/>
            </w:pPr>
            <w:r>
              <w:t xml:space="preserve">Concentration of unaccountable power, disenfranchisement of peoples, loss of collective self-determination.</w:t>
            </w:r>
          </w:p>
        </w:tc>
      </w:tr>
      <w:tr>
        <w:tc>
          <w:tcPr>
            <w:shd w:val="clear" w:color="auto" w:fill="F7FBFE"/>
            <w:vAlign w:val="top"/>
          </w:tcPr>
          <w:p>
            <w:pPr>
              <w:pStyle w:val="Compact"/>
              <w:jc w:val="left"/>
            </w:pPr>
            <w:r>
              <w:rPr>
                <w:bCs/>
                <w:b/>
              </w:rPr>
              <w:t xml:space="preserve">U6/D6</w:t>
            </w:r>
            <w:r>
              <w:t xml:space="preserve"> </w:t>
            </w:r>
            <w:r>
              <w:t xml:space="preserve">- Shared Purpose (label: shared purpose)</w:t>
            </w:r>
          </w:p>
        </w:tc>
        <w:tc>
          <w:tcPr>
            <w:shd w:val="clear" w:color="auto" w:fill="F7FBFE"/>
            <w:vAlign w:val="top"/>
          </w:tcPr>
          <w:p>
            <w:pPr>
              <w:pStyle w:val="Compact"/>
              <w:jc w:val="left"/>
            </w:pPr>
            <w:r>
              <w:t xml:space="preserve">Humanity’s shared sense of meaning, moral direction, and long-term orientation toward flourishing.</w:t>
            </w:r>
          </w:p>
        </w:tc>
        <w:tc>
          <w:tcPr>
            <w:shd w:val="clear" w:color="auto" w:fill="F7FBFE"/>
            <w:vAlign w:val="top"/>
          </w:tcPr>
          <w:p>
            <w:pPr>
              <w:pStyle w:val="Compact"/>
              <w:jc w:val="left"/>
            </w:pPr>
            <w:r>
              <w:t xml:space="preserve">Stronger shared purpose, long-term orientation, intergenerational responsibility.</w:t>
            </w:r>
          </w:p>
        </w:tc>
        <w:tc>
          <w:tcPr>
            <w:shd w:val="clear" w:color="auto" w:fill="F7FBFE"/>
            <w:vAlign w:val="top"/>
          </w:tcPr>
          <w:p>
            <w:pPr>
              <w:pStyle w:val="Compact"/>
              <w:jc w:val="left"/>
            </w:pPr>
            <w:r>
              <w:t xml:space="preserve">Nihilism, short-termism, loss of shared direction, intergenerational betrayal.</w:t>
            </w:r>
          </w:p>
        </w:tc>
      </w:tr>
      <w:tr>
        <w:tc>
          <w:tcPr>
            <w:vAlign w:val="top"/>
          </w:tcPr>
          <w:p>
            <w:pPr>
              <w:pStyle w:val="Compact"/>
              <w:jc w:val="left"/>
            </w:pPr>
            <w:r>
              <w:rPr>
                <w:bCs/>
                <w:b/>
              </w:rPr>
              <w:t xml:space="preserve">U6/D7</w:t>
            </w:r>
            <w:r>
              <w:t xml:space="preserve"> </w:t>
            </w:r>
            <w:r>
              <w:t xml:space="preserve">- Planetary Conditions (label: planetary conditions)</w:t>
            </w:r>
          </w:p>
        </w:tc>
        <w:tc>
          <w:tcPr>
            <w:vAlign w:val="top"/>
          </w:tcPr>
          <w:p>
            <w:pPr>
              <w:pStyle w:val="Compact"/>
              <w:jc w:val="left"/>
            </w:pPr>
            <w:r>
              <w:t xml:space="preserve">The condition of planetary systems that support human civilisation and coordinated managing intelligence.</w:t>
            </w:r>
          </w:p>
        </w:tc>
        <w:tc>
          <w:tcPr>
            <w:vAlign w:val="top"/>
          </w:tcPr>
          <w:p>
            <w:pPr>
              <w:pStyle w:val="Compact"/>
              <w:jc w:val="left"/>
            </w:pPr>
            <w:r>
              <w:t xml:space="preserve">Reduced emissions, improved climate stability, lower systemic ecological risk, stronger global resilience.</w:t>
            </w:r>
          </w:p>
        </w:tc>
        <w:tc>
          <w:tcPr>
            <w:vAlign w:val="top"/>
          </w:tcPr>
          <w:p>
            <w:pPr>
              <w:pStyle w:val="Compact"/>
              <w:jc w:val="left"/>
            </w:pPr>
            <w:r>
              <w:t xml:space="preserve">Increased climate risk, global pollution, destabilised food/water systems, irreversible planetary degradation.</w:t>
            </w:r>
          </w:p>
        </w:tc>
      </w:tr>
    </w:tbl>
    <w:bookmarkEnd w:id="652"/>
    <w:bookmarkStart w:id="653" w:name="Xa96eef4d62c53ba35bd9e46190ac7d423040748"/>
    <w:p>
      <w:pPr>
        <w:pStyle w:val="Heading3"/>
      </w:pPr>
      <w:r>
        <w:rPr>
          <w:bCs/>
          <w:b/>
        </w:rPr>
        <w:t xml:space="preserve">U6 Humanity / Global Coordination - evidence and review</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Evidence and gate cues</w:t>
            </w:r>
          </w:p>
        </w:tc>
        <w:tc>
          <w:tcPr>
            <w:shd w:val="clear" w:color="auto" w:fill="D9EAF7"/>
            <w:vAlign w:val="center"/>
          </w:tcPr>
          <w:p>
            <w:pPr>
              <w:pStyle w:val="Compact"/>
              <w:jc w:val="left"/>
            </w:pPr>
            <w:r>
              <w:rPr>
                <w:bCs/>
                <w:b/>
                <w:color w:val="17365D"/>
              </w:rPr>
              <w:t xml:space="preserve">Example and reviewer check</w:t>
            </w:r>
          </w:p>
        </w:tc>
      </w:tr>
      <w:tr>
        <w:tc>
          <w:tcPr>
            <w:vAlign w:val="top"/>
          </w:tcPr>
          <w:p>
            <w:pPr>
              <w:pStyle w:val="Compact"/>
              <w:jc w:val="left"/>
            </w:pPr>
            <w:r>
              <w:rPr>
                <w:bCs/>
                <w:b/>
              </w:rPr>
              <w:t xml:space="preserve">U6/D1</w:t>
            </w:r>
            <w:r>
              <w:t xml:space="preserve"> </w:t>
            </w:r>
            <w:r>
              <w:t xml:space="preserve">- Global Resources (label: global resources)</w:t>
            </w:r>
          </w:p>
        </w:tc>
        <w:tc>
          <w:tcPr>
            <w:vAlign w:val="top"/>
          </w:tcPr>
          <w:p>
            <w:pPr>
              <w:pStyle w:val="Compact"/>
              <w:jc w:val="left"/>
            </w:pPr>
            <w:r>
              <w:t xml:space="preserve">Evidence: global resource-stock data; supply-chain resilience metrics; commons-condition indicators; Gate classes: Tail Risk; Containment / Structural Viability; Ordinary welfare. Uncertainty: Standard assessment. Interpretation: Containment-relevant and tail-relevant where depletion or fragility threatens systemic, hard-to-reverse harm at civilisational scale.</w:t>
            </w:r>
          </w:p>
        </w:tc>
        <w:tc>
          <w:tcPr>
            <w:vAlign w:val="top"/>
          </w:tcPr>
          <w:p>
            <w:pPr>
              <w:pStyle w:val="Compact"/>
              <w:jc w:val="left"/>
            </w:pPr>
            <w:r>
              <w:t xml:space="preserve">Example: A critical-minerals stewardship agreement that reduces depletion risk improves U6/D1.; Reviewer check: A reviewer checks whether ‘global’ claims rest on global data or extrapolated local figures.</w:t>
            </w:r>
          </w:p>
        </w:tc>
      </w:tr>
      <w:tr>
        <w:tc>
          <w:tcPr>
            <w:shd w:val="clear" w:color="auto" w:fill="F7FBFE"/>
            <w:vAlign w:val="top"/>
          </w:tcPr>
          <w:p>
            <w:pPr>
              <w:pStyle w:val="Compact"/>
              <w:jc w:val="left"/>
            </w:pPr>
            <w:r>
              <w:rPr>
                <w:bCs/>
                <w:b/>
              </w:rPr>
              <w:t xml:space="preserve">U6/D2</w:t>
            </w:r>
            <w:r>
              <w:t xml:space="preserve"> </w:t>
            </w:r>
            <w:r>
              <w:t xml:space="preserve">- Human Safety (label: human safety)</w:t>
            </w:r>
          </w:p>
        </w:tc>
        <w:tc>
          <w:tcPr>
            <w:shd w:val="clear" w:color="auto" w:fill="F7FBFE"/>
            <w:vAlign w:val="top"/>
          </w:tcPr>
          <w:p>
            <w:pPr>
              <w:pStyle w:val="Compact"/>
              <w:jc w:val="left"/>
            </w:pPr>
            <w:r>
              <w:t xml:space="preserve">Evidence: catastrophic-risk assessments; biosecurity / nuclear-risk indicators; conflict-escalation data; Gate classes: Rights Floor; Tail Risk; Ordinary welfare. Uncertainty: Standard assessment. Interpretation: Primarily tail-relevant: catastrophic and existential risk is non-averagable and bounded under TRC, never traded against ordinary welfare. Rights-relevant at the right-to-life floor.</w:t>
            </w:r>
          </w:p>
        </w:tc>
        <w:tc>
          <w:tcPr>
            <w:shd w:val="clear" w:color="auto" w:fill="F7FBFE"/>
            <w:vAlign w:val="top"/>
          </w:tcPr>
          <w:p>
            <w:pPr>
              <w:pStyle w:val="Compact"/>
              <w:jc w:val="left"/>
            </w:pPr>
            <w:r>
              <w:t xml:space="preserve">Example: A biosecurity protocol that lowers engineered-pandemic risk improves U6/D2.; Reviewer check: A reviewer checks that tail risk was bounded with a worst-case measure and not diluted by expected-value framing.</w:t>
            </w:r>
          </w:p>
        </w:tc>
      </w:tr>
      <w:tr>
        <w:tc>
          <w:tcPr>
            <w:vAlign w:val="top"/>
          </w:tcPr>
          <w:p>
            <w:pPr>
              <w:pStyle w:val="Compact"/>
              <w:jc w:val="left"/>
            </w:pPr>
            <w:r>
              <w:rPr>
                <w:bCs/>
                <w:b/>
              </w:rPr>
              <w:t xml:space="preserve">U6/D3</w:t>
            </w:r>
            <w:r>
              <w:t xml:space="preserve"> </w:t>
            </w:r>
            <w:r>
              <w:t xml:space="preserve">- Cooperation (label: cooperation)</w:t>
            </w:r>
          </w:p>
        </w:tc>
        <w:tc>
          <w:tcPr>
            <w:vAlign w:val="top"/>
          </w:tcPr>
          <w:p>
            <w:pPr>
              <w:pStyle w:val="Compact"/>
              <w:jc w:val="left"/>
            </w:pPr>
            <w:r>
              <w:t xml:space="preserve">Evidence: international-cooperation indices; conflict / treaty-compliance data; coordination-institution health; Gate classes: Tail Risk; Containment / Structural Viability; Ordinary welfare. Uncertainty: Standard assessment. Interpretation: Containment-relevant (cooperation underpins global stability); tail-relevant where breakdown risks large-scale conflict.</w:t>
            </w:r>
          </w:p>
        </w:tc>
        <w:tc>
          <w:tcPr>
            <w:vAlign w:val="top"/>
          </w:tcPr>
          <w:p>
            <w:pPr>
              <w:pStyle w:val="Compact"/>
              <w:jc w:val="left"/>
            </w:pPr>
            <w:r>
              <w:t xml:space="preserve">Example: A verification regime that sustains an arms-control treaty improves U6/D3.; Reviewer check: A reviewer asks whether cooperation is durable or a fragile short-term arrangement.</w:t>
            </w:r>
          </w:p>
        </w:tc>
      </w:tr>
      <w:tr>
        <w:tc>
          <w:tcPr>
            <w:shd w:val="clear" w:color="auto" w:fill="F7FBFE"/>
            <w:vAlign w:val="top"/>
          </w:tcPr>
          <w:p>
            <w:pPr>
              <w:pStyle w:val="Compact"/>
              <w:jc w:val="left"/>
            </w:pPr>
            <w:r>
              <w:rPr>
                <w:bCs/>
                <w:b/>
              </w:rPr>
              <w:t xml:space="preserve">U6/D4</w:t>
            </w:r>
            <w:r>
              <w:t xml:space="preserve"> </w:t>
            </w:r>
            <w:r>
              <w:t xml:space="preserve">- Civilizational Knowledge (label: civilizational knowledge)</w:t>
            </w:r>
          </w:p>
        </w:tc>
        <w:tc>
          <w:tcPr>
            <w:shd w:val="clear" w:color="auto" w:fill="F7FBFE"/>
            <w:vAlign w:val="top"/>
          </w:tcPr>
          <w:p>
            <w:pPr>
              <w:pStyle w:val="Compact"/>
              <w:jc w:val="left"/>
            </w:pPr>
            <w:r>
              <w:t xml:space="preserve">Evidence: scientific-integrity measures; knowledge-preservation status; research-governance indicators; Gate classes: Tail Risk; Containment / Structural Viability; Ordinary welfare. Uncertainty: Standard assessment. Interpretation: Containment-relevant; tail-relevant in two directions — catastrophic loss of knowledge, and dangerous diffusion of harmful capability.</w:t>
            </w:r>
          </w:p>
        </w:tc>
        <w:tc>
          <w:tcPr>
            <w:shd w:val="clear" w:color="auto" w:fill="F7FBFE"/>
            <w:vAlign w:val="top"/>
          </w:tcPr>
          <w:p>
            <w:pPr>
              <w:pStyle w:val="Compact"/>
              <w:jc w:val="left"/>
            </w:pPr>
            <w:r>
              <w:t xml:space="preserve">Example: An open-but-governed research framework that preserves integrity while limiting dangerous diffusion improves U6/D4.; Reviewer check: A reviewer checks whether knowledge benefits were weighed against misuse and proliferation pathways.</w:t>
            </w:r>
          </w:p>
        </w:tc>
      </w:tr>
      <w:tr>
        <w:tc>
          <w:tcPr>
            <w:vAlign w:val="top"/>
          </w:tcPr>
          <w:p>
            <w:pPr>
              <w:pStyle w:val="Compact"/>
              <w:jc w:val="left"/>
            </w:pPr>
            <w:r>
              <w:rPr>
                <w:bCs/>
                <w:b/>
              </w:rPr>
              <w:t xml:space="preserve">U6/D5</w:t>
            </w:r>
            <w:r>
              <w:t xml:space="preserve"> </w:t>
            </w:r>
            <w:r>
              <w:t xml:space="preserve">- Collective Agency (label: collective agency)</w:t>
            </w:r>
          </w:p>
        </w:tc>
        <w:tc>
          <w:tcPr>
            <w:vAlign w:val="top"/>
          </w:tcPr>
          <w:p>
            <w:pPr>
              <w:pStyle w:val="Compact"/>
              <w:jc w:val="left"/>
            </w:pPr>
            <w:r>
              <w:t xml:space="preserve">Evidence: representation / participation in global governance; power-concentration indicators; self-determination measures; Gate classes: Rights Floor; Containment / Structural Viability. Uncertainty: Explicitly elevated. Interpretation: Rights-relevant (self-determination); containment-relevant where illegitimate concentration destabilises the system. Measurement is contested — mark uncertainty.</w:t>
            </w:r>
          </w:p>
        </w:tc>
        <w:tc>
          <w:tcPr>
            <w:vAlign w:val="top"/>
          </w:tcPr>
          <w:p>
            <w:pPr>
              <w:pStyle w:val="Compact"/>
              <w:jc w:val="left"/>
            </w:pPr>
            <w:r>
              <w:t xml:space="preserve">Example: A governance reform giving affected populations real voice in a global regime improves U6/D5.; Reviewer check: A reviewer tests whether ‘collective’ agency includes the marginalised or only powerful actors.</w:t>
            </w:r>
          </w:p>
        </w:tc>
      </w:tr>
      <w:tr>
        <w:tc>
          <w:tcPr>
            <w:shd w:val="clear" w:color="auto" w:fill="F7FBFE"/>
            <w:vAlign w:val="top"/>
          </w:tcPr>
          <w:p>
            <w:pPr>
              <w:pStyle w:val="Compact"/>
              <w:jc w:val="left"/>
            </w:pPr>
            <w:r>
              <w:rPr>
                <w:bCs/>
                <w:b/>
              </w:rPr>
              <w:t xml:space="preserve">U6/D6</w:t>
            </w:r>
            <w:r>
              <w:t xml:space="preserve"> </w:t>
            </w:r>
            <w:r>
              <w:t xml:space="preserve">- Shared Purpose (label: shared purpose)</w:t>
            </w:r>
          </w:p>
        </w:tc>
        <w:tc>
          <w:tcPr>
            <w:shd w:val="clear" w:color="auto" w:fill="F7FBFE"/>
            <w:vAlign w:val="top"/>
          </w:tcPr>
          <w:p>
            <w:pPr>
              <w:pStyle w:val="Compact"/>
              <w:jc w:val="left"/>
            </w:pPr>
            <w:r>
              <w:t xml:space="preserve">Evidence: long-term-orientation indicators; intergenerational-equity measures; qualitative analysis; Gate classes: Containment / Structural Viability; Ordinary welfare. Uncertainty: Explicitly elevated. Interpretation: Mostly ordinary/aspirational; containment-relevant where short-termism erodes long-term stability. Inherently soft — mark uncertainty and avoid overclaiming.</w:t>
            </w:r>
          </w:p>
        </w:tc>
        <w:tc>
          <w:tcPr>
            <w:shd w:val="clear" w:color="auto" w:fill="F7FBFE"/>
            <w:vAlign w:val="top"/>
          </w:tcPr>
          <w:p>
            <w:pPr>
              <w:pStyle w:val="Compact"/>
              <w:jc w:val="left"/>
            </w:pPr>
            <w:r>
              <w:t xml:space="preserve">Example: A long-horizon institution (e.g. a future-generations commissioner) can support U6/D6.; Reviewer check: A reviewer flags this cell as especially prone to rhetoric and demands concrete mechanisms.</w:t>
            </w:r>
          </w:p>
        </w:tc>
      </w:tr>
      <w:tr>
        <w:tc>
          <w:tcPr>
            <w:vAlign w:val="top"/>
          </w:tcPr>
          <w:p>
            <w:pPr>
              <w:pStyle w:val="Compact"/>
              <w:jc w:val="left"/>
            </w:pPr>
            <w:r>
              <w:rPr>
                <w:bCs/>
                <w:b/>
              </w:rPr>
              <w:t xml:space="preserve">U6/D7</w:t>
            </w:r>
            <w:r>
              <w:t xml:space="preserve"> </w:t>
            </w:r>
            <w:r>
              <w:t xml:space="preserve">- Planetary Conditions (label: planetary conditions)</w:t>
            </w:r>
          </w:p>
        </w:tc>
        <w:tc>
          <w:tcPr>
            <w:vAlign w:val="top"/>
          </w:tcPr>
          <w:p>
            <w:pPr>
              <w:pStyle w:val="Compact"/>
              <w:jc w:val="left"/>
            </w:pPr>
            <w:r>
              <w:t xml:space="preserve">Evidence: emissions data; climate models; planetary-boundary metrics; global food/water-security projections; Gate classes: Tail Risk; Containment / Structural Viability; Ordinary welfare. Uncertainty: Standard assessment. Interpretation: Often catastrophe-relevant: may trigger TRC where irreversible or large-scale harm is plausible. Containment-relevant as a system-stability check.</w:t>
            </w:r>
          </w:p>
        </w:tc>
        <w:tc>
          <w:tcPr>
            <w:vAlign w:val="top"/>
          </w:tcPr>
          <w:p>
            <w:pPr>
              <w:pStyle w:val="Compact"/>
              <w:jc w:val="left"/>
            </w:pPr>
            <w:r>
              <w:t xml:space="preserve">Example: A high-emissions infrastructure choice may harm U6/D7 even when it benefits a local economy (U3/D1 or U4/D1).; Reviewer check: A reviewer checks whether irreversibility and worst-case bounds were modelled, not just expected outcomes.</w:t>
            </w:r>
          </w:p>
        </w:tc>
      </w:tr>
    </w:tbl>
    <w:bookmarkEnd w:id="653"/>
    <w:bookmarkStart w:id="654" w:name="u7-biosphere---meaning-and-movement"/>
    <w:p>
      <w:pPr>
        <w:pStyle w:val="Heading3"/>
      </w:pPr>
      <w:r>
        <w:rPr>
          <w:bCs/>
          <w:b/>
        </w:rPr>
        <w:t xml:space="preserve">U7 Biosphere - meaning and movement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What this cell measures</w:t>
            </w:r>
          </w:p>
        </w:tc>
        <w:tc>
          <w:tcPr>
            <w:shd w:val="clear" w:color="auto" w:fill="D9EAF7"/>
            <w:vAlign w:val="center"/>
          </w:tcPr>
          <w:p>
            <w:pPr>
              <w:pStyle w:val="Compact"/>
              <w:jc w:val="left"/>
            </w:pPr>
            <w:r>
              <w:rPr>
                <w:bCs/>
                <w:b/>
                <w:color w:val="17365D"/>
              </w:rPr>
              <w:t xml:space="preserve">+ Benefit</w:t>
            </w:r>
          </w:p>
        </w:tc>
        <w:tc>
          <w:tcPr>
            <w:shd w:val="clear" w:color="auto" w:fill="D9EAF7"/>
            <w:vAlign w:val="center"/>
          </w:tcPr>
          <w:p>
            <w:pPr>
              <w:pStyle w:val="Compact"/>
              <w:jc w:val="left"/>
            </w:pPr>
            <w:r>
              <w:rPr>
                <w:bCs/>
                <w:b/>
                <w:color w:val="17365D"/>
              </w:rPr>
              <w:t xml:space="preserve">- Harm</w:t>
            </w:r>
          </w:p>
        </w:tc>
      </w:tr>
      <w:tr>
        <w:tc>
          <w:tcPr>
            <w:vAlign w:val="top"/>
          </w:tcPr>
          <w:p>
            <w:pPr>
              <w:pStyle w:val="Compact"/>
              <w:jc w:val="left"/>
            </w:pPr>
            <w:r>
              <w:rPr>
                <w:bCs/>
                <w:b/>
              </w:rPr>
              <w:t xml:space="preserve">U7/D1</w:t>
            </w:r>
            <w:r>
              <w:t xml:space="preserve"> </w:t>
            </w:r>
            <w:r>
              <w:t xml:space="preserve">- Life-Support Resources (label: life-support resources)</w:t>
            </w:r>
          </w:p>
        </w:tc>
        <w:tc>
          <w:tcPr>
            <w:vAlign w:val="top"/>
          </w:tcPr>
          <w:p>
            <w:pPr>
              <w:pStyle w:val="Compact"/>
              <w:jc w:val="left"/>
            </w:pPr>
            <w:r>
              <w:t xml:space="preserve">The biosphere’s foundational resources that sustain life: soil, fresh water, clean air, fertility.</w:t>
            </w:r>
          </w:p>
        </w:tc>
        <w:tc>
          <w:tcPr>
            <w:vAlign w:val="top"/>
          </w:tcPr>
          <w:p>
            <w:pPr>
              <w:pStyle w:val="Compact"/>
              <w:jc w:val="left"/>
            </w:pPr>
            <w:r>
              <w:t xml:space="preserve">Protected or restored soil, water, and air; sustained natural-resource base.</w:t>
            </w:r>
          </w:p>
        </w:tc>
        <w:tc>
          <w:tcPr>
            <w:vAlign w:val="top"/>
          </w:tcPr>
          <w:p>
            <w:pPr>
              <w:pStyle w:val="Compact"/>
              <w:jc w:val="left"/>
            </w:pPr>
            <w:r>
              <w:t xml:space="preserve">Soil loss, water depletion, air degradation, exhaustion of life-support systems.</w:t>
            </w:r>
          </w:p>
        </w:tc>
      </w:tr>
      <w:tr>
        <w:tc>
          <w:tcPr>
            <w:shd w:val="clear" w:color="auto" w:fill="F7FBFE"/>
            <w:vAlign w:val="top"/>
          </w:tcPr>
          <w:p>
            <w:pPr>
              <w:pStyle w:val="Compact"/>
              <w:jc w:val="left"/>
            </w:pPr>
            <w:r>
              <w:rPr>
                <w:bCs/>
                <w:b/>
              </w:rPr>
              <w:t xml:space="preserve">U7/D2</w:t>
            </w:r>
            <w:r>
              <w:t xml:space="preserve"> </w:t>
            </w:r>
            <w:r>
              <w:t xml:space="preserve">- Ecosystem Health (label: ecosystem health)</w:t>
            </w:r>
          </w:p>
        </w:tc>
        <w:tc>
          <w:tcPr>
            <w:shd w:val="clear" w:color="auto" w:fill="F7FBFE"/>
            <w:vAlign w:val="top"/>
          </w:tcPr>
          <w:p>
            <w:pPr>
              <w:pStyle w:val="Compact"/>
              <w:jc w:val="left"/>
            </w:pPr>
            <w:r>
              <w:t xml:space="preserve">The health, function, and viability of ecosystems and the species within them.</w:t>
            </w:r>
          </w:p>
        </w:tc>
        <w:tc>
          <w:tcPr>
            <w:shd w:val="clear" w:color="auto" w:fill="F7FBFE"/>
            <w:vAlign w:val="top"/>
          </w:tcPr>
          <w:p>
            <w:pPr>
              <w:pStyle w:val="Compact"/>
              <w:jc w:val="left"/>
            </w:pPr>
            <w:r>
              <w:t xml:space="preserve">Healthier, functioning ecosystems; recovering species and habitats.</w:t>
            </w:r>
          </w:p>
        </w:tc>
        <w:tc>
          <w:tcPr>
            <w:shd w:val="clear" w:color="auto" w:fill="F7FBFE"/>
            <w:vAlign w:val="top"/>
          </w:tcPr>
          <w:p>
            <w:pPr>
              <w:pStyle w:val="Compact"/>
              <w:jc w:val="left"/>
            </w:pPr>
            <w:r>
              <w:t xml:space="preserve">Ecosystem dysfunction, species decline, habitat collapse, trophic breakdown.</w:t>
            </w:r>
          </w:p>
        </w:tc>
      </w:tr>
      <w:tr>
        <w:tc>
          <w:tcPr>
            <w:vAlign w:val="top"/>
          </w:tcPr>
          <w:p>
            <w:pPr>
              <w:pStyle w:val="Compact"/>
              <w:jc w:val="left"/>
            </w:pPr>
            <w:r>
              <w:rPr>
                <w:bCs/>
                <w:b/>
              </w:rPr>
              <w:t xml:space="preserve">U7/D3</w:t>
            </w:r>
            <w:r>
              <w:t xml:space="preserve"> </w:t>
            </w:r>
            <w:r>
              <w:t xml:space="preserve">- Biotic Relations (label: biotic relations)</w:t>
            </w:r>
          </w:p>
        </w:tc>
        <w:tc>
          <w:tcPr>
            <w:vAlign w:val="top"/>
          </w:tcPr>
          <w:p>
            <w:pPr>
              <w:pStyle w:val="Compact"/>
              <w:jc w:val="left"/>
            </w:pPr>
            <w:r>
              <w:t xml:space="preserve">The integrity of relationships and interdependencies among living systems and between humans and nature.</w:t>
            </w:r>
          </w:p>
        </w:tc>
        <w:tc>
          <w:tcPr>
            <w:vAlign w:val="top"/>
          </w:tcPr>
          <w:p>
            <w:pPr>
              <w:pStyle w:val="Compact"/>
              <w:jc w:val="left"/>
            </w:pPr>
            <w:r>
              <w:t xml:space="preserve">Restored ecological relationships, sustainable human-nature interactions, protected interdependencies.</w:t>
            </w:r>
          </w:p>
        </w:tc>
        <w:tc>
          <w:tcPr>
            <w:vAlign w:val="top"/>
          </w:tcPr>
          <w:p>
            <w:pPr>
              <w:pStyle w:val="Compact"/>
              <w:jc w:val="left"/>
            </w:pPr>
            <w:r>
              <w:t xml:space="preserve">Disrupted food webs, broken ecological relationships, harmful human-nature dynamics.</w:t>
            </w:r>
          </w:p>
        </w:tc>
      </w:tr>
      <w:tr>
        <w:tc>
          <w:tcPr>
            <w:shd w:val="clear" w:color="auto" w:fill="F7FBFE"/>
            <w:vAlign w:val="top"/>
          </w:tcPr>
          <w:p>
            <w:pPr>
              <w:pStyle w:val="Compact"/>
              <w:jc w:val="left"/>
            </w:pPr>
            <w:r>
              <w:rPr>
                <w:bCs/>
                <w:b/>
              </w:rPr>
              <w:t xml:space="preserve">U7/D4</w:t>
            </w:r>
            <w:r>
              <w:t xml:space="preserve"> </w:t>
            </w:r>
            <w:r>
              <w:t xml:space="preserve">- Ecological Knowledge (label: ecological knowledge)</w:t>
            </w:r>
          </w:p>
        </w:tc>
        <w:tc>
          <w:tcPr>
            <w:shd w:val="clear" w:color="auto" w:fill="F7FBFE"/>
            <w:vAlign w:val="top"/>
          </w:tcPr>
          <w:p>
            <w:pPr>
              <w:pStyle w:val="Compact"/>
              <w:jc w:val="left"/>
            </w:pPr>
            <w:r>
              <w:t xml:space="preserve">Humanity’s understanding and monitoring of ecological systems, including baseline and early-warning data.</w:t>
            </w:r>
          </w:p>
        </w:tc>
        <w:tc>
          <w:tcPr>
            <w:shd w:val="clear" w:color="auto" w:fill="F7FBFE"/>
            <w:vAlign w:val="top"/>
          </w:tcPr>
          <w:p>
            <w:pPr>
              <w:pStyle w:val="Compact"/>
              <w:jc w:val="left"/>
            </w:pPr>
            <w:r>
              <w:t xml:space="preserve">Better ecological monitoring, baselines, early-warning capacity, and stewardship knowledge.</w:t>
            </w:r>
          </w:p>
        </w:tc>
        <w:tc>
          <w:tcPr>
            <w:shd w:val="clear" w:color="auto" w:fill="F7FBFE"/>
            <w:vAlign w:val="top"/>
          </w:tcPr>
          <w:p>
            <w:pPr>
              <w:pStyle w:val="Compact"/>
              <w:jc w:val="left"/>
            </w:pPr>
            <w:r>
              <w:t xml:space="preserve">Monitoring gaps, lost baselines, ecological ignorance, blind spots before thresholds.</w:t>
            </w:r>
          </w:p>
        </w:tc>
      </w:tr>
      <w:tr>
        <w:tc>
          <w:tcPr>
            <w:vAlign w:val="top"/>
          </w:tcPr>
          <w:p>
            <w:pPr>
              <w:pStyle w:val="Compact"/>
              <w:jc w:val="left"/>
            </w:pPr>
            <w:r>
              <w:rPr>
                <w:bCs/>
                <w:b/>
              </w:rPr>
              <w:t xml:space="preserve">U7/D5</w:t>
            </w:r>
            <w:r>
              <w:t xml:space="preserve"> </w:t>
            </w:r>
            <w:r>
              <w:t xml:space="preserve">- Resilience Capacity (label: resilience capacity)</w:t>
            </w:r>
          </w:p>
        </w:tc>
        <w:tc>
          <w:tcPr>
            <w:vAlign w:val="top"/>
          </w:tcPr>
          <w:p>
            <w:pPr>
              <w:pStyle w:val="Compact"/>
              <w:jc w:val="left"/>
            </w:pPr>
            <w:r>
              <w:t xml:space="preserve">The biosphere’s capacity to absorb shocks, adapt, and recover from disturbance.</w:t>
            </w:r>
          </w:p>
        </w:tc>
        <w:tc>
          <w:tcPr>
            <w:vAlign w:val="top"/>
          </w:tcPr>
          <w:p>
            <w:pPr>
              <w:pStyle w:val="Compact"/>
              <w:jc w:val="left"/>
            </w:pPr>
            <w:r>
              <w:t xml:space="preserve">Greater ecological resilience, redundancy, and recovery capacity.</w:t>
            </w:r>
          </w:p>
        </w:tc>
        <w:tc>
          <w:tcPr>
            <w:vAlign w:val="top"/>
          </w:tcPr>
          <w:p>
            <w:pPr>
              <w:pStyle w:val="Compact"/>
              <w:jc w:val="left"/>
            </w:pPr>
            <w:r>
              <w:t xml:space="preserve">Loss of resilience, reduced redundancy, approach to tipping points and regime shifts.</w:t>
            </w:r>
          </w:p>
        </w:tc>
      </w:tr>
      <w:tr>
        <w:tc>
          <w:tcPr>
            <w:shd w:val="clear" w:color="auto" w:fill="F7FBFE"/>
            <w:vAlign w:val="top"/>
          </w:tcPr>
          <w:p>
            <w:pPr>
              <w:pStyle w:val="Compact"/>
              <w:jc w:val="left"/>
            </w:pPr>
            <w:r>
              <w:rPr>
                <w:bCs/>
                <w:b/>
              </w:rPr>
              <w:t xml:space="preserve">U7/D6</w:t>
            </w:r>
            <w:r>
              <w:t xml:space="preserve"> </w:t>
            </w:r>
            <w:r>
              <w:t xml:space="preserve">- Life Continuity (label: life continuity)</w:t>
            </w:r>
          </w:p>
        </w:tc>
        <w:tc>
          <w:tcPr>
            <w:shd w:val="clear" w:color="auto" w:fill="F7FBFE"/>
            <w:vAlign w:val="top"/>
          </w:tcPr>
          <w:p>
            <w:pPr>
              <w:pStyle w:val="Compact"/>
              <w:jc w:val="left"/>
            </w:pPr>
            <w:r>
              <w:t xml:space="preserve">The continuity and persistence of life and biodiversity over time, including irreversibility of loss.</w:t>
            </w:r>
          </w:p>
        </w:tc>
        <w:tc>
          <w:tcPr>
            <w:shd w:val="clear" w:color="auto" w:fill="F7FBFE"/>
            <w:vAlign w:val="top"/>
          </w:tcPr>
          <w:p>
            <w:pPr>
              <w:pStyle w:val="Compact"/>
              <w:jc w:val="left"/>
            </w:pPr>
            <w:r>
              <w:t xml:space="preserve">Protected biodiversity, prevented extinctions, sustained continuity of life.</w:t>
            </w:r>
          </w:p>
        </w:tc>
        <w:tc>
          <w:tcPr>
            <w:shd w:val="clear" w:color="auto" w:fill="F7FBFE"/>
            <w:vAlign w:val="top"/>
          </w:tcPr>
          <w:p>
            <w:pPr>
              <w:pStyle w:val="Compact"/>
              <w:jc w:val="left"/>
            </w:pPr>
            <w:r>
              <w:t xml:space="preserve">Species extinction, irreversible biodiversity loss, broken continuity of lineages.</w:t>
            </w:r>
          </w:p>
        </w:tc>
      </w:tr>
      <w:tr>
        <w:tc>
          <w:tcPr>
            <w:vAlign w:val="top"/>
          </w:tcPr>
          <w:p>
            <w:pPr>
              <w:pStyle w:val="Compact"/>
              <w:jc w:val="left"/>
            </w:pPr>
            <w:r>
              <w:rPr>
                <w:bCs/>
                <w:b/>
              </w:rPr>
              <w:t xml:space="preserve">U7/D7</w:t>
            </w:r>
            <w:r>
              <w:t xml:space="preserve"> </w:t>
            </w:r>
            <w:r>
              <w:t xml:space="preserve">- Ecological Integrity (label: ecological integrity)</w:t>
            </w:r>
          </w:p>
        </w:tc>
        <w:tc>
          <w:tcPr>
            <w:vAlign w:val="top"/>
          </w:tcPr>
          <w:p>
            <w:pPr>
              <w:pStyle w:val="Compact"/>
              <w:jc w:val="left"/>
            </w:pPr>
            <w:r>
              <w:t xml:space="preserve">The overall health, resilience, diversity, and continuity of ecosystems as living support systems.</w:t>
            </w:r>
          </w:p>
        </w:tc>
        <w:tc>
          <w:tcPr>
            <w:vAlign w:val="top"/>
          </w:tcPr>
          <w:p>
            <w:pPr>
              <w:pStyle w:val="Compact"/>
              <w:jc w:val="left"/>
            </w:pPr>
            <w:r>
              <w:t xml:space="preserve">Habitat restoration, biodiversity protection, improved ecological resilience, reduced pollution.</w:t>
            </w:r>
          </w:p>
        </w:tc>
        <w:tc>
          <w:tcPr>
            <w:vAlign w:val="top"/>
          </w:tcPr>
          <w:p>
            <w:pPr>
              <w:pStyle w:val="Compact"/>
              <w:jc w:val="left"/>
            </w:pPr>
            <w:r>
              <w:t xml:space="preserve">Habitat destruction, species loss, ecosystem collapse, pollution, soil/water degradation.</w:t>
            </w:r>
          </w:p>
        </w:tc>
      </w:tr>
    </w:tbl>
    <w:bookmarkEnd w:id="654"/>
    <w:bookmarkStart w:id="655" w:name="u7-biosphere---evidence-and-review"/>
    <w:p>
      <w:pPr>
        <w:pStyle w:val="Heading3"/>
      </w:pPr>
      <w:r>
        <w:rPr>
          <w:bCs/>
          <w:b/>
        </w:rPr>
        <w:t xml:space="preserve">U7 Biosphere - evidence and review</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Cell</w:t>
            </w:r>
          </w:p>
        </w:tc>
        <w:tc>
          <w:tcPr>
            <w:shd w:val="clear" w:color="auto" w:fill="D9EAF7"/>
            <w:vAlign w:val="center"/>
          </w:tcPr>
          <w:p>
            <w:pPr>
              <w:pStyle w:val="Compact"/>
              <w:jc w:val="left"/>
            </w:pPr>
            <w:r>
              <w:rPr>
                <w:bCs/>
                <w:b/>
                <w:color w:val="17365D"/>
              </w:rPr>
              <w:t xml:space="preserve">Evidence and gate cues</w:t>
            </w:r>
          </w:p>
        </w:tc>
        <w:tc>
          <w:tcPr>
            <w:shd w:val="clear" w:color="auto" w:fill="D9EAF7"/>
            <w:vAlign w:val="center"/>
          </w:tcPr>
          <w:p>
            <w:pPr>
              <w:pStyle w:val="Compact"/>
              <w:jc w:val="left"/>
            </w:pPr>
            <w:r>
              <w:rPr>
                <w:bCs/>
                <w:b/>
                <w:color w:val="17365D"/>
              </w:rPr>
              <w:t xml:space="preserve">Example and reviewer check</w:t>
            </w:r>
          </w:p>
        </w:tc>
      </w:tr>
      <w:tr>
        <w:tc>
          <w:tcPr>
            <w:vAlign w:val="top"/>
          </w:tcPr>
          <w:p>
            <w:pPr>
              <w:pStyle w:val="Compact"/>
              <w:jc w:val="left"/>
            </w:pPr>
            <w:r>
              <w:rPr>
                <w:bCs/>
                <w:b/>
              </w:rPr>
              <w:t xml:space="preserve">U7/D1</w:t>
            </w:r>
            <w:r>
              <w:t xml:space="preserve"> </w:t>
            </w:r>
            <w:r>
              <w:t xml:space="preserve">- Life-Support Resources (label: life-support resources)</w:t>
            </w:r>
          </w:p>
        </w:tc>
        <w:tc>
          <w:tcPr>
            <w:vAlign w:val="top"/>
          </w:tcPr>
          <w:p>
            <w:pPr>
              <w:pStyle w:val="Compact"/>
              <w:jc w:val="left"/>
            </w:pPr>
            <w:r>
              <w:t xml:space="preserve">Evidence: soil-health data; freshwater-stock and quality; air-quality baselines; resource-renewal rates; Gate classes: Tail Risk; Containment / Structural Viability; Ordinary welfare. Uncertainty: Standard assessment. Interpretation: Tail-relevant where depletion is irreversible or threatens collapse of life-support systems; containment-relevant. Distinct from U4/D1 ‘operating resources’.</w:t>
            </w:r>
          </w:p>
        </w:tc>
        <w:tc>
          <w:tcPr>
            <w:vAlign w:val="top"/>
          </w:tcPr>
          <w:p>
            <w:pPr>
              <w:pStyle w:val="Compact"/>
              <w:jc w:val="left"/>
            </w:pPr>
            <w:r>
              <w:t xml:space="preserve">Example: An aquifer-protection rule that prevents irreversible groundwater loss improves U7/D1.; Reviewer check: A reviewer checks whether renewal rates, not just current stocks, were assessed.</w:t>
            </w:r>
          </w:p>
        </w:tc>
      </w:tr>
      <w:tr>
        <w:tc>
          <w:tcPr>
            <w:shd w:val="clear" w:color="auto" w:fill="F7FBFE"/>
            <w:vAlign w:val="top"/>
          </w:tcPr>
          <w:p>
            <w:pPr>
              <w:pStyle w:val="Compact"/>
              <w:jc w:val="left"/>
            </w:pPr>
            <w:r>
              <w:rPr>
                <w:bCs/>
                <w:b/>
              </w:rPr>
              <w:t xml:space="preserve">U7/D2</w:t>
            </w:r>
            <w:r>
              <w:t xml:space="preserve"> </w:t>
            </w:r>
            <w:r>
              <w:t xml:space="preserve">- Ecosystem Health (label: ecosystem health)</w:t>
            </w:r>
          </w:p>
        </w:tc>
        <w:tc>
          <w:tcPr>
            <w:shd w:val="clear" w:color="auto" w:fill="F7FBFE"/>
            <w:vAlign w:val="top"/>
          </w:tcPr>
          <w:p>
            <w:pPr>
              <w:pStyle w:val="Compact"/>
              <w:jc w:val="left"/>
            </w:pPr>
            <w:r>
              <w:t xml:space="preserve">Evidence: ecosystem-function indicators; species-population trends; habitat-condition assessments; Gate classes: Tail Risk; Containment / Structural Viability; Ordinary welfare. Uncertainty: Standard assessment. Interpretation: Tail-relevant where collapse or extinction is plausible and irreversible; containment-relevant as ecosystems underpin wider scopes.</w:t>
            </w:r>
          </w:p>
        </w:tc>
        <w:tc>
          <w:tcPr>
            <w:shd w:val="clear" w:color="auto" w:fill="F7FBFE"/>
            <w:vAlign w:val="top"/>
          </w:tcPr>
          <w:p>
            <w:pPr>
              <w:pStyle w:val="Compact"/>
              <w:jc w:val="left"/>
            </w:pPr>
            <w:r>
              <w:t xml:space="preserve">Example: A fisheries policy that lets a collapsing stock recover improves U7/D2.; Reviewer check: A reviewer checks whether ecosystem-function evidence exists or only a single charismatic indicator.</w:t>
            </w:r>
          </w:p>
        </w:tc>
      </w:tr>
      <w:tr>
        <w:tc>
          <w:tcPr>
            <w:vAlign w:val="top"/>
          </w:tcPr>
          <w:p>
            <w:pPr>
              <w:pStyle w:val="Compact"/>
              <w:jc w:val="left"/>
            </w:pPr>
            <w:r>
              <w:rPr>
                <w:bCs/>
                <w:b/>
              </w:rPr>
              <w:t xml:space="preserve">U7/D3</w:t>
            </w:r>
            <w:r>
              <w:t xml:space="preserve"> </w:t>
            </w:r>
            <w:r>
              <w:t xml:space="preserve">- Biotic Relations (label: biotic relations)</w:t>
            </w:r>
          </w:p>
        </w:tc>
        <w:tc>
          <w:tcPr>
            <w:vAlign w:val="top"/>
          </w:tcPr>
          <w:p>
            <w:pPr>
              <w:pStyle w:val="Compact"/>
              <w:jc w:val="left"/>
            </w:pPr>
            <w:r>
              <w:t xml:space="preserve">Evidence: trophic / food-web indicators; interaction-network data; human-impact assessments; Gate classes: Tail Risk; Containment / Structural Viability; Ordinary welfare. Uncertainty: Standard assessment. Interpretation: Containment-relevant: a local win that severs ecological relationships can fail containment even with strong U4/D1 gains; tail-relevant where cascades are plausible.</w:t>
            </w:r>
          </w:p>
        </w:tc>
        <w:tc>
          <w:tcPr>
            <w:vAlign w:val="top"/>
          </w:tcPr>
          <w:p>
            <w:pPr>
              <w:pStyle w:val="Compact"/>
              <w:jc w:val="left"/>
            </w:pPr>
            <w:r>
              <w:t xml:space="preserve">Example: A factory expansion that damages a watershed may fail containment via U7/D3 even while improving U4/D1.; Reviewer check: A reviewer asks whether relational/cascade effects were modelled or ignored as ‘no direct effect’.</w:t>
            </w:r>
          </w:p>
        </w:tc>
      </w:tr>
      <w:tr>
        <w:tc>
          <w:tcPr>
            <w:shd w:val="clear" w:color="auto" w:fill="F7FBFE"/>
            <w:vAlign w:val="top"/>
          </w:tcPr>
          <w:p>
            <w:pPr>
              <w:pStyle w:val="Compact"/>
              <w:jc w:val="left"/>
            </w:pPr>
            <w:r>
              <w:rPr>
                <w:bCs/>
                <w:b/>
              </w:rPr>
              <w:t xml:space="preserve">U7/D4</w:t>
            </w:r>
            <w:r>
              <w:t xml:space="preserve"> </w:t>
            </w:r>
            <w:r>
              <w:t xml:space="preserve">- Ecological Knowledge (label: ecological knowledge)</w:t>
            </w:r>
          </w:p>
        </w:tc>
        <w:tc>
          <w:tcPr>
            <w:shd w:val="clear" w:color="auto" w:fill="F7FBFE"/>
            <w:vAlign w:val="top"/>
          </w:tcPr>
          <w:p>
            <w:pPr>
              <w:pStyle w:val="Compact"/>
              <w:jc w:val="left"/>
            </w:pPr>
            <w:r>
              <w:t xml:space="preserve">Evidence: monitoring-coverage data; baseline-completeness; early-warning-system status; Gate classes: Containment / Structural Viability; Ordinary welfare. Uncertainty: Explicitly elevated. Interpretation: Containment-relevant: poor ecological knowledge undermines the ability to detect tipping points. Often the cell most affected by the 0-vs-unknown distinction.</w:t>
            </w:r>
          </w:p>
        </w:tc>
        <w:tc>
          <w:tcPr>
            <w:shd w:val="clear" w:color="auto" w:fill="F7FBFE"/>
            <w:vAlign w:val="top"/>
          </w:tcPr>
          <w:p>
            <w:pPr>
              <w:pStyle w:val="Compact"/>
              <w:jc w:val="left"/>
            </w:pPr>
            <w:r>
              <w:t xml:space="preserve">Example: An expanded biodiversity-monitoring network that fills baseline gaps improves U7/D4.; Reviewer check: A reviewer checks that absent ecological data is marked unknown, not scored as 0 (‘no effect’).</w:t>
            </w:r>
          </w:p>
        </w:tc>
      </w:tr>
      <w:tr>
        <w:tc>
          <w:tcPr>
            <w:vAlign w:val="top"/>
          </w:tcPr>
          <w:p>
            <w:pPr>
              <w:pStyle w:val="Compact"/>
              <w:jc w:val="left"/>
            </w:pPr>
            <w:r>
              <w:rPr>
                <w:bCs/>
                <w:b/>
              </w:rPr>
              <w:t xml:space="preserve">U7/D5</w:t>
            </w:r>
            <w:r>
              <w:t xml:space="preserve"> </w:t>
            </w:r>
            <w:r>
              <w:t xml:space="preserve">- Resilience Capacity (label: resilience capacity)</w:t>
            </w:r>
          </w:p>
        </w:tc>
        <w:tc>
          <w:tcPr>
            <w:vAlign w:val="top"/>
          </w:tcPr>
          <w:p>
            <w:pPr>
              <w:pStyle w:val="Compact"/>
              <w:jc w:val="left"/>
            </w:pPr>
            <w:r>
              <w:t xml:space="preserve">Evidence: resilience / redundancy indicators; recovery-rate data; threshold-proximity assessments; Gate classes: Tail Risk; Containment / Structural Viability; Ordinary welfare. Uncertainty: Standard assessment. Interpretation: Tail-relevant where loss of resilience brings irreversible regime shifts; containment-relevant as resilience buffers all scopes.</w:t>
            </w:r>
          </w:p>
        </w:tc>
        <w:tc>
          <w:tcPr>
            <w:vAlign w:val="top"/>
          </w:tcPr>
          <w:p>
            <w:pPr>
              <w:pStyle w:val="Compact"/>
              <w:jc w:val="left"/>
            </w:pPr>
            <w:r>
              <w:t xml:space="preserve">Example: Restoring wetland buffers that absorb flood shocks improves U7/D5.; Reviewer check: A reviewer asks whether proximity to thresholds was assessed, not just current condition.</w:t>
            </w:r>
          </w:p>
        </w:tc>
      </w:tr>
      <w:tr>
        <w:tc>
          <w:tcPr>
            <w:shd w:val="clear" w:color="auto" w:fill="F7FBFE"/>
            <w:vAlign w:val="top"/>
          </w:tcPr>
          <w:p>
            <w:pPr>
              <w:pStyle w:val="Compact"/>
              <w:jc w:val="left"/>
            </w:pPr>
            <w:r>
              <w:rPr>
                <w:bCs/>
                <w:b/>
              </w:rPr>
              <w:t xml:space="preserve">U7/D6</w:t>
            </w:r>
            <w:r>
              <w:t xml:space="preserve"> </w:t>
            </w:r>
            <w:r>
              <w:t xml:space="preserve">- Life Continuity (label: life continuity)</w:t>
            </w:r>
          </w:p>
        </w:tc>
        <w:tc>
          <w:tcPr>
            <w:shd w:val="clear" w:color="auto" w:fill="F7FBFE"/>
            <w:vAlign w:val="top"/>
          </w:tcPr>
          <w:p>
            <w:pPr>
              <w:pStyle w:val="Compact"/>
              <w:jc w:val="left"/>
            </w:pPr>
            <w:r>
              <w:t xml:space="preserve">Evidence: extinction-risk (e.g. red-list) data; biodiversity-trend indices; irreversibility assessments; Gate classes: Tail Risk; Containment / Structural Viability; Ordinary welfare. Uncertainty: Standard assessment. Interpretation: Strongly tail-relevant: extinction is the paradigm of irreversible, non-averagable harm under TRC; containment-relevant.</w:t>
            </w:r>
          </w:p>
        </w:tc>
        <w:tc>
          <w:tcPr>
            <w:shd w:val="clear" w:color="auto" w:fill="F7FBFE"/>
            <w:vAlign w:val="top"/>
          </w:tcPr>
          <w:p>
            <w:pPr>
              <w:pStyle w:val="Compact"/>
              <w:jc w:val="left"/>
            </w:pPr>
            <w:r>
              <w:t xml:space="preserve">Example: A habitat-corridor program that prevents a species’ extinction improves U7/D6.; Reviewer check: A reviewer checks whether irreversibility was treated as a tail constraint, not a discountable cost.</w:t>
            </w:r>
          </w:p>
        </w:tc>
      </w:tr>
      <w:tr>
        <w:tc>
          <w:tcPr>
            <w:vAlign w:val="top"/>
          </w:tcPr>
          <w:p>
            <w:pPr>
              <w:pStyle w:val="Compact"/>
              <w:jc w:val="left"/>
            </w:pPr>
            <w:r>
              <w:rPr>
                <w:bCs/>
                <w:b/>
              </w:rPr>
              <w:t xml:space="preserve">U7/D7</w:t>
            </w:r>
            <w:r>
              <w:t xml:space="preserve"> </w:t>
            </w:r>
            <w:r>
              <w:t xml:space="preserve">- Ecological Integrity (label: ecological integrity)</w:t>
            </w:r>
          </w:p>
        </w:tc>
        <w:tc>
          <w:tcPr>
            <w:vAlign w:val="top"/>
          </w:tcPr>
          <w:p>
            <w:pPr>
              <w:pStyle w:val="Compact"/>
              <w:jc w:val="left"/>
            </w:pPr>
            <w:r>
              <w:t xml:space="preserve">Evidence: biodiversity indices; habitat-area data; water/soil quality; ecosystem-resilience measures; ecological monitoring; Gate classes: Rights Floor; Tail Risk; Containment / Structural Viability; Ordinary welfare. Uncertainty: Standard assessment. Interpretation: Often containment-relevant and sometimes catastrophe-relevant; may relate to ecological-integrity rights where recognised (e.g. rights of nature).</w:t>
            </w:r>
          </w:p>
        </w:tc>
        <w:tc>
          <w:tcPr>
            <w:vAlign w:val="top"/>
          </w:tcPr>
          <w:p>
            <w:pPr>
              <w:pStyle w:val="Compact"/>
              <w:jc w:val="left"/>
            </w:pPr>
            <w:r>
              <w:t xml:space="preserve">Example: A factory expansion that damages a watershed may fail containment even when it improves U4/D1.; Reviewer check: A reviewer checks whether integrity is evidenced by ecosystem-level data or inferred from a single metric.</w:t>
            </w:r>
          </w:p>
        </w:tc>
      </w:tr>
    </w:tbl>
    <w:bookmarkEnd w:id="655"/>
    <w:bookmarkEnd w:id="656"/>
    <w:bookmarkEnd w:id="657"/>
    <w:bookmarkStart w:id="664" w:name="Xfc197fbdfba1834f7e61b250fe1f002d6997690"/>
    <w:p>
      <w:pPr>
        <w:pStyle w:val="Heading1"/>
      </w:pPr>
      <w:bookmarkStart w:id="818" w:name="mg_toc_054"/>
      <w:r>
        <w:rPr>
          <w:bCs/>
          <w:b/>
        </w:rPr>
        <w:t xml:space="preserve">APPENDIX AE: Carried-Forward v10.8 Layer-Discipline, Falsification, and Adaptive Reserve Addendum (Preserved through v12.6)</w:t>
      </w:r>
      <w:bookmarkEnd w:id="818"/>
    </w:p>
    <w:p>
      <w:pPr>
        <w:pStyle w:val="FirstParagraph"/>
      </w:pPr>
      <w:r>
        <w:t xml:space="preserve">Truth-surface discipline. Formal truth means that outputs follow from declared inputs and equations. Artifact truth means hashes identify the released artifacts. Implementation truth means validators reproduce expected gates, scores, and flags. Evidence truth means traces support or fail to support material claims. Empirical truth requires pilots, backtests, or real-world monitoring. Normative defensibility requires declared rights floors and ethical commitments that can be challenged, justified, and held. Governance legitimacy requires lawful authority, participation, review, contestability, and audit boundaries. These claim types support one another but MUST NOT be collapsed into one undifferentiated claim of truth.</w:t>
      </w:r>
    </w:p>
    <w:bookmarkStart w:id="658" w:name="ae1-purpose-and-release-boundary"/>
    <w:p>
      <w:pPr>
        <w:pStyle w:val="Heading2"/>
      </w:pPr>
      <w:r>
        <w:rPr>
          <w:bCs/>
          <w:b/>
        </w:rPr>
        <w:t xml:space="preserve">AE.1 Purpose and release boundary</w:t>
      </w:r>
    </w:p>
    <w:p>
      <w:pPr>
        <w:pStyle w:val="FirstParagraph"/>
      </w:pPr>
      <w:r>
        <w:t xml:space="preserve">This v10.8 addendum hardens the Canon’s category-collapse discipline without importing or depending on any external physics, ontology, or proprietary framework. It translates a general lesson from recent comparative review into MathGov-native audit rules: a value that can be written, computed, projected, or preferred is not automatically admissible, evidenced, authorized, or claimable.</w:t>
      </w:r>
    </w:p>
    <w:p>
      <w:pPr>
        <w:pStyle w:val="BodyText"/>
      </w:pPr>
      <w:r>
        <w:t xml:space="preserve">Normative effect. The canonical cascade remains Reality Grounding → Rights Floor → TRC → CSV → RLS. Reality Grounding is added as the public claim-authority level, not as a compensatory scoring gate. Rights floors, TRC/CVaR, Containment, PLSS residual-only discipline, SGP boundaries, and Tier 4 ProofPack restrictions remain unchanged.</w:t>
      </w:r>
    </w:p>
    <w:bookmarkEnd w:id="658"/>
    <w:bookmarkStart w:id="659" w:name="X6e0e80b09bb4c1c5979ac997ed512c06635e54a"/>
    <w:p>
      <w:pPr>
        <w:pStyle w:val="Heading2"/>
      </w:pPr>
      <w:r>
        <w:rPr>
          <w:bCs/>
          <w:b/>
        </w:rPr>
        <w:t xml:space="preserve">AE.2 COMPUTABLE_BUT_INADMISSIBLE audit state</w:t>
      </w:r>
    </w:p>
    <w:p>
      <w:pPr>
        <w:pStyle w:val="FirstParagraph"/>
      </w:pPr>
      <w:r>
        <w:t xml:space="preserve">Definition. COMPUTABLE_BUT_INADMISSIBLE is an audit state for cases where arithmetic, a formula, a model, or a workflow returns a value, but the declared domain rules prohibit treating that value as a valid decision state, conformance claim, or authorization basis.</w:t>
      </w:r>
    </w:p>
    <w:p>
      <w:pPr>
        <w:pStyle w:val="BodyText"/>
      </w:pPr>
      <w:r>
        <w:t xml:space="preserve">Use cases include: a welfare score for an option that failed NCRC; an RLS ranking after TRC or CSV failure; a PLSS result used as if it could narrow admissibility; an SGP protection surface used beyond its evidence tier; a zero entered where the true state is unknown; or a reference vector that computes while violating declared closure boundaries.</w:t>
      </w:r>
    </w:p>
    <w:p>
      <w:pPr>
        <w:pStyle w:val="BodyText"/>
      </w:pPr>
      <w:r>
        <w:t xml:space="preserve">Decision effect. A COMPUTABLE_BUT_INADMISSIBLE result may be logged, studied, and used for debugging. It MUST NOT authorize selection, deployment, conformance claims, or stronger maturity claims. The PCC MUST record why computation existed and why admissibility did not follow.</w:t>
      </w:r>
    </w:p>
    <w:p>
      <w:pPr>
        <w:pStyle w:val="BodyText"/>
      </w:pPr>
      <w:r>
        <w:t xml:space="preserve">Alias note. SGP_COMPUTABLE_BUT_INADMISSIBLE and the ripple.md ComputableButInadmissible field are domain-scoped aliases of this state for SGP-specific and wrapper-specific records.</w:t>
      </w:r>
    </w:p>
    <w:bookmarkEnd w:id="659"/>
    <w:bookmarkStart w:id="660" w:name="ae3-layer-specific-falsification-matrix"/>
    <w:p>
      <w:pPr>
        <w:pStyle w:val="Heading2"/>
      </w:pPr>
      <w:r>
        <w:rPr>
          <w:bCs/>
          <w:b/>
        </w:rPr>
        <w:t xml:space="preserve">AE.3 Layer-specific falsification matrix</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Layer</w:t>
            </w:r>
          </w:p>
        </w:tc>
        <w:tc>
          <w:tcPr>
            <w:shd w:val="clear" w:color="auto" w:fill="D9EAF7"/>
            <w:vAlign w:val="center"/>
          </w:tcPr>
          <w:p>
            <w:pPr>
              <w:pStyle w:val="Compact"/>
              <w:jc w:val="left"/>
            </w:pPr>
            <w:r>
              <w:rPr>
                <w:bCs/>
                <w:b/>
                <w:color w:val="17365D"/>
              </w:rPr>
              <w:t xml:space="preserve">Layer-specific falsifier</w:t>
            </w:r>
          </w:p>
        </w:tc>
        <w:tc>
          <w:tcPr>
            <w:shd w:val="clear" w:color="auto" w:fill="D9EAF7"/>
            <w:vAlign w:val="center"/>
          </w:tcPr>
          <w:p>
            <w:pPr>
              <w:pStyle w:val="Compact"/>
              <w:jc w:val="left"/>
            </w:pPr>
            <w:r>
              <w:rPr>
                <w:bCs/>
                <w:b/>
                <w:color w:val="17365D"/>
              </w:rPr>
              <w:t xml:space="preserve">Does not by itself falsify</w:t>
            </w:r>
          </w:p>
        </w:tc>
        <w:tc>
          <w:tcPr>
            <w:shd w:val="clear" w:color="auto" w:fill="D9EAF7"/>
            <w:vAlign w:val="center"/>
          </w:tcPr>
          <w:p>
            <w:pPr>
              <w:pStyle w:val="Compact"/>
              <w:jc w:val="left"/>
            </w:pPr>
            <w:r>
              <w:rPr>
                <w:bCs/>
                <w:b/>
                <w:color w:val="17365D"/>
              </w:rPr>
              <w:t xml:space="preserve">Required response</w:t>
            </w:r>
          </w:p>
        </w:tc>
      </w:tr>
      <w:tr>
        <w:tc>
          <w:tcPr>
            <w:vAlign w:val="top"/>
          </w:tcPr>
          <w:p>
            <w:pPr>
              <w:pStyle w:val="Compact"/>
              <w:jc w:val="left"/>
            </w:pPr>
            <w:r>
              <w:t xml:space="preserve">NCRC</w:t>
            </w:r>
          </w:p>
        </w:tc>
        <w:tc>
          <w:tcPr>
            <w:vAlign w:val="top"/>
          </w:tcPr>
          <w:p>
            <w:pPr>
              <w:pStyle w:val="Compact"/>
              <w:jc w:val="left"/>
            </w:pPr>
            <w:r>
              <w:t xml:space="preserve">Rights-floor breach, unresolved rights uncertainty, or missing rights evidence for a rights-relevant case.</w:t>
            </w:r>
          </w:p>
        </w:tc>
        <w:tc>
          <w:tcPr>
            <w:vAlign w:val="top"/>
          </w:tcPr>
          <w:p>
            <w:pPr>
              <w:pStyle w:val="Compact"/>
              <w:jc w:val="left"/>
            </w:pPr>
            <w:r>
              <w:t xml:space="preserve">RLS arithmetic or UCI/HOI diagnostics.</w:t>
            </w:r>
          </w:p>
        </w:tc>
        <w:tc>
          <w:tcPr>
            <w:vAlign w:val="top"/>
          </w:tcPr>
          <w:p>
            <w:pPr>
              <w:pStyle w:val="Compact"/>
              <w:jc w:val="left"/>
            </w:pPr>
            <w:r>
              <w:t xml:space="preserve">Reject, refuse, or escalate under rights uncertainty.</w:t>
            </w:r>
          </w:p>
        </w:tc>
      </w:tr>
      <w:tr>
        <w:tc>
          <w:tcPr>
            <w:shd w:val="clear" w:color="auto" w:fill="F7FBFE"/>
            <w:vAlign w:val="top"/>
          </w:tcPr>
          <w:p>
            <w:pPr>
              <w:pStyle w:val="Compact"/>
              <w:jc w:val="left"/>
            </w:pPr>
            <w:r>
              <w:t xml:space="preserve">TRC</w:t>
            </w:r>
          </w:p>
        </w:tc>
        <w:tc>
          <w:tcPr>
            <w:shd w:val="clear" w:color="auto" w:fill="F7FBFE"/>
            <w:vAlign w:val="top"/>
          </w:tcPr>
          <w:p>
            <w:pPr>
              <w:pStyle w:val="Compact"/>
              <w:jc w:val="left"/>
            </w:pPr>
            <w:r>
              <w:t xml:space="preserve">Tail-risk/CVaR exceeds governed threshold or catastrophe scenario evidence is insufficient.</w:t>
            </w:r>
          </w:p>
        </w:tc>
        <w:tc>
          <w:tcPr>
            <w:shd w:val="clear" w:color="auto" w:fill="F7FBFE"/>
            <w:vAlign w:val="top"/>
          </w:tcPr>
          <w:p>
            <w:pPr>
              <w:pStyle w:val="Compact"/>
              <w:jc w:val="left"/>
            </w:pPr>
            <w:r>
              <w:t xml:space="preserve">NCRC analysis already performed.</w:t>
            </w:r>
          </w:p>
        </w:tc>
        <w:tc>
          <w:tcPr>
            <w:shd w:val="clear" w:color="auto" w:fill="F7FBFE"/>
            <w:vAlign w:val="top"/>
          </w:tcPr>
          <w:p>
            <w:pPr>
              <w:pStyle w:val="Compact"/>
              <w:jc w:val="left"/>
            </w:pPr>
            <w:r>
              <w:t xml:space="preserve">Reject or escalate; do not compensate with welfare score.</w:t>
            </w:r>
          </w:p>
        </w:tc>
      </w:tr>
      <w:tr>
        <w:tc>
          <w:tcPr>
            <w:vAlign w:val="top"/>
          </w:tcPr>
          <w:p>
            <w:pPr>
              <w:pStyle w:val="Compact"/>
              <w:jc w:val="left"/>
            </w:pPr>
            <w:r>
              <w:t xml:space="preserve">Containment</w:t>
            </w:r>
          </w:p>
        </w:tc>
        <w:tc>
          <w:tcPr>
            <w:vAlign w:val="top"/>
          </w:tcPr>
          <w:p>
            <w:pPr>
              <w:pStyle w:val="Compact"/>
              <w:jc w:val="left"/>
            </w:pPr>
            <w:r>
              <w:t xml:space="preserve">Local gain degrades containing systems beyond declared tolerance or hides cross-scale degradation.</w:t>
            </w:r>
          </w:p>
        </w:tc>
        <w:tc>
          <w:tcPr>
            <w:vAlign w:val="top"/>
          </w:tcPr>
          <w:p>
            <w:pPr>
              <w:pStyle w:val="Compact"/>
              <w:jc w:val="left"/>
            </w:pPr>
            <w:r>
              <w:t xml:space="preserve">Rights or tail-risk verdicts.</w:t>
            </w:r>
          </w:p>
        </w:tc>
        <w:tc>
          <w:tcPr>
            <w:vAlign w:val="top"/>
          </w:tcPr>
          <w:p>
            <w:pPr>
              <w:pStyle w:val="Compact"/>
              <w:jc w:val="left"/>
            </w:pPr>
            <w:r>
              <w:t xml:space="preserve">Reject as selectable; record containment rationale.</w:t>
            </w:r>
          </w:p>
        </w:tc>
      </w:tr>
      <w:tr>
        <w:tc>
          <w:tcPr>
            <w:shd w:val="clear" w:color="auto" w:fill="F7FBFE"/>
            <w:vAlign w:val="top"/>
          </w:tcPr>
          <w:p>
            <w:pPr>
              <w:pStyle w:val="Compact"/>
              <w:jc w:val="left"/>
            </w:pPr>
            <w:r>
              <w:t xml:space="preserve">RLS</w:t>
            </w:r>
          </w:p>
        </w:tc>
        <w:tc>
          <w:tcPr>
            <w:shd w:val="clear" w:color="auto" w:fill="F7FBFE"/>
            <w:vAlign w:val="top"/>
          </w:tcPr>
          <w:p>
            <w:pPr>
              <w:pStyle w:val="Compact"/>
              <w:jc w:val="left"/>
            </w:pPr>
            <w:r>
              <w:t xml:space="preserve">Wrong welfare cells, weights, evidence grade, aggregation, or sensitivity posture.</w:t>
            </w:r>
          </w:p>
        </w:tc>
        <w:tc>
          <w:tcPr>
            <w:shd w:val="clear" w:color="auto" w:fill="F7FBFE"/>
            <w:vAlign w:val="top"/>
          </w:tcPr>
          <w:p>
            <w:pPr>
              <w:pStyle w:val="Compact"/>
              <w:jc w:val="left"/>
            </w:pPr>
            <w:r>
              <w:t xml:space="preserve">Admissibility gate outcomes.</w:t>
            </w:r>
          </w:p>
        </w:tc>
        <w:tc>
          <w:tcPr>
            <w:shd w:val="clear" w:color="auto" w:fill="F7FBFE"/>
            <w:vAlign w:val="top"/>
          </w:tcPr>
          <w:p>
            <w:pPr>
              <w:pStyle w:val="Compact"/>
              <w:jc w:val="left"/>
            </w:pPr>
            <w:r>
              <w:t xml:space="preserve">Recompute or mark non-decisive; do not reopen failed gates.</w:t>
            </w:r>
          </w:p>
        </w:tc>
      </w:tr>
      <w:tr>
        <w:tc>
          <w:tcPr>
            <w:vAlign w:val="top"/>
          </w:tcPr>
          <w:p>
            <w:pPr>
              <w:pStyle w:val="Compact"/>
              <w:jc w:val="left"/>
            </w:pPr>
            <w:r>
              <w:t xml:space="preserve">UCI/HOI</w:t>
            </w:r>
          </w:p>
        </w:tc>
        <w:tc>
          <w:tcPr>
            <w:vAlign w:val="top"/>
          </w:tcPr>
          <w:p>
            <w:pPr>
              <w:pStyle w:val="Compact"/>
              <w:jc w:val="left"/>
            </w:pPr>
            <w:r>
              <w:t xml:space="preserve">Structural metric evidence, normalization, or tie-break application is defective.</w:t>
            </w:r>
          </w:p>
        </w:tc>
        <w:tc>
          <w:tcPr>
            <w:vAlign w:val="top"/>
          </w:tcPr>
          <w:p>
            <w:pPr>
              <w:pStyle w:val="Compact"/>
              <w:jc w:val="left"/>
            </w:pPr>
            <w:r>
              <w:t xml:space="preserve">NCRC/TRC/CSV/RLS by itself.</w:t>
            </w:r>
          </w:p>
        </w:tc>
        <w:tc>
          <w:tcPr>
            <w:vAlign w:val="top"/>
          </w:tcPr>
          <w:p>
            <w:pPr>
              <w:pStyle w:val="Compact"/>
              <w:jc w:val="left"/>
            </w:pPr>
            <w:r>
              <w:t xml:space="preserve">Recompute diagnostic or remove tie-break claim.</w:t>
            </w:r>
          </w:p>
        </w:tc>
      </w:tr>
      <w:tr>
        <w:tc>
          <w:tcPr>
            <w:shd w:val="clear" w:color="auto" w:fill="F7FBFE"/>
            <w:vAlign w:val="top"/>
          </w:tcPr>
          <w:p>
            <w:pPr>
              <w:pStyle w:val="Compact"/>
              <w:jc w:val="left"/>
            </w:pPr>
            <w:r>
              <w:t xml:space="preserve">PCC / audit</w:t>
            </w:r>
          </w:p>
        </w:tc>
        <w:tc>
          <w:tcPr>
            <w:shd w:val="clear" w:color="auto" w:fill="F7FBFE"/>
            <w:vAlign w:val="top"/>
          </w:tcPr>
          <w:p>
            <w:pPr>
              <w:pStyle w:val="Compact"/>
              <w:jc w:val="left"/>
            </w:pPr>
            <w:r>
              <w:t xml:space="preserve">Missing provenance, closure, evidence, reviewer trace, or claim-boundary record.</w:t>
            </w:r>
          </w:p>
        </w:tc>
        <w:tc>
          <w:tcPr>
            <w:shd w:val="clear" w:color="auto" w:fill="F7FBFE"/>
            <w:vAlign w:val="top"/>
          </w:tcPr>
          <w:p>
            <w:pPr>
              <w:pStyle w:val="Compact"/>
              <w:jc w:val="left"/>
            </w:pPr>
            <w:r>
              <w:t xml:space="preserve">The underlying ethical truth of the situation.</w:t>
            </w:r>
          </w:p>
        </w:tc>
        <w:tc>
          <w:tcPr>
            <w:shd w:val="clear" w:color="auto" w:fill="F7FBFE"/>
            <w:vAlign w:val="top"/>
          </w:tcPr>
          <w:p>
            <w:pPr>
              <w:pStyle w:val="Compact"/>
              <w:jc w:val="left"/>
            </w:pPr>
            <w:r>
              <w:t xml:space="preserve">Invalidate conformance or maturity claim until record is repaired.</w:t>
            </w:r>
          </w:p>
        </w:tc>
      </w:tr>
      <w:tr>
        <w:tc>
          <w:tcPr>
            <w:vAlign w:val="top"/>
          </w:tcPr>
          <w:p>
            <w:pPr>
              <w:pStyle w:val="Compact"/>
              <w:jc w:val="left"/>
            </w:pPr>
            <w:r>
              <w:t xml:space="preserve">SGP interface</w:t>
            </w:r>
          </w:p>
        </w:tc>
        <w:tc>
          <w:tcPr>
            <w:vAlign w:val="top"/>
          </w:tcPr>
          <w:p>
            <w:pPr>
              <w:pStyle w:val="Compact"/>
              <w:jc w:val="left"/>
            </w:pPr>
            <w:r>
              <w:t xml:space="preserve">SGP output lacks evidence tier, scoring version, reviewer status, uncertainty, or maturity boundary for its claimed use.</w:t>
            </w:r>
          </w:p>
        </w:tc>
        <w:tc>
          <w:tcPr>
            <w:vAlign w:val="top"/>
          </w:tcPr>
          <w:p>
            <w:pPr>
              <w:pStyle w:val="Compact"/>
              <w:jc w:val="left"/>
            </w:pPr>
            <w:r>
              <w:t xml:space="preserve">NCRC, TRC, CSV, lawful authority, or governance-role requirements.</w:t>
            </w:r>
          </w:p>
        </w:tc>
        <w:tc>
          <w:tcPr>
            <w:vAlign w:val="top"/>
          </w:tcPr>
          <w:p>
            <w:pPr>
              <w:pStyle w:val="Compact"/>
              <w:jc w:val="left"/>
            </w:pPr>
            <w:r>
              <w:t xml:space="preserve">Treat as governed evidence limitation; do not use as override.</w:t>
            </w:r>
          </w:p>
        </w:tc>
      </w:tr>
    </w:tbl>
    <w:bookmarkEnd w:id="660"/>
    <w:bookmarkStart w:id="661" w:name="Xbd06724372bba0eacaada45b5d5cfbb6fc75d91"/>
    <w:p>
      <w:pPr>
        <w:pStyle w:val="Heading2"/>
      </w:pPr>
      <w:r>
        <w:rPr>
          <w:bCs/>
          <w:b/>
        </w:rPr>
        <w:t xml:space="preserve">AE.4 Reference, preference, number, and claim discipline</w:t>
      </w:r>
    </w:p>
    <w:p>
      <w:pPr>
        <w:pStyle w:val="FirstParagraph"/>
      </w:pPr>
      <w:r>
        <w:t xml:space="preserve">For RippleLogic runs, a numerical value is a representation of a declared evidence process, not truth itself. Implementations SHOULD distinguish: evidence source, measurement reference, governance preference or weighting choice, numerical representation, and public claim. Collapsing these layers is a category-collapse defect.</w:t>
      </w:r>
    </w:p>
    <w:p>
      <w:pPr>
        <w:pStyle w:val="BodyText"/>
      </w:pPr>
      <w:r>
        <w:t xml:space="preserve">Reference/preference rule. A measurement reference identifies how a claim is grounded. A governance preference identifies an explicit normative or procedural choice, such as a weight, threshold, epsilon, or materiality rule. A number is the final representation after those choices. The PCC SHOULD disclose all three when the value is decision-material.</w:t>
      </w:r>
    </w:p>
    <w:bookmarkEnd w:id="661"/>
    <w:bookmarkStart w:id="662" w:name="X73a81f403e242955a28b1239779d7c7b7ea914d"/>
    <w:p>
      <w:pPr>
        <w:pStyle w:val="Heading2"/>
      </w:pPr>
      <w:r>
        <w:rPr>
          <w:bCs/>
          <w:b/>
        </w:rPr>
        <w:t xml:space="preserve">AE.5 Adaptive Reserve / Saturation Diagnostic</w:t>
      </w:r>
    </w:p>
    <w:p>
      <w:pPr>
        <w:pStyle w:val="FirstParagraph"/>
      </w:pPr>
      <w:r>
        <w:t xml:space="preserve">Adaptive Reserve is a carried-forward v10.8 structural diagnostic for detecting whether an option consumes so much social, institutional, ecological, cognitive, financial, or operational slack that the system becomes brittle even when immediate welfare scores appear positive.</w:t>
      </w:r>
    </w:p>
    <w:p>
      <w:pPr>
        <w:pStyle w:val="BodyText"/>
      </w:pPr>
      <w:r>
        <w:t xml:space="preserve">Status. Adaptive Reserve is not a sixth gate in the current v12.6 line. It is a UCI/HOI-compatible diagnostic and containment-support signal. It MAY trigger review, sensitivity analysis, or escalation. It MUST NOT rescue an option that failed NCRC, TRC, or CSV.</w:t>
      </w:r>
    </w:p>
    <w:p>
      <w:pPr>
        <w:pStyle w:val="BodyText"/>
      </w:pPr>
      <w:r>
        <w:t xml:space="preserve">Minimum fields. When used, implementations SHOULD record reserve domain, baseline reserve, projected reserve after option, recovery path, redundancy state, reversibility, monitoring trigger, and saturation risk.</w:t>
      </w:r>
    </w:p>
    <w:bookmarkEnd w:id="662"/>
    <w:bookmarkStart w:id="663" w:name="ae6-v108-release-delta"/>
    <w:p>
      <w:pPr>
        <w:pStyle w:val="Heading2"/>
      </w:pPr>
      <w:r>
        <w:rPr>
          <w:bCs/>
          <w:b/>
        </w:rPr>
        <w:t xml:space="preserve">AE.6 v10.8 release delta</w:t>
      </w:r>
    </w:p>
    <w:p>
      <w:pPr>
        <w:pStyle w:val="FirstParagraph"/>
      </w:pPr>
      <w:r>
        <w:t xml:space="preserve">Release Delta (v10.7 → v10.8). v10.8 adds explicit computable-but-inadmissible discipline, a layer-specific falsification matrix, a reference/preference/number claim boundary, and an optional Adaptive Reserve diagnostic. It does not alter the cascade, equations, rights thresholds, TRC mechanics, Containment semantics, SGP binding interface, PLSS residual-only rule, or Tier 4 claim boundary.</w:t>
      </w:r>
    </w:p>
    <w:bookmarkEnd w:id="663"/>
    <w:bookmarkEnd w:id="664"/>
    <w:bookmarkStart w:id="674" w:name="Xaa95fce01210569459b807f7a54516f7e7e8974"/>
    <w:p>
      <w:pPr>
        <w:pStyle w:val="Heading1"/>
      </w:pPr>
      <w:bookmarkStart w:id="819" w:name="mg_toc_055"/>
      <w:r>
        <w:rPr>
          <w:bCs/>
          <w:b/>
        </w:rPr>
        <w:t xml:space="preserve">APPENDIX AF: Decision Verdict Semantics, Projection Freeze, Closure Status, and Authority-Selection Separation</w:t>
      </w:r>
      <w:bookmarkEnd w:id="819"/>
    </w:p>
    <w:bookmarkStart w:id="665" w:name="af1-purpose-and-release-boundary"/>
    <w:p>
      <w:pPr>
        <w:pStyle w:val="Heading2"/>
      </w:pPr>
      <w:r>
        <w:rPr>
          <w:bCs/>
          <w:b/>
        </w:rPr>
        <w:t xml:space="preserve">AF.1 Purpose and release boundary</w:t>
      </w:r>
    </w:p>
    <w:p>
      <w:pPr>
        <w:pStyle w:val="FirstParagraph"/>
      </w:pPr>
      <w:r>
        <w:t xml:space="preserve">This v10.8 hardening appendix strengthens RippleLogic’s own decision-state discipline without importing any external ontology, physics claim, proprietary framework, or hidden implementation layer. It preserves the canonical cascade Reality Grounding → Rights Floor → TRC → CSV → RLS. It does not change any rights threshold, TRC/CVaR rule, Containment rule, PLSS rule, SGP interface, UCI/HOI definition, or Tier-4 claim boundary.</w:t>
      </w:r>
    </w:p>
    <w:p>
      <w:pPr>
        <w:pStyle w:val="BodyText"/>
      </w:pPr>
      <w:r>
        <w:t xml:space="preserve">Normative effect. Appendix AF adds output semantics, audit fields, and refusal/authority-separation rules. It clarifies what a RippleLogic run may claim when gates pass but the remaining admissible options are non-unique, evidence is insufficient, coverage is incomplete, or RLS/tie-breaks are non-decisive.</w:t>
      </w:r>
    </w:p>
    <w:bookmarkEnd w:id="665"/>
    <w:bookmarkStart w:id="666" w:name="af2-decision-verdict-states"/>
    <w:p>
      <w:pPr>
        <w:pStyle w:val="Heading2"/>
      </w:pPr>
      <w:r>
        <w:rPr>
          <w:bCs/>
          <w:b/>
        </w:rPr>
        <w:t xml:space="preserve">AF.2 Decision verdict states</w:t>
      </w:r>
    </w:p>
    <w:p>
      <w:pPr>
        <w:pStyle w:val="FirstParagraph"/>
      </w:pPr>
      <w:r>
        <w:t xml:space="preserve">FrameworkVerdict is the technical verdict emitted by the declared cascade, evidence-status checks, thresholds, scoring rules, tie-breaks, and refusal conditions. AuthoritySelection is a separate governance or operator act made after the FrameworkVerdict has been disclosed. Implementations MUST NOT present an authority selection as a deterministic framework selection.</w:t>
      </w:r>
    </w:p>
    <w:p>
      <w:pPr>
        <w:pStyle w:val="BodyText"/>
      </w:pPr>
      <w:r>
        <w:t xml:space="preserve">The allowed FrameworkVerdict values are: BLOCK, REFUSE_DETERMINISTIC_SELECTION, ALLOW_FRAMEWORK_SELECTION, and ESCALATE. AUTHORIZED_SELECTION is not a FrameworkVerdict; it is an authority record linked to the verdict when lawful or legitimate authority chooses among disclosed admissible options.</w:t>
      </w:r>
    </w:p>
    <w:p>
      <w:pPr>
        <w:pStyle w:val="BodyText"/>
      </w:pPr>
      <w:r>
        <w:rPr>
          <w:bCs/>
          <w:b/>
        </w:rPr>
        <w:t xml:space="preserve">FrameworkVerdict / run-record crosswalk (Normative).</w:t>
      </w:r>
      <w:r>
        <w:t xml:space="preserve"> </w:t>
      </w:r>
      <w:r>
        <w:rPr>
          <w:rStyle w:val="VerbatimChar"/>
        </w:rPr>
        <w:t xml:space="preserve">ALLOW_FRAMEWORK_SELECTION</w:t>
      </w:r>
      <w:r>
        <w:t xml:space="preserve"> </w:t>
      </w:r>
      <w:r>
        <w:t xml:space="preserve">serializes as</w:t>
      </w:r>
      <w:r>
        <w:t xml:space="preserve"> </w:t>
      </w:r>
      <w:r>
        <w:rPr>
          <w:rStyle w:val="VerbatimChar"/>
        </w:rPr>
        <w:t xml:space="preserve">SELECTED_DECISIVE</w:t>
      </w:r>
      <w:r>
        <w:t xml:space="preserve"> </w:t>
      </w:r>
      <w:r>
        <w:t xml:space="preserve">only when the technical selection is unique and all selection conditions hold.</w:t>
      </w:r>
      <w:r>
        <w:t xml:space="preserve"> </w:t>
      </w:r>
      <w:r>
        <w:rPr>
          <w:rStyle w:val="VerbatimChar"/>
        </w:rPr>
        <w:t xml:space="preserve">REFUSE_DETERMINISTIC_SELECTION</w:t>
      </w:r>
      <w:r>
        <w:t xml:space="preserve"> </w:t>
      </w:r>
      <w:r>
        <w:t xml:space="preserve">with a separately lawful, disclosed AuthoritySelectionRecord serializes as</w:t>
      </w:r>
      <w:r>
        <w:t xml:space="preserve"> </w:t>
      </w:r>
      <w:r>
        <w:rPr>
          <w:rStyle w:val="VerbatimChar"/>
        </w:rPr>
        <w:t xml:space="preserve">SELECTED_BY_AUTHORITY_NON_DECISIVE</w:t>
      </w:r>
      <w:r>
        <w:t xml:space="preserve">; without such a selection it serializes as</w:t>
      </w:r>
      <w:r>
        <w:t xml:space="preserve"> </w:t>
      </w:r>
      <w:r>
        <w:rPr>
          <w:rStyle w:val="VerbatimChar"/>
        </w:rPr>
        <w:t xml:space="preserve">REFUSE</w:t>
      </w:r>
      <w:r>
        <w:t xml:space="preserve"> </w:t>
      </w:r>
      <w:r>
        <w:t xml:space="preserve">or</w:t>
      </w:r>
      <w:r>
        <w:t xml:space="preserve"> </w:t>
      </w:r>
      <w:r>
        <w:rPr>
          <w:rStyle w:val="VerbatimChar"/>
        </w:rPr>
        <w:t xml:space="preserve">DELAY</w:t>
      </w:r>
      <w:r>
        <w:t xml:space="preserve"> </w:t>
      </w:r>
      <w:r>
        <w:t xml:space="preserve">according to the declared disposition. A controlled but not final execution posture serializes as</w:t>
      </w:r>
      <w:r>
        <w:t xml:space="preserve"> </w:t>
      </w:r>
      <w:r>
        <w:rPr>
          <w:rStyle w:val="VerbatimChar"/>
        </w:rPr>
        <w:t xml:space="preserve">PROVISIONAL_WITH_CONTROLS</w:t>
      </w:r>
      <w:r>
        <w:t xml:space="preserve">. An empty selectable set serializes as</w:t>
      </w:r>
      <w:r>
        <w:t xml:space="preserve"> </w:t>
      </w:r>
      <w:r>
        <w:rPr>
          <w:rStyle w:val="VerbatimChar"/>
        </w:rPr>
        <w:t xml:space="preserve">NO_SELECTABLE_OPTION</w:t>
      </w:r>
      <w:r>
        <w:t xml:space="preserve">. A governed TRC/CSV emergency-provisional posture serializes as</w:t>
      </w:r>
      <w:r>
        <w:t xml:space="preserve"> </w:t>
      </w:r>
      <w:r>
        <w:rPr>
          <w:rStyle w:val="VerbatimChar"/>
        </w:rPr>
        <w:t xml:space="preserve">EMERGENCY_PROVISIONAL</w:t>
      </w:r>
      <w:r>
        <w:t xml:space="preserve">. Redesign, evidence/authority escalation, and governed deferral serialize as</w:t>
      </w:r>
      <w:r>
        <w:t xml:space="preserve"> </w:t>
      </w:r>
      <w:r>
        <w:rPr>
          <w:rStyle w:val="VerbatimChar"/>
        </w:rPr>
        <w:t xml:space="preserve">REDESIGN</w:t>
      </w:r>
      <w:r>
        <w:t xml:space="preserve">,</w:t>
      </w:r>
      <w:r>
        <w:t xml:space="preserve"> </w:t>
      </w:r>
      <w:r>
        <w:rPr>
          <w:rStyle w:val="VerbatimChar"/>
        </w:rPr>
        <w:t xml:space="preserve">ESCALATE</w:t>
      </w:r>
      <w:r>
        <w:t xml:space="preserve">, and</w:t>
      </w:r>
      <w:r>
        <w:t xml:space="preserve"> </w:t>
      </w:r>
      <w:r>
        <w:rPr>
          <w:rStyle w:val="VerbatimChar"/>
        </w:rPr>
        <w:t xml:space="preserve">DELAY</w:t>
      </w:r>
      <w:r>
        <w:t xml:space="preserve">.</w:t>
      </w:r>
      <w:r>
        <w:t xml:space="preserve"> </w:t>
      </w:r>
      <w:r>
        <w:rPr>
          <w:rStyle w:val="VerbatimChar"/>
        </w:rPr>
        <w:t xml:space="preserve">BLOCK</w:t>
      </w:r>
      <w:r>
        <w:t xml:space="preserve"> </w:t>
      </w:r>
      <w:r>
        <w:t xml:space="preserve">is a framework verdict, not a unique run-record state: its required serialization depends on the disclosed cause—normally</w:t>
      </w:r>
      <w:r>
        <w:t xml:space="preserve"> </w:t>
      </w:r>
      <w:r>
        <w:rPr>
          <w:rStyle w:val="VerbatimChar"/>
        </w:rPr>
        <w:t xml:space="preserve">NO_SELECTABLE_OPTION</w:t>
      </w:r>
      <w:r>
        <w:t xml:space="preserve">,</w:t>
      </w:r>
      <w:r>
        <w:t xml:space="preserve"> </w:t>
      </w:r>
      <w:r>
        <w:rPr>
          <w:rStyle w:val="VerbatimChar"/>
        </w:rPr>
        <w:t xml:space="preserve">REFUSE</w:t>
      </w:r>
      <w:r>
        <w:t xml:space="preserve">,</w:t>
      </w:r>
      <w:r>
        <w:t xml:space="preserve"> </w:t>
      </w:r>
      <w:r>
        <w:rPr>
          <w:rStyle w:val="VerbatimChar"/>
        </w:rPr>
        <w:t xml:space="preserve">REDESIGN</w:t>
      </w:r>
      <w:r>
        <w:t xml:space="preserve">, or</w:t>
      </w:r>
      <w:r>
        <w:t xml:space="preserve"> </w:t>
      </w:r>
      <w:r>
        <w:rPr>
          <w:rStyle w:val="VerbatimChar"/>
        </w:rPr>
        <w:t xml:space="preserve">ESCALATE</w:t>
      </w:r>
      <w:r>
        <w:t xml:space="preserve">. Implementations MUST record the cause rather than infer one state from the word BLOCK alone.</w:t>
      </w:r>
    </w:p>
    <w:p>
      <w:pPr>
        <w:pStyle w:val="BodyText"/>
      </w:pPr>
      <w:r>
        <w:t xml:space="preserve">BLOCK means that no option may proceed under the claimed posture because a non-negotiable gate fails, no option remains admissible, or a required coverage/evidence condition invalidates the run. REFUSE_DETERMINISTIC_SELECTION means that at least one option remains admissible, but the framework refuses to claim a unique technical selection because evidence is insufficient, coverage is incomplete, the option set is non-unique, RLS is non-decisive, or the tie-break chain does not resolve the choice. ALLOW_FRAMEWORK_SELECTION means that the declared cascade and selection procedure produce one uniquely claimable option under the stated tier, evidence, and projection boundary. ESCALATE means additional evidence, higher-tier review, stakeholder challenge, expert review, or governance authorization is required.</w:t>
      </w:r>
    </w:p>
    <w:bookmarkEnd w:id="666"/>
    <w:bookmarkStart w:id="667" w:name="af3-non-decisive-admissible-sets"/>
    <w:p>
      <w:pPr>
        <w:pStyle w:val="Heading2"/>
      </w:pPr>
      <w:r>
        <w:rPr>
          <w:bCs/>
          <w:b/>
        </w:rPr>
        <w:t xml:space="preserve">AF.3 Non-decisive admissible sets</w:t>
      </w:r>
    </w:p>
    <w:p>
      <w:pPr>
        <w:pStyle w:val="FirstParagraph"/>
      </w:pPr>
      <w:r>
        <w:t xml:space="preserve">When NCRC, TRC, and required Containment checks leave multiple admissible options and RLS/tie-breaks do not yield a decisive selection under declared thresholds, RippleLogic MUST NOT claim unique deterministic framework selection. The correct technical outcome is REFUSE_DETERMINISTIC_SELECTION with an AdmissibleOptionSet and a reason code. A governance process MAY still choose among admissible options, but that choice MUST be recorded separately as an AuthoritySelectionRecord.</w:t>
      </w:r>
    </w:p>
    <w:p>
      <w:pPr>
        <w:pStyle w:val="BodyText"/>
      </w:pPr>
      <w:r>
        <w:t xml:space="preserve">Minimum fields for a non-decisive admissible set are: FrameworkVerdict, AdmissibleOptionSet, DeterministicSelectionClaim=false, NonDecisiveReason, AuthoritySelectionRecord if one exists, AuthorityBasis, ReviewerRequired, and DisclosureText.</w:t>
      </w:r>
    </w:p>
    <w:bookmarkEnd w:id="667"/>
    <w:bookmarkStart w:id="668" w:name="af4-projectionpreregistration-visibility"/>
    <w:p>
      <w:pPr>
        <w:pStyle w:val="Heading2"/>
      </w:pPr>
      <w:r>
        <w:rPr>
          <w:bCs/>
          <w:b/>
        </w:rPr>
        <w:t xml:space="preserve">AF.4 ProjectionPreRegistration visibility</w:t>
      </w:r>
    </w:p>
    <w:p>
      <w:pPr>
        <w:pStyle w:val="FirstParagraph"/>
      </w:pPr>
      <w:r>
        <w:t xml:space="preserve">For Tier 3, high-stakes Tier 2, and future ProofPack-prep claims, implementations SHOULD expose whether a ProjectionPreRegistration object exists, what it hash-pins, and whether any material post-observation modification occurred. Scenario sets, CVaR confidence, TRC thresholds, uncertainty parameters, weights, scope declarations, SGP bindings, and refusal/escalation conditions SHOULD be frozen before the run for any claim-bearing evaluation. Post-observation modification creates a new run boundary unless explicitly recorded as exploratory analysis.</w:t>
      </w:r>
    </w:p>
    <w:bookmarkEnd w:id="668"/>
    <w:bookmarkStart w:id="669" w:name="af5-closure-and-coverage-status"/>
    <w:p>
      <w:pPr>
        <w:pStyle w:val="Heading2"/>
      </w:pPr>
      <w:r>
        <w:rPr>
          <w:bCs/>
          <w:b/>
        </w:rPr>
        <w:t xml:space="preserve">AF.5 Closure and coverage status</w:t>
      </w:r>
    </w:p>
    <w:p>
      <w:pPr>
        <w:pStyle w:val="FirstParagraph"/>
      </w:pPr>
      <w:r>
        <w:t xml:space="preserve">Required evidence surfaces MUST NOT silently default missing information to zero. Each required cell, right, scenario input, stakeholder mapping, SGP object, and projection input SHOULD carry a CoverageStatus: VALUE, ESTIMATE, ASSUMPTION, BLANK_BY_DESIGN, DECLARED_UNKNOWN, NOT_APPLICABLE, or MISSING_UNDECLARED. DECLARED_UNKNOWN may trigger REFUSE or ESCALATE when the unknown affects admissibility, selection, or tier claim. MISSING_UNDECLARED is non-conformant for claim-bearing runs.</w:t>
      </w:r>
    </w:p>
    <w:bookmarkEnd w:id="669"/>
    <w:bookmarkStart w:id="670" w:name="af6-falsification-classes"/>
    <w:p>
      <w:pPr>
        <w:pStyle w:val="Heading2"/>
      </w:pPr>
      <w:r>
        <w:rPr>
          <w:bCs/>
          <w:b/>
        </w:rPr>
        <w:t xml:space="preserve">AF.6 Falsification classes</w:t>
      </w:r>
    </w:p>
    <w:p>
      <w:pPr>
        <w:pStyle w:val="FirstParagraph"/>
      </w:pPr>
      <w:r>
        <w:t xml:space="preserve">Validation and failure records SHOULD identify the failure class rather than collapsing all failed tests into a generic defect. The recommended FalsificationClass values are DATA_FAILURE, PROJECTION_FAILURE, PARAMETER_FAILURE, OPERATOR_FAILURE, PRIMITIVE_CHALLENGE, GOVERNANCE_FAILURE, and COMMUNICATION_FAILURE. A failed projection or bad parameter does not automatically falsify the Canon; it identifies the layer that must be repaired or retested.</w:t>
      </w:r>
    </w:p>
    <w:bookmarkEnd w:id="670"/>
    <w:bookmarkStart w:id="671" w:name="af7-authority-selection-record"/>
    <w:p>
      <w:pPr>
        <w:pStyle w:val="Heading2"/>
      </w:pPr>
      <w:r>
        <w:rPr>
          <w:bCs/>
          <w:b/>
        </w:rPr>
        <w:t xml:space="preserve">AF.7 Authority-selection record</w:t>
      </w:r>
    </w:p>
    <w:p>
      <w:pPr>
        <w:pStyle w:val="FirstParagraph"/>
      </w:pPr>
      <w:r>
        <w:t xml:space="preserve">AuthoritySelectionRecord documents a human, institutional, democratic, expert, emergency, or operator selection made after the framework has disclosed its technical verdict. It MUST identify selected option, authority type, authority basis, admissible option set, non-decisiveness disclosure, reviewer requirement, and whether the selection is lawful or policy-authorized within the deployment context. Authority selection does not convert REFUSE_DETERMINISTIC_SELECTION into ALLOW_FRAMEWORK_SELECTION.</w:t>
      </w:r>
    </w:p>
    <w:bookmarkEnd w:id="671"/>
    <w:bookmarkStart w:id="672" w:name="X9ffde65d104579f704f6eada9f6148ab3b73bbb"/>
    <w:p>
      <w:pPr>
        <w:pStyle w:val="Heading2"/>
      </w:pPr>
      <w:r>
        <w:rPr>
          <w:bCs/>
          <w:b/>
        </w:rPr>
        <w:t xml:space="preserve">AF.8 Reality-contact and primitive-clarity discipline</w:t>
      </w:r>
    </w:p>
    <w:p>
      <w:pPr>
        <w:pStyle w:val="FirstParagraph"/>
      </w:pPr>
      <w:r>
        <w:t xml:space="preserve">Reality-contact discipline clarifies P1 without expanding RippleLogic into a total metaphysics. A failed claim about reality does not mean reality failed; it means the evidence, projection, model, interpretation, or authority claim failed to make adequate contact with the relevant reality surface.</w:t>
      </w:r>
    </w:p>
    <w:p>
      <w:pPr>
        <w:pStyle w:val="BodyText"/>
      </w:pPr>
      <w:r>
        <w:t xml:space="preserve">Reality-contact failures SHALL be classified for Tier 2 and Tier 3 claim-bearing runs as one or more of: DATA_FAILURE, PROJECTION_FAILURE, PARAMETER_FAILURE, OPERATOR_FAILURE, GOVERNANCE_FAILURE, COMMUNICATION_FAILURE, or PRIMITIVE_CHALLENGE. A revised claim after a reality-grounding failure is a new claim; it SHALL NOT be counted as the original claim having succeeded.</w:t>
      </w:r>
    </w:p>
    <w:p>
      <w:pPr>
        <w:pStyle w:val="BodyText"/>
      </w:pPr>
      <w:r>
        <w:t xml:space="preserve">The framework itself is part of the social and institutional reality it affects. Any deployment of MathGov, RippleLogic, SGP, ripple.md, or RL_Agent that materially shapes decisions, incentives, authority, or public belief is subject to the same reality-grounding audit discipline it applies to other systems.</w:t>
      </w:r>
    </w:p>
    <w:bookmarkEnd w:id="672"/>
    <w:bookmarkStart w:id="673" w:name="af9-v108-release-delta"/>
    <w:p>
      <w:pPr>
        <w:pStyle w:val="Heading2"/>
      </w:pPr>
      <w:r>
        <w:rPr>
          <w:bCs/>
          <w:b/>
        </w:rPr>
        <w:t xml:space="preserve">AF.9 v10.8 release delta</w:t>
      </w:r>
    </w:p>
    <w:p>
      <w:pPr>
        <w:pStyle w:val="FirstParagraph"/>
      </w:pPr>
      <w:r>
        <w:t xml:space="preserve">Release Delta (v10.6 → v10.8). The v10.8 release line carries forward decision-verdict semantics, authority-selection separation, projection-freeze visibility, coverage-status closure discipline, falsification-class taxonomy, and the root reality doctrine / reality-grounding consistency patch. It is a hardening patch only. It does not add a new gate, alter the cascade, import an external ontology, or make Tier 4, ProofPack, empirical-validation, legal-certification, or deployment-readiness claims available.</w:t>
      </w:r>
    </w:p>
    <w:p>
      <w:pPr>
        <w:pStyle w:val="BodyText"/>
      </w:pPr>
      <w:r>
        <w:t xml:space="preserve">Appendices AG and AH carry the v10.8 Reality Grounding / Lean Cascade and Category Grounding patches and are part of this canonical artifact.</w:t>
      </w:r>
    </w:p>
    <w:bookmarkEnd w:id="673"/>
    <w:bookmarkEnd w:id="674"/>
    <w:bookmarkStart w:id="675" w:name="X625583dcf558908fb42d3fc47bd93f5cb1cb453"/>
    <w:p>
      <w:pPr>
        <w:pStyle w:val="Heading1"/>
      </w:pPr>
      <w:bookmarkStart w:id="820" w:name="mg_toc_056"/>
      <w:r>
        <w:rPr>
          <w:bCs/>
          <w:b/>
        </w:rPr>
        <w:t xml:space="preserve">APPENDIX AG: CARRIED-FORWARD v10.8 REALITY GROUNDING AND LEAN CASCADE PATCH (CURRENTLY PRESERVED THROUGH v12.6)</w:t>
      </w:r>
      <w:bookmarkEnd w:id="820"/>
    </w:p>
    <w:p>
      <w:pPr>
        <w:pStyle w:val="FirstParagraph"/>
      </w:pPr>
      <w:r>
        <w:t xml:space="preserve">Status. Appendix AG records the v10.8 substance update carried forward inside the v12.6 release line. Appendix AC remains controlling for release metadata and claim boundaries where conflicts appear.</w:t>
      </w:r>
    </w:p>
    <w:p>
      <w:pPr>
        <w:pStyle w:val="BodyText"/>
      </w:pPr>
      <w:r>
        <w:t xml:space="preserve">Core method. The public-facing RippleLogic method inside the MathGov framework is now: Reality Grounding -&gt; Rights Floor -&gt; TRC -&gt; CSV -&gt; RLS, or compactly RG -&gt; RF -&gt; TRC -&gt; CSV -&gt; RLS.</w:t>
      </w:r>
    </w:p>
    <w:p>
      <w:pPr>
        <w:pStyle w:val="BodyText"/>
      </w:pPr>
      <w:r>
        <w:t xml:space="preserve">Formal method. The formal implementation is: RG/RSG -&gt; RF/NCRC -&gt; TRC -&gt; CSV -&gt; RLS. RF names the public layer; NCRC names the formal rights predicate.</w:t>
      </w:r>
    </w:p>
    <w:p>
      <w:pPr>
        <w:pStyle w:val="BodyText"/>
      </w:pPr>
      <w:r>
        <w:t xml:space="preserve">Reality Grounding. Level 1 declares the reality surface, evidence trace, material unknowns, transition boundary, consequence pathways, and claim boundary. No claim may exceed its reality surface.</w:t>
      </w:r>
    </w:p>
    <w:p>
      <w:pPr>
        <w:pStyle w:val="BodyText"/>
      </w:pPr>
      <w:r>
        <w:t xml:space="preserve">UCI/HOI placement. UCI/HOI are structural diagnostic instruments, not public headline cascade stages. Gate-relevant UCI/HOI evidence belongs inside CSV. Residual UCI/HOI applies only when RLS is tied, close, uncertainty-overlapped, or non-decisive, or when monitoring/hollowing documentation is required.</w:t>
      </w:r>
    </w:p>
    <w:p>
      <w:pPr>
        <w:pStyle w:val="BodyText"/>
      </w:pPr>
      <w:r>
        <w:t xml:space="preserve">PLSS. PLSS remains the zoom lens, not the safety waiver. It adjusts residual welfare-ranking attention only after admissibility has been preserved and cannot omit containment-relevant structural diagnostics.</w:t>
      </w:r>
    </w:p>
    <w:p>
      <w:pPr>
        <w:pStyle w:val="BodyText"/>
      </w:pPr>
      <w:r>
        <w:t xml:space="preserve">Boundary. This release does not claim Tier 4, ProofPack readiness, empirical validation, legal certification, deployment certification, or deterministic selection where the run is non-decisive.</w:t>
      </w:r>
    </w:p>
    <w:bookmarkEnd w:id="675"/>
    <w:bookmarkStart w:id="684" w:name="X17f4dae39909bdcbe272c87b12f92f624f2e8d2"/>
    <w:p>
      <w:pPr>
        <w:pStyle w:val="Heading1"/>
      </w:pPr>
      <w:bookmarkStart w:id="821" w:name="mg_toc_057"/>
      <w:r>
        <w:rPr>
          <w:bCs/>
          <w:b/>
        </w:rPr>
        <w:t xml:space="preserve">APPENDIX AH: CATEGORY GROUNDING AND PRIMITIVE AUDIT PROTOCOL</w:t>
      </w:r>
      <w:bookmarkEnd w:id="821"/>
    </w:p>
    <w:bookmarkStart w:id="676" w:name="ah1-status-and-placement"/>
    <w:p>
      <w:pPr>
        <w:pStyle w:val="Heading2"/>
      </w:pPr>
      <w:r>
        <w:rPr>
          <w:bCs/>
          <w:b/>
        </w:rPr>
        <w:t xml:space="preserve">AH.1 Status and placement</w:t>
      </w:r>
    </w:p>
    <w:p>
      <w:pPr>
        <w:pStyle w:val="FirstParagraph"/>
      </w:pPr>
      <w:r>
        <w:t xml:space="preserve">Status. Appendix AH is a normative clarification for claim-bearing Tier 2 and Tier 3 runs and an informative design guide for lower-stakes runs. It is part of the Reality Grounding layer. It does not create a sixth public method level and does not weaken NCRC, TRC, CSV, RLS, PLSS boundaries, SGP boundaries, lawful authority boundaries, or Tier 4/ProofPack boundaries.</w:t>
      </w:r>
    </w:p>
    <w:p>
      <w:pPr>
        <w:pStyle w:val="BodyText"/>
      </w:pPr>
      <w:r>
        <w:t xml:space="preserve">Placement rule. Category Grounding, Primitive Audit, Reference Category Review, Definition Falsification Test, and Category-Reality Correspondence Check are one grouped subdiscipline under Reality Grounding when material. Implementers MAY use these names as subfields or review views, but MUST NOT split them into competing cascade stages or treat them as optional decorative terminology when category choice is material.</w:t>
      </w:r>
    </w:p>
    <w:bookmarkEnd w:id="676"/>
    <w:bookmarkStart w:id="677" w:name="ah2-definitions"/>
    <w:p>
      <w:pPr>
        <w:pStyle w:val="Heading2"/>
      </w:pPr>
      <w:r>
        <w:rPr>
          <w:bCs/>
          <w:b/>
        </w:rPr>
        <w:t xml:space="preserve">AH.2 Definitions</w:t>
      </w:r>
    </w:p>
    <w:p>
      <w:pPr>
        <w:pStyle w:val="FirstParagraph"/>
      </w:pPr>
      <w:r>
        <w:t xml:space="preserve">Category. A category is an operational class used by a RippleLogic run to identify, group, measure, protect, score, govern, authorize, or execute against phenomena. Examples include person, stakeholder, union scope, harm, right, sentience, agency, intelligence, safety, stability, risk, authority, protection, flourishing, containment, and alignment.</w:t>
      </w:r>
    </w:p>
    <w:p>
      <w:pPr>
        <w:pStyle w:val="BodyText"/>
      </w:pPr>
      <w:r>
        <w:t xml:space="preserve">Category Grounding. Category Grounding is the Reality Grounding subdiscipline that checks whether a material category has a declared definition, inclusion boundary, exclusion boundary, reference structure, evidence surface, maturity status, and falsification or revision trigger sufficient for the claim being made.</w:t>
      </w:r>
    </w:p>
    <w:p>
      <w:pPr>
        <w:pStyle w:val="BodyText"/>
      </w:pPr>
      <w:r>
        <w:t xml:space="preserve">Primitive Audit. Primitive Audit is the review of a framework starting point or imported foundational term, including its dependency basis, operational role, limits, plausible failure modes, and revision conditions. Primitive Audit is required when a run, release, or public claim materially depends on a primitive in a contested or high-consequence way.</w:t>
      </w:r>
    </w:p>
    <w:p>
      <w:pPr>
        <w:pStyle w:val="BodyText"/>
      </w:pPr>
      <w:r>
        <w:t xml:space="preserve">Semantic Debt. Semantic debt is the accumulated governance, measurement, operational, and ethical burden created when a decision system continues to use categories whose reality correspondence, boundary conditions, or falsification status are weak, stale, inherited, contested, or unreviewed. Semantic debt is not automatically a gate failure, but it raises review priority and may require claim narrowing, monitoring, escalation, or refusal when material.</w:t>
      </w:r>
    </w:p>
    <w:p>
      <w:pPr>
        <w:pStyle w:val="BodyText"/>
      </w:pPr>
      <w:r>
        <w:t xml:space="preserve">Term Discrimination. Term Discrimination is the Category Grounding subdiscipline that states what a material term means, what it does not mean, what discriminator separates it from nearby terms, where it sits in the dependency order, and when the term must be narrowed, escalated, monitored, treated as sensitivity-only, or refused.</w:t>
      </w:r>
    </w:p>
    <w:p>
      <w:pPr>
        <w:pStyle w:val="BodyText"/>
      </w:pPr>
      <w:r>
        <w:t xml:space="preserve">Category Discriminator. A category discriminator is the decisive property that separates a material category or term from neighboring categories it is likely to be confused with.</w:t>
      </w:r>
    </w:p>
    <w:p>
      <w:pPr>
        <w:pStyle w:val="BodyText"/>
      </w:pPr>
      <w:r>
        <w:t xml:space="preserve">Dependency Position. Dependency position is the location of the term in the decision stack, such as reality-surface, evidence-trace, category-boundary, rights-admissibility, tail-risk-admissibility, containment-selectability, residual-ranking, framework-verdict, authority-selection, execution-authority, monitoring, certification, or public-claim.</w:t>
      </w:r>
    </w:p>
    <w:bookmarkEnd w:id="677"/>
    <w:bookmarkStart w:id="678" w:name="ah3-trigger-conditions"/>
    <w:p>
      <w:pPr>
        <w:pStyle w:val="Heading2"/>
      </w:pPr>
      <w:r>
        <w:rPr>
          <w:bCs/>
          <w:b/>
        </w:rPr>
        <w:t xml:space="preserve">AH.3 Trigger conditions</w:t>
      </w:r>
    </w:p>
    <w:p>
      <w:pPr>
        <w:pStyle w:val="FirstParagraph"/>
      </w:pPr>
      <w:r>
        <w:t xml:space="preserve">A CategoryGroundingRecord is REQUIRED for claim-bearing Tier 3 runs, high-stakes Tier 2 runs, and public conformance claims when any of the following are material: (1) the category affects NCRC protection, stakeholder inclusion, or rights-floor localization; (2) the category affects TRC scenario construction, tail probabilities, severity bands, or irreversibility classification; (3) the category affects Containment, UCI, HOI, Adaptive Reserve, lock-in, hollowing, domination, institutional erosion, ecological degradation, or governance-capacity loss; (4) the category affects SGP outputs, moral-patient status, protection, standing, or governance-authority interpretation; (5) the category is a metric target under strong optimization pressure; (6) the category is novel, inherited, contested, ambiguous, or cross-domain; (7) the category supports an authority-selection, deployment, certification, validation, or public maturity claim.</w:t>
      </w:r>
    </w:p>
    <w:bookmarkEnd w:id="678"/>
    <w:bookmarkStart w:id="679" w:name="ah4-minimum-categorygroundingrecord"/>
    <w:p>
      <w:pPr>
        <w:pStyle w:val="Heading2"/>
      </w:pPr>
      <w:r>
        <w:rPr>
          <w:bCs/>
          <w:b/>
        </w:rPr>
        <w:t xml:space="preserve">AH.4 Minimum CategoryGroundingRecord</w:t>
      </w:r>
    </w:p>
    <w:p>
      <w:pPr>
        <w:pStyle w:val="FirstParagraph"/>
      </w:pPr>
      <w:r>
        <w:t xml:space="preserve">Minimum fields: material_category; category_role; primitive_basis; definition; category_discriminator; dependency_position; inclusion_boundary; exclusion_boundary; common_confusions; noncollapse_pairs; reference_structure; evidence_surface; source_authority_status; category_maturity_status; falsification_or_revision_trigger; term_refusal_condition; downstream_dependencies; semantic_debt_flag; reviewer_status; and required_claim_action.</w:t>
      </w:r>
    </w:p>
    <w:p>
      <w:pPr>
        <w:pStyle w:val="BodyText"/>
      </w:pPr>
      <w:r>
        <w:t xml:space="preserve">Allowed category_maturity_status values: GROUNDED, ESTIMATED, ASSUMPTION_BOUND, CONTESTED, LEGACY_UNREVIEWED, INSUFFICIENT_GROUNDING, and OUT_OF_SCOPE_WITH_RATIONALE.</w:t>
      </w:r>
    </w:p>
    <w:p>
      <w:pPr>
        <w:pStyle w:val="BodyText"/>
      </w:pPr>
      <w:r>
        <w:t xml:space="preserve">PrimitiveAuditRecord SHOULD include: primitive_id; primitive_statement; primitive_role; imported_parent_disciplines; operational_dependency; affected_claims; evidence_or_argument_basis; failure_mode; falsification_or_revision_trigger; reviewer_status; required_claim_action; and audit_reference. PrimitiveAuditRecord is required when a primitive or imported foundational term materially supports a rights, tail-risk, containment, SGP, authority, conformance, public-claim, or deterministic-selection claim.</w:t>
      </w:r>
    </w:p>
    <w:p>
      <w:pPr>
        <w:pStyle w:val="BodyText"/>
      </w:pPr>
      <w:r>
        <w:t xml:space="preserve">Allowed semantic_debt_flag values: NONE, LOW, MEDIUM, HIGH, and CRITICAL. HIGH or CRITICAL semantic debt requires explicit reviewer attention before stronger public, conformance, deployment, authority, or deterministic-selection claims may be made.</w:t>
      </w:r>
    </w:p>
    <w:p>
      <w:pPr>
        <w:pStyle w:val="BodyText"/>
      </w:pPr>
      <w:r>
        <w:t xml:space="preserve">Semantic debt rubric: NONE = category recently reviewed, evidence-linked, and uncontested within the claim boundary. LOW = minor ambiguity with no plausible gate or claim effect. MEDIUM = ambiguity could affect interpretation or monitoring but not current admissibility. HIGH = ambiguity could affect rights, tail risk, containment, authority, conformance, or public claim. CRITICAL = category is stale, contested, or ungrounded in a way that could invalidate the decision state or public claim.</w:t>
      </w:r>
    </w:p>
    <w:p>
      <w:pPr>
        <w:pStyle w:val="BodyText"/>
      </w:pPr>
      <w:r>
        <w:t xml:space="preserve">Allowed required_claim_action values: ALLOW, NARROW, ESCALATE, REFUSE, MONITOR_ONLY, and SENSITIVITY_ONLY.</w:t>
      </w:r>
    </w:p>
    <w:p>
      <w:pPr>
        <w:pStyle w:val="BodyText"/>
      </w:pPr>
      <w:r>
        <w:t xml:space="preserve">Allowed source_authority_status values SHOULD include: PRIMARY_EVIDENCE, GOVERNING_SPECIFICATION, DOMAIN_STANDARD, LEGAL_AUTHORITY, INSTITUTIONAL_POLICY, EXPERT_JUDGMENT, MODEL_OUTPUT, STAKEHOLDER_TESTIMONY, LEGACY_SOURCE, and UNVERIFIED_SOURCE. A source authority label records provenance; it does not by itself create admissibility, validity, legality, or execution authority.</w:t>
      </w:r>
    </w:p>
    <w:p>
      <w:pPr>
        <w:pStyle w:val="BodyText"/>
      </w:pPr>
      <w:r>
        <w:t xml:space="preserve">Allowed dependency_position values SHOULD include: REALITY_SURFACE, EVIDENCE_TRACE, CATEGORY_BOUNDARY, RIGHTS_ADMISSIBILITY, TAIL_RISK_ADMISSIBILITY, CONTAINMENT_SELECTABILITY, RESIDUAL_RANKING, FRAMEWORK_VERDICT, AUTHORITY_SELECTION, EXECUTION_AUTHORITY, MONITORING, CERTIFICATION, and PUBLIC_CLAIM.</w:t>
      </w:r>
    </w:p>
    <w:bookmarkEnd w:id="679"/>
    <w:bookmarkStart w:id="680" w:name="X87e6d87351e9279975312a5b6259ec945d5a994"/>
    <w:p>
      <w:pPr>
        <w:pStyle w:val="Heading2"/>
      </w:pPr>
      <w:r>
        <w:rPr>
          <w:bCs/>
          <w:b/>
        </w:rPr>
        <w:t xml:space="preserve">AH.4A Aggregate Semantic-Debt Ledger (Normative for material claim-bearing runs)</w:t>
      </w:r>
    </w:p>
    <w:p>
      <w:pPr>
        <w:pStyle w:val="FirstParagraph"/>
      </w:pPr>
      <w:r>
        <w:t xml:space="preserve">Per-category semantic debt may accumulate into a run-level liability even when no single category is independently fatal. Claim-bearing Tier 2 and Tier 3 runs SHOULD compute a semantic_debt_score over material categories using declared weights: NONE=0, LOW=1, MEDIUM=3, HIGH=7, CRITICAL=15.</w:t>
      </w:r>
    </w:p>
    <w:p>
      <w:pPr>
        <w:pStyle w:val="BodyText"/>
      </w:pPr>
      <w:r>
        <w:t xml:space="preserve">If any material category is CRITICAL, stronger public, conformance, authority-selection, deployment-readiness, or deterministic-selection claims MUST be refused, narrowed, or escalated unless a reviewer records a governed disposition. If semantic_debt_score &gt;= threshold_T, with threshold_T declared ex ante in the verification regime and default threshold_T = 10 for worked examples, implementations SHOULD flag SEMANTIC_DEBT_AGGREGATE_HIGH with severity ESCALATE and require reviewer disposition before stronger public or conformance claims.</w:t>
      </w:r>
    </w:p>
    <w:p>
      <w:pPr>
        <w:pStyle w:val="BodyText"/>
      </w:pPr>
      <w:r>
        <w:t xml:space="preserve">Semantic-debt aggregation is not an ontology claim. It is an auditability rule for accumulated category uncertainty inside Reality Grounding.</w:t>
      </w:r>
    </w:p>
    <w:bookmarkEnd w:id="680"/>
    <w:bookmarkStart w:id="681" w:name="ah5-category-failure-classes"/>
    <w:p>
      <w:pPr>
        <w:pStyle w:val="Heading2"/>
      </w:pPr>
      <w:r>
        <w:rPr>
          <w:bCs/>
          <w:b/>
        </w:rPr>
        <w:t xml:space="preserve">AH.5 Category failure classes</w:t>
      </w:r>
    </w:p>
    <w:p>
      <w:pPr>
        <w:pStyle w:val="FirstParagraph"/>
      </w:pPr>
      <w:r>
        <w:t xml:space="preserve">Category-relevant failures SHOULD be tagged as one or more of: CATEGORY_BOUNDARY_FAILURE, CATEGORY_REFERENCE_FAILURE, CATEGORY_SCOPE_FAILURE, CATEGORY_METRIC_MISMATCH, SEMANTIC_DRIFT_DETECTED, TERM_DISCRIMINATION_FAILURE, DEPENDENCY_POSITION_ERROR, PRIMITIVE_CHALLENGE, DATA_FAILURE, PROJECTION_FAILURE, PARAMETER_FAILURE, OPERATOR_FAILURE, GOVERNANCE_FAILURE, or EXTERNAL_CHANGED_CONDITION.</w:t>
      </w:r>
    </w:p>
    <w:p>
      <w:pPr>
        <w:pStyle w:val="BodyText"/>
      </w:pPr>
      <w:r>
        <w:t xml:space="preserve">CATEGORY_BOUNDARY_FAILURE means the inclusion or exclusion rule for a material category is wrong, missing, or too vague for the claim. CATEGORY_REFERENCE_FAILURE means the category lacks a valid reference structure. CATEGORY_SCOPE_FAILURE means the category was applied at the wrong union scope, stakeholder class, substrate, time horizon, or decision boundary. CATEGORY_METRIC_MISMATCH means the metric does not track the category it claims to measure. SEMANTIC_DRIFT_DETECTED means ordinary, institutional, legal, benchmark, or model usage has drifted from the category structure required for the run. PRIMITIVE_CHALLENGE means the framework starting point itself may require revision, narrowing, or retirement.</w:t>
      </w:r>
    </w:p>
    <w:p>
      <w:pPr>
        <w:pStyle w:val="BodyText"/>
      </w:pPr>
      <w:r>
        <w:t xml:space="preserve">Category-failure action rule. If a material category is CATEGORY_BOUNDARY_FAILURE, CATEGORY_REFERENCE_FAILURE, CATEGORY_METRIC_MISMATCH, SEMANTIC_DRIFT_DETECTED at HIGH/CRITICAL severity, LEGACY_UNREVIEWED for a claim-bearing run, or otherwise insufficiently grounded for the claimed decision state, the run SHALL NOT produce an unqualified deterministic framework selection. It MUST narrow, escalate, mark sensitivity-only or monitor-only, collect stronger evidence, or refuse the stronger claim. A computable score over a category-invalid surface is computable but inadmissible.</w:t>
      </w:r>
    </w:p>
    <w:bookmarkEnd w:id="681"/>
    <w:bookmarkStart w:id="682" w:name="Xb1857755c6a58818aa56974188bb3f3f88ba00f"/>
    <w:p>
      <w:pPr>
        <w:pStyle w:val="Heading2"/>
      </w:pPr>
      <w:r>
        <w:rPr>
          <w:bCs/>
          <w:b/>
        </w:rPr>
        <w:t xml:space="preserve">AH.6 Relationship to optimization, governance, and public claims</w:t>
      </w:r>
    </w:p>
    <w:p>
      <w:pPr>
        <w:pStyle w:val="FirstParagraph"/>
      </w:pPr>
      <w:r>
        <w:t xml:space="preserve">Optimization is admissible only after the relevant category, evidence surface, and claim boundary are adequate for the intended claim. Governance, compliance, benchmark success, institutional permission, model fluency, dashboard availability, or stakeholder preference does not by itself validate a category. If the category is materially wrong, a higher RLS score, a completed PCC, a PLSS profile, or an authority-selection record cannot repair it.</w:t>
      </w:r>
    </w:p>
    <w:bookmarkEnd w:id="682"/>
    <w:bookmarkStart w:id="683" w:name="ah7-release-boundary"/>
    <w:p>
      <w:pPr>
        <w:pStyle w:val="Heading2"/>
      </w:pPr>
      <w:r>
        <w:rPr>
          <w:bCs/>
          <w:b/>
        </w:rPr>
        <w:t xml:space="preserve">AH.7 Release boundary</w:t>
      </w:r>
    </w:p>
    <w:p>
      <w:pPr>
        <w:pStyle w:val="FirstParagraph"/>
      </w:pPr>
      <w:r>
        <w:t xml:space="preserve">This appendix does not claim empirical validation, legal certification, deployment certification, deterministic selection, or Tier 4/ProofPack readiness. It strengthens the category-discipline portion of Reality Grounding so that MathGov does not become a governance layer over unexamined definitions. This carries forward the Category Grounding discipline introduced in RippleLogic Framework v12.4 into the v12.6 line, including Sections 1 through 20 and Appendices A through AH; Appendix AI then adds the Term Discrimination and Semantic Stability Protocol as a normative subdiscipline of Category Grounding where material.</w:t>
      </w:r>
    </w:p>
    <w:p>
      <w:pPr>
        <w:pStyle w:val="BodyText"/>
      </w:pPr>
      <w:r>
        <w:t xml:space="preserve">McGaughran, J. (2026).</w:t>
      </w:r>
      <w:r>
        <w:t xml:space="preserve"> </w:t>
      </w:r>
      <w:r>
        <w:rPr>
          <w:iCs/>
          <w:i/>
        </w:rPr>
        <w:t xml:space="preserve">Sentience Gradient Protocol v8.5: A theory-plural, evidence-governed framework for moral patienthood, protection, participation, stewardship, and reality-management calibration across substrates</w:t>
      </w:r>
      <w:r>
        <w:t xml:space="preserve">. MathGov Core Release 2026.09 v12.6.</w:t>
      </w:r>
    </w:p>
    <w:bookmarkEnd w:id="683"/>
    <w:bookmarkEnd w:id="684"/>
    <w:bookmarkStart w:id="692" w:name="Xa2b48151b9fae75727a85a1273144187d124bb3"/>
    <w:p>
      <w:pPr>
        <w:pStyle w:val="Heading1"/>
      </w:pPr>
      <w:bookmarkStart w:id="822" w:name="mg_toc_058"/>
      <w:r>
        <w:rPr>
          <w:bCs/>
          <w:b/>
        </w:rPr>
        <w:t xml:space="preserve">APPENDIX AI: TERM DISCRIMINATION AND SEMANTIC STABILITY PROTOCOL</w:t>
      </w:r>
      <w:bookmarkEnd w:id="822"/>
    </w:p>
    <w:bookmarkStart w:id="685" w:name="ai1-status-and-placement"/>
    <w:p>
      <w:pPr>
        <w:pStyle w:val="Heading2"/>
      </w:pPr>
      <w:r>
        <w:rPr>
          <w:bCs/>
          <w:b/>
        </w:rPr>
        <w:t xml:space="preserve">AI.1 Status and placement</w:t>
      </w:r>
    </w:p>
    <w:p>
      <w:pPr>
        <w:pStyle w:val="FirstParagraph"/>
      </w:pPr>
      <w:r>
        <w:t xml:space="preserve">Status. Appendix AI is a normative hardening patch for claim-bearing Tier 2 and Tier 3 runs and an informative design guide for lower-stakes runs. It strengthens Category Grounding inside Reality Grounding. It does not create a sixth public method level, does not import an external ontology, does not weaken NCRC, TRC, CSV, RLS, PLSS, SGP, lawful authority, or Tier 4/ProofPack boundaries, and does not make certification, compliance, or deployment claims available by itself.</w:t>
      </w:r>
    </w:p>
    <w:p>
      <w:pPr>
        <w:pStyle w:val="BodyText"/>
      </w:pPr>
      <w:r>
        <w:t xml:space="preserve">Placement rule. Term Discrimination is a required subdiscipline of Category Grounding when a material term affects rights, tail risk, containment, SGP interpretation, authority, conformance, public claims, optimized metrics, or execution. Category Grounding asks whether a category is grounded. Term Discrimination asks whether the operative word is being kept separate from neighboring words that would change the claim, gate result, authority state, or execution status if collapsed.</w:t>
      </w:r>
    </w:p>
    <w:bookmarkEnd w:id="685"/>
    <w:bookmarkStart w:id="686" w:name="ai2-core-definitions"/>
    <w:p>
      <w:pPr>
        <w:pStyle w:val="Heading2"/>
      </w:pPr>
      <w:r>
        <w:rPr>
          <w:bCs/>
          <w:b/>
        </w:rPr>
        <w:t xml:space="preserve">AI.2 Core definitions</w:t>
      </w:r>
    </w:p>
    <w:p>
      <w:pPr>
        <w:pStyle w:val="FirstParagraph"/>
      </w:pPr>
      <w:r>
        <w:t xml:space="preserve">Term. A term is an operative word, phrase, label, token, schema field, policy label, benchmark label, dashboard label, legal label, or model-generated description used to identify, measure, protect, score, govern, authorize, certify, monitor, or execute against a phenomenon.</w:t>
      </w:r>
    </w:p>
    <w:p>
      <w:pPr>
        <w:pStyle w:val="BodyText"/>
      </w:pPr>
      <w:r>
        <w:t xml:space="preserve">Term Discrimination. Term Discrimination is the review discipline that states what a material term means, what it does not mean, what discriminator separates it from neighboring terms, where it belongs in the dependency order of the run, and when the term must be narrowed, escalated, monitored, or refused.</w:t>
      </w:r>
    </w:p>
    <w:p>
      <w:pPr>
        <w:pStyle w:val="BodyText"/>
      </w:pPr>
      <w:r>
        <w:t xml:space="preserve">Discriminator. A discriminator is the decisive property that makes one term this term rather than a neighboring term. A discriminator MUST be stated for material terms that could otherwise collapse into another term under institutional pressure, optimization pressure, model fluency, compliance theater, or public communication pressure.</w:t>
      </w:r>
    </w:p>
    <w:p>
      <w:pPr>
        <w:pStyle w:val="BodyText"/>
      </w:pPr>
      <w:r>
        <w:t xml:space="preserve">Dependency position. Dependency position identifies where a term sits in the decision stack. A downstream term MUST NOT claim the authority of an upstream term. Permission does not establish admissibility. Monitoring does not establish control. Certification does not establish validity. A score does not establish truth. Execution capability does not establish execution authority.</w:t>
      </w:r>
    </w:p>
    <w:p>
      <w:pPr>
        <w:pStyle w:val="BodyText"/>
      </w:pPr>
      <w:r>
        <w:t xml:space="preserve">Term-refusal condition. A term-refusal condition is the condition under which a run MUST NOT use a term at its stronger claim level. The required response is claim narrowing, evidence collection, escalation, sensitivity-only use, monitor-only use, or refusal.</w:t>
      </w:r>
    </w:p>
    <w:p>
      <w:pPr>
        <w:pStyle w:val="BodyText"/>
      </w:pPr>
      <w:r>
        <w:t>Non-collapse pair. A non-collapse pair is a pair of terms that MUST NOT be treated as equivalent unless a future governed annex explicitly defines an equivalence for the relevant use. Non-collapse pairs include reality/evidence, evidence/interpretation, compliance/correctness, certification/validity, permission/admissibility, monitoring/control, safety/stability, automated execution/operational autonomy, capability/authority, protection/authority, selected/executable, and score/truth. The distinction does not prohibit bounded functional use of capability terms; it prohibits using a weaker observation as proof of a stronger claim.</w:t>
      </w:r>
    </w:p>
    <w:p>
      <w:pPr>
        <w:pStyle w:val="BodyText"/>
      </w:pPr>
      <w:r>
        <w:t>Autonomy descriptor. Autonomy is not treated as a single ordered capability. A material autonomy claim is a vector describing the operational definition, observable criteria, system composition, evidence surface, validity conditions, alternative explanations, candidate generation, constraints or references, objective source and change authority, admissibility warrants, execution interface and scope, authorization, revocation, safe state, falsification trigger, evidence maturity, permitted claim, and explicit nonclaims. A bounded system-level capability may be real even when implemented through ordinary components; no component, label, or benchmark supplies the evidence or authority of the others.</w:t>
      </w:r>
    </w:p>
    <w:bookmarkEnd w:id="686"/>
    <w:bookmarkStart w:id="687" w:name="Xb6ebfad073159099d6d3e709a6093fefb3825b5"/>
    <w:p>
      <w:pPr>
        <w:pStyle w:val="Heading2"/>
      </w:pPr>
      <w:r>
        <w:rPr>
          <w:bCs/>
          <w:b/>
        </w:rPr>
        <w:t xml:space="preserve">AI.3 Extended CategoryGroundingRecord fields</w:t>
      </w:r>
    </w:p>
    <w:p>
      <w:pPr>
        <w:pStyle w:val="FirstParagraph"/>
      </w:pPr>
      <w:r>
        <w:t xml:space="preserve">When Term Discrimination is material, the CategoryGroundingRecord MUST add or map the following fields: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Field</w:t>
            </w:r>
          </w:p>
        </w:tc>
        <w:tc>
          <w:tcPr>
            <w:shd w:val="clear" w:color="auto" w:fill="D9EAF7"/>
            <w:vAlign w:val="center"/>
          </w:tcPr>
          <w:p>
            <w:pPr>
              <w:pStyle w:val="Compact"/>
              <w:jc w:val="left"/>
            </w:pPr>
            <w:r>
              <w:rPr>
                <w:bCs/>
                <w:b/>
                <w:color w:val="17365D"/>
              </w:rPr>
              <w:t xml:space="preserve">Meaning</w:t>
            </w:r>
          </w:p>
        </w:tc>
      </w:tr>
      <w:tr>
        <w:tc>
          <w:tcPr>
            <w:vAlign w:val="top"/>
          </w:tcPr>
          <w:p>
            <w:pPr>
              <w:pStyle w:val="Compact"/>
              <w:jc w:val="left"/>
            </w:pPr>
            <w:r>
              <w:t xml:space="preserve">category_discriminator</w:t>
            </w:r>
          </w:p>
        </w:tc>
        <w:tc>
          <w:tcPr>
            <w:vAlign w:val="top"/>
          </w:tcPr>
          <w:p>
            <w:pPr>
              <w:pStyle w:val="Compact"/>
              <w:jc w:val="left"/>
            </w:pPr>
            <w:r>
              <w:t xml:space="preserve">The property that separates the material category or term from nearby terms it is likely to be confused with.</w:t>
            </w:r>
          </w:p>
        </w:tc>
      </w:tr>
      <w:tr>
        <w:tc>
          <w:tcPr>
            <w:shd w:val="clear" w:color="auto" w:fill="F7FBFE"/>
            <w:vAlign w:val="top"/>
          </w:tcPr>
          <w:p>
            <w:pPr>
              <w:pStyle w:val="Compact"/>
              <w:jc w:val="left"/>
            </w:pPr>
            <w:r>
              <w:t xml:space="preserve">dependency_position</w:t>
            </w:r>
          </w:p>
        </w:tc>
        <w:tc>
          <w:tcPr>
            <w:shd w:val="clear" w:color="auto" w:fill="F7FBFE"/>
            <w:vAlign w:val="top"/>
          </w:tcPr>
          <w:p>
            <w:pPr>
              <w:pStyle w:val="Compact"/>
              <w:jc w:val="left"/>
            </w:pPr>
            <w:r>
              <w:t xml:space="preserve">The layer or authority position the term occupies: reality-surface, evidence-trace, category-boundary, rights-admissibility, tail-risk-admissibility, containment-selectability, residual-ranking, framework-verdict, authority-selection, execution-authority, monitoring, certification, or public-claim.</w:t>
            </w:r>
          </w:p>
        </w:tc>
      </w:tr>
      <w:tr>
        <w:tc>
          <w:tcPr>
            <w:vAlign w:val="top"/>
          </w:tcPr>
          <w:p>
            <w:pPr>
              <w:pStyle w:val="Compact"/>
              <w:jc w:val="left"/>
            </w:pPr>
            <w:r>
              <w:t xml:space="preserve">term_refusal_condition</w:t>
            </w:r>
          </w:p>
        </w:tc>
        <w:tc>
          <w:tcPr>
            <w:vAlign w:val="top"/>
          </w:tcPr>
          <w:p>
            <w:pPr>
              <w:pStyle w:val="Compact"/>
              <w:jc w:val="left"/>
            </w:pPr>
            <w:r>
              <w:t xml:space="preserve">The condition under which the term cannot support the stronger claim and must be narrowed, escalated, marked sensitivity-only/monitor-only, or refused.</w:t>
            </w:r>
          </w:p>
        </w:tc>
      </w:tr>
      <w:tr>
        <w:tc>
          <w:tcPr>
            <w:shd w:val="clear" w:color="auto" w:fill="F7FBFE"/>
            <w:vAlign w:val="top"/>
          </w:tcPr>
          <w:p>
            <w:pPr>
              <w:pStyle w:val="Compact"/>
              <w:jc w:val="left"/>
            </w:pPr>
            <w:r>
              <w:t xml:space="preserve">noncollapse_pairs</w:t>
            </w:r>
          </w:p>
        </w:tc>
        <w:tc>
          <w:tcPr>
            <w:shd w:val="clear" w:color="auto" w:fill="F7FBFE"/>
            <w:vAlign w:val="top"/>
          </w:tcPr>
          <w:p>
            <w:pPr>
              <w:pStyle w:val="Compact"/>
              <w:jc w:val="left"/>
            </w:pPr>
            <w:r>
              <w:t xml:space="preserve">The nearest terms this term MUST NOT be collapsed with in the run.</w:t>
            </w:r>
          </w:p>
        </w:tc>
      </w:tr>
      <w:tr>
        <w:tc>
          <w:tcPr>
            <w:vAlign w:val="top"/>
          </w:tcPr>
          <w:p>
            <w:pPr>
              <w:pStyle w:val="Compact"/>
              <w:jc w:val="left"/>
            </w:pPr>
            <w:r>
              <w:t xml:space="preserve">source_authority_status</w:t>
            </w:r>
          </w:p>
        </w:tc>
        <w:tc>
          <w:tcPr>
            <w:vAlign w:val="top"/>
          </w:tcPr>
          <w:p>
            <w:pPr>
              <w:pStyle w:val="Compact"/>
              <w:jc w:val="left"/>
            </w:pPr>
            <w:r>
              <w:t xml:space="preserve">Whether the source of the term is evidential, legal, institutional, model-generated, benchmark-derived, stakeholder-proposed, or framework-defined. This records source status without treating source status as automatic category validity.</w:t>
            </w:r>
          </w:p>
        </w:tc>
      </w:tr>
      <w:tr>
        <w:tc>
          <w:tcPr>
            <w:shd w:val="clear" w:color="auto" w:fill="F7FBFE"/>
            <w:vAlign w:val="top"/>
          </w:tcPr>
          <w:p>
            <w:pPr>
              <w:pStyle w:val="Compact"/>
              <w:jc w:val="left"/>
            </w:pPr>
            <w:r>
              <w:t xml:space="preserve">capability_authority_decomposition</w:t>
            </w:r>
          </w:p>
        </w:tc>
        <w:tc>
          <w:tcPr>
            <w:shd w:val="clear" w:color="auto" w:fill="F7FBFE"/>
            <w:vAlign w:val="top"/>
          </w:tcPr>
          <w:p>
            <w:pPr>
              <w:pStyle w:val="Compact"/>
              <w:jc w:val="left"/>
            </w:pPr>
            <w:r>
              <w:rPr>
                <w:b w:val="0"/>
              </w:rPr>
              <w:t>For material automation/autonomy/agentic/reasoning claims: operational_definition; observable_criteria; mechanism_or_system_composition; evidence_surface; validity_conditions; alternative_explanations; falsification_or_revision_trigger; evidence_maturity_stage; permitted_claim; explicit_nonclaims; candidate_generation_method; reference_source; constraint_sources; objective_source; objective_change_authority; admissibility_warrant_sources; execution_interface; execution_scope; execution_authority_source; revocation_authority; safe_state_or_shutdown_path; and requalification_trigger.</w:t>
            </w:r>
          </w:p>
        </w:tc>
      </w:tr>
    </w:tbl>
    <w:bookmarkEnd w:id="687"/>
    <w:bookmarkStart w:id="688" w:name="ai4-dependency-position-rule"/>
    <w:p>
      <w:pPr>
        <w:pStyle w:val="Heading2"/>
      </w:pPr>
      <w:r>
        <w:rPr>
          <w:bCs/>
          <w:b/>
        </w:rPr>
        <w:t xml:space="preserve">AI.4 Dependency-position rule</w:t>
      </w:r>
    </w:p>
    <w:p>
      <w:pPr>
        <w:pStyle w:val="FirstParagraph"/>
      </w:pPr>
      <w:r>
        <w:t xml:space="preserve">A material term may support only the claim strength allowed by its dependency position and evidence surface.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Term position</w:t>
            </w:r>
          </w:p>
        </w:tc>
        <w:tc>
          <w:tcPr>
            <w:shd w:val="clear" w:color="auto" w:fill="D9EAF7"/>
            <w:vAlign w:val="center"/>
          </w:tcPr>
          <w:p>
            <w:pPr>
              <w:pStyle w:val="Compact"/>
              <w:jc w:val="left"/>
            </w:pPr>
            <w:r>
              <w:rPr>
                <w:bCs/>
                <w:b/>
                <w:color w:val="17365D"/>
              </w:rPr>
              <w:t xml:space="preserve">May support</w:t>
            </w:r>
          </w:p>
        </w:tc>
        <w:tc>
          <w:tcPr>
            <w:shd w:val="clear" w:color="auto" w:fill="D9EAF7"/>
            <w:vAlign w:val="center"/>
          </w:tcPr>
          <w:p>
            <w:pPr>
              <w:pStyle w:val="Compact"/>
              <w:jc w:val="left"/>
            </w:pPr>
            <w:r>
              <w:rPr>
                <w:bCs/>
                <w:b/>
                <w:color w:val="17365D"/>
              </w:rPr>
              <w:t xml:space="preserve">Must not claim by itself</w:t>
            </w:r>
          </w:p>
        </w:tc>
      </w:tr>
      <w:tr>
        <w:tc>
          <w:tcPr>
            <w:vAlign w:val="top"/>
          </w:tcPr>
          <w:p>
            <w:pPr>
              <w:pStyle w:val="Compact"/>
              <w:jc w:val="left"/>
            </w:pPr>
            <w:r>
              <w:t xml:space="preserve">Reality surface</w:t>
            </w:r>
          </w:p>
        </w:tc>
        <w:tc>
          <w:tcPr>
            <w:vAlign w:val="top"/>
          </w:tcPr>
          <w:p>
            <w:pPr>
              <w:pStyle w:val="Compact"/>
              <w:jc w:val="left"/>
            </w:pPr>
            <w:r>
              <w:t xml:space="preserve">Contact with the modeled or evidenced part of the territory</w:t>
            </w:r>
          </w:p>
        </w:tc>
        <w:tc>
          <w:tcPr>
            <w:vAlign w:val="top"/>
          </w:tcPr>
          <w:p>
            <w:pPr>
              <w:pStyle w:val="Compact"/>
              <w:jc w:val="left"/>
            </w:pPr>
            <w:r>
              <w:t xml:space="preserve">Complete access to the territory</w:t>
            </w:r>
          </w:p>
        </w:tc>
      </w:tr>
      <w:tr>
        <w:tc>
          <w:tcPr>
            <w:shd w:val="clear" w:color="auto" w:fill="F7FBFE"/>
            <w:vAlign w:val="top"/>
          </w:tcPr>
          <w:p>
            <w:pPr>
              <w:pStyle w:val="Compact"/>
              <w:jc w:val="left"/>
            </w:pPr>
            <w:r>
              <w:t xml:space="preserve">Evidence trace</w:t>
            </w:r>
          </w:p>
        </w:tc>
        <w:tc>
          <w:tcPr>
            <w:shd w:val="clear" w:color="auto" w:fill="F7FBFE"/>
            <w:vAlign w:val="top"/>
          </w:tcPr>
          <w:p>
            <w:pPr>
              <w:pStyle w:val="Compact"/>
              <w:jc w:val="left"/>
            </w:pPr>
            <w:r>
              <w:t xml:space="preserve">Support for a claim boundary</w:t>
            </w:r>
          </w:p>
        </w:tc>
        <w:tc>
          <w:tcPr>
            <w:shd w:val="clear" w:color="auto" w:fill="F7FBFE"/>
            <w:vAlign w:val="top"/>
          </w:tcPr>
          <w:p>
            <w:pPr>
              <w:pStyle w:val="Compact"/>
              <w:jc w:val="left"/>
            </w:pPr>
            <w:r>
              <w:t xml:space="preserve">Self-interpreting truth or complete causality</w:t>
            </w:r>
          </w:p>
        </w:tc>
      </w:tr>
      <w:tr>
        <w:tc>
          <w:tcPr>
            <w:vAlign w:val="top"/>
          </w:tcPr>
          <w:p>
            <w:pPr>
              <w:pStyle w:val="Compact"/>
              <w:jc w:val="left"/>
            </w:pPr>
            <w:r>
              <w:t xml:space="preserve">Category boundary</w:t>
            </w:r>
          </w:p>
        </w:tc>
        <w:tc>
          <w:tcPr>
            <w:vAlign w:val="top"/>
          </w:tcPr>
          <w:p>
            <w:pPr>
              <w:pStyle w:val="Compact"/>
              <w:jc w:val="left"/>
            </w:pPr>
            <w:r>
              <w:t xml:space="preserve">Proper classification for declared use</w:t>
            </w:r>
          </w:p>
        </w:tc>
        <w:tc>
          <w:tcPr>
            <w:vAlign w:val="top"/>
          </w:tcPr>
          <w:p>
            <w:pPr>
              <w:pStyle w:val="Compact"/>
              <w:jc w:val="left"/>
            </w:pPr>
            <w:r>
              <w:t xml:space="preserve">Validity of downstream scoring or governance by itself</w:t>
            </w:r>
          </w:p>
        </w:tc>
      </w:tr>
      <w:tr>
        <w:tc>
          <w:tcPr>
            <w:shd w:val="clear" w:color="auto" w:fill="F7FBFE"/>
            <w:vAlign w:val="top"/>
          </w:tcPr>
          <w:p>
            <w:pPr>
              <w:pStyle w:val="Compact"/>
              <w:jc w:val="left"/>
            </w:pPr>
            <w:r>
              <w:t xml:space="preserve">Rights-admissibility</w:t>
            </w:r>
          </w:p>
        </w:tc>
        <w:tc>
          <w:tcPr>
            <w:shd w:val="clear" w:color="auto" w:fill="F7FBFE"/>
            <w:vAlign w:val="top"/>
          </w:tcPr>
          <w:p>
            <w:pPr>
              <w:pStyle w:val="Compact"/>
              <w:jc w:val="left"/>
            </w:pPr>
            <w:r>
              <w:t xml:space="preserve">NCRC pass/fail state</w:t>
            </w:r>
          </w:p>
        </w:tc>
        <w:tc>
          <w:tcPr>
            <w:shd w:val="clear" w:color="auto" w:fill="F7FBFE"/>
            <w:vAlign w:val="top"/>
          </w:tcPr>
          <w:p>
            <w:pPr>
              <w:pStyle w:val="Compact"/>
              <w:jc w:val="left"/>
            </w:pPr>
            <w:r>
              <w:t xml:space="preserve">Tail-risk pass, containment pass, selection, or execution authority</w:t>
            </w:r>
          </w:p>
        </w:tc>
      </w:tr>
      <w:tr>
        <w:tc>
          <w:tcPr>
            <w:vAlign w:val="top"/>
          </w:tcPr>
          <w:p>
            <w:pPr>
              <w:pStyle w:val="Compact"/>
              <w:jc w:val="left"/>
            </w:pPr>
            <w:r>
              <w:t xml:space="preserve">Tail-risk-admissibility</w:t>
            </w:r>
          </w:p>
        </w:tc>
        <w:tc>
          <w:tcPr>
            <w:vAlign w:val="top"/>
          </w:tcPr>
          <w:p>
            <w:pPr>
              <w:pStyle w:val="Compact"/>
              <w:jc w:val="left"/>
            </w:pPr>
            <w:r>
              <w:t xml:space="preserve">TRC pass/fail state</w:t>
            </w:r>
          </w:p>
        </w:tc>
        <w:tc>
          <w:tcPr>
            <w:vAlign w:val="top"/>
          </w:tcPr>
          <w:p>
            <w:pPr>
              <w:pStyle w:val="Compact"/>
              <w:jc w:val="left"/>
            </w:pPr>
            <w:r>
              <w:t xml:space="preserve">Rights validity, containment integrity, or welfare optimality</w:t>
            </w:r>
          </w:p>
        </w:tc>
      </w:tr>
      <w:tr>
        <w:tc>
          <w:tcPr>
            <w:shd w:val="clear" w:color="auto" w:fill="F7FBFE"/>
            <w:vAlign w:val="top"/>
          </w:tcPr>
          <w:p>
            <w:pPr>
              <w:pStyle w:val="Compact"/>
              <w:jc w:val="left"/>
            </w:pPr>
            <w:r>
              <w:t xml:space="preserve">Containment-selectability</w:t>
            </w:r>
          </w:p>
        </w:tc>
        <w:tc>
          <w:tcPr>
            <w:shd w:val="clear" w:color="auto" w:fill="F7FBFE"/>
            <w:vAlign w:val="top"/>
          </w:tcPr>
          <w:p>
            <w:pPr>
              <w:pStyle w:val="Compact"/>
              <w:jc w:val="left"/>
            </w:pPr>
            <w:r>
              <w:t xml:space="preserve">Larger-system structural acceptability</w:t>
            </w:r>
          </w:p>
        </w:tc>
        <w:tc>
          <w:tcPr>
            <w:shd w:val="clear" w:color="auto" w:fill="F7FBFE"/>
            <w:vAlign w:val="top"/>
          </w:tcPr>
          <w:p>
            <w:pPr>
              <w:pStyle w:val="Compact"/>
              <w:jc w:val="left"/>
            </w:pPr>
            <w:r>
              <w:t xml:space="preserve">Highest residual welfare or lawful execution</w:t>
            </w:r>
          </w:p>
        </w:tc>
      </w:tr>
      <w:tr>
        <w:tc>
          <w:tcPr>
            <w:vAlign w:val="top"/>
          </w:tcPr>
          <w:p>
            <w:pPr>
              <w:pStyle w:val="Compact"/>
              <w:jc w:val="left"/>
            </w:pPr>
            <w:r>
              <w:t xml:space="preserve">Residual-ranking</w:t>
            </w:r>
          </w:p>
        </w:tc>
        <w:tc>
          <w:tcPr>
            <w:vAlign w:val="top"/>
          </w:tcPr>
          <w:p>
            <w:pPr>
              <w:pStyle w:val="Compact"/>
              <w:jc w:val="left"/>
            </w:pPr>
            <w:r>
              <w:t xml:space="preserve">RLS ranking among selectable options</w:t>
            </w:r>
          </w:p>
        </w:tc>
        <w:tc>
          <w:tcPr>
            <w:vAlign w:val="top"/>
          </w:tcPr>
          <w:p>
            <w:pPr>
              <w:pStyle w:val="Compact"/>
              <w:jc w:val="left"/>
            </w:pPr>
            <w:r>
              <w:t xml:space="preserve">Rescue of any failed upstream layer</w:t>
            </w:r>
          </w:p>
        </w:tc>
      </w:tr>
      <w:tr>
        <w:tc>
          <w:tcPr>
            <w:shd w:val="clear" w:color="auto" w:fill="F7FBFE"/>
            <w:vAlign w:val="top"/>
          </w:tcPr>
          <w:p>
            <w:pPr>
              <w:pStyle w:val="Compact"/>
              <w:jc w:val="left"/>
            </w:pPr>
            <w:r>
              <w:t xml:space="preserve">Framework verdict</w:t>
            </w:r>
          </w:p>
        </w:tc>
        <w:tc>
          <w:tcPr>
            <w:shd w:val="clear" w:color="auto" w:fill="F7FBFE"/>
            <w:vAlign w:val="top"/>
          </w:tcPr>
          <w:p>
            <w:pPr>
              <w:pStyle w:val="Compact"/>
              <w:jc w:val="left"/>
            </w:pPr>
            <w:r>
              <w:t xml:space="preserve">Disclosed result of the framework run</w:t>
            </w:r>
          </w:p>
        </w:tc>
        <w:tc>
          <w:tcPr>
            <w:shd w:val="clear" w:color="auto" w:fill="F7FBFE"/>
            <w:vAlign w:val="top"/>
          </w:tcPr>
          <w:p>
            <w:pPr>
              <w:pStyle w:val="Compact"/>
              <w:jc w:val="left"/>
            </w:pPr>
            <w:r>
              <w:t xml:space="preserve">Human, legal, institutional, or execution authority</w:t>
            </w:r>
          </w:p>
        </w:tc>
      </w:tr>
      <w:tr>
        <w:tc>
          <w:tcPr>
            <w:vAlign w:val="top"/>
          </w:tcPr>
          <w:p>
            <w:pPr>
              <w:pStyle w:val="Compact"/>
              <w:jc w:val="left"/>
            </w:pPr>
            <w:r>
              <w:t xml:space="preserve">Authority selection</w:t>
            </w:r>
          </w:p>
        </w:tc>
        <w:tc>
          <w:tcPr>
            <w:vAlign w:val="top"/>
          </w:tcPr>
          <w:p>
            <w:pPr>
              <w:pStyle w:val="Compact"/>
              <w:jc w:val="left"/>
            </w:pPr>
            <w:r>
              <w:t xml:space="preserve">A human/institutional/operator choice after verdict disclosure</w:t>
            </w:r>
          </w:p>
        </w:tc>
        <w:tc>
          <w:tcPr>
            <w:vAlign w:val="top"/>
          </w:tcPr>
          <w:p>
            <w:pPr>
              <w:pStyle w:val="Compact"/>
              <w:jc w:val="left"/>
            </w:pPr>
            <w:r>
              <w:t xml:space="preserve">Conversion of non-decisiveness into deterministic framework selection</w:t>
            </w:r>
          </w:p>
        </w:tc>
      </w:tr>
      <w:tr>
        <w:tc>
          <w:tcPr>
            <w:shd w:val="clear" w:color="auto" w:fill="F7FBFE"/>
            <w:vAlign w:val="top"/>
          </w:tcPr>
          <w:p>
            <w:pPr>
              <w:pStyle w:val="Compact"/>
              <w:jc w:val="left"/>
            </w:pPr>
            <w:r>
              <w:t xml:space="preserve">Execution authority</w:t>
            </w:r>
          </w:p>
        </w:tc>
        <w:tc>
          <w:tcPr>
            <w:shd w:val="clear" w:color="auto" w:fill="F7FBFE"/>
            <w:vAlign w:val="top"/>
          </w:tcPr>
          <w:p>
            <w:pPr>
              <w:pStyle w:val="Compact"/>
              <w:jc w:val="left"/>
            </w:pPr>
            <w:r>
              <w:t xml:space="preserve">Governed authority to act through hard controls</w:t>
            </w:r>
          </w:p>
        </w:tc>
        <w:tc>
          <w:tcPr>
            <w:shd w:val="clear" w:color="auto" w:fill="F7FBFE"/>
            <w:vAlign w:val="top"/>
          </w:tcPr>
          <w:p>
            <w:pPr>
              <w:pStyle w:val="Compact"/>
              <w:jc w:val="left"/>
            </w:pPr>
            <w:r>
              <w:t xml:space="preserve">Proof that the action is safe, valid, or wise</w:t>
            </w:r>
          </w:p>
        </w:tc>
      </w:tr>
      <w:tr>
        <w:tc>
          <w:tcPr>
            <w:vAlign w:val="top"/>
          </w:tcPr>
          <w:p>
            <w:pPr>
              <w:pStyle w:val="Compact"/>
              <w:jc w:val="left"/>
            </w:pPr>
            <w:r>
              <w:t xml:space="preserve">Monitoring</w:t>
            </w:r>
          </w:p>
        </w:tc>
        <w:tc>
          <w:tcPr>
            <w:vAlign w:val="top"/>
          </w:tcPr>
          <w:p>
            <w:pPr>
              <w:pStyle w:val="Compact"/>
              <w:jc w:val="left"/>
            </w:pPr>
            <w:r>
              <w:t xml:space="preserve">Observability and feedback after or during action</w:t>
            </w:r>
          </w:p>
        </w:tc>
        <w:tc>
          <w:tcPr>
            <w:vAlign w:val="top"/>
          </w:tcPr>
          <w:p>
            <w:pPr>
              <w:pStyle w:val="Compact"/>
              <w:jc w:val="left"/>
            </w:pPr>
            <w:r>
              <w:t xml:space="preserve">Prevention, control, safety, or stability by itself</w:t>
            </w:r>
          </w:p>
        </w:tc>
      </w:tr>
      <w:tr>
        <w:tc>
          <w:tcPr>
            <w:shd w:val="clear" w:color="auto" w:fill="F7FBFE"/>
            <w:vAlign w:val="top"/>
          </w:tcPr>
          <w:p>
            <w:pPr>
              <w:pStyle w:val="Compact"/>
              <w:jc w:val="left"/>
            </w:pPr>
            <w:r>
              <w:t xml:space="preserve">Certification</w:t>
            </w:r>
          </w:p>
        </w:tc>
        <w:tc>
          <w:tcPr>
            <w:shd w:val="clear" w:color="auto" w:fill="F7FBFE"/>
            <w:vAlign w:val="top"/>
          </w:tcPr>
          <w:p>
            <w:pPr>
              <w:pStyle w:val="Compact"/>
              <w:jc w:val="left"/>
            </w:pPr>
            <w:r>
              <w:t xml:space="preserve">Evidence of conformance to a declared standard</w:t>
            </w:r>
          </w:p>
        </w:tc>
        <w:tc>
          <w:tcPr>
            <w:shd w:val="clear" w:color="auto" w:fill="F7FBFE"/>
            <w:vAlign w:val="top"/>
          </w:tcPr>
          <w:p>
            <w:pPr>
              <w:pStyle w:val="Compact"/>
              <w:jc w:val="left"/>
            </w:pPr>
            <w:r>
              <w:t xml:space="preserve">Reality validity, legal compliance, empirical truth, deployment readiness, or Tier 4 status</w:t>
            </w:r>
          </w:p>
        </w:tc>
      </w:tr>
    </w:tbl>
    <w:bookmarkEnd w:id="688"/>
    <w:bookmarkStart w:id="689" w:name="ai5-do-not-collapse-matrix"/>
    <w:p>
      <w:pPr>
        <w:pStyle w:val="Heading2"/>
      </w:pPr>
      <w:r>
        <w:rPr>
          <w:bCs/>
          <w:b/>
        </w:rPr>
        <w:t xml:space="preserve">AI.5 Do-Not-Collapse Matrix</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Do not collapse</w:t>
            </w:r>
          </w:p>
        </w:tc>
        <w:tc>
          <w:tcPr>
            <w:shd w:val="clear" w:color="auto" w:fill="D9EAF7"/>
            <w:vAlign w:val="center"/>
          </w:tcPr>
          <w:p>
            <w:pPr>
              <w:pStyle w:val="Compact"/>
              <w:jc w:val="left"/>
            </w:pPr>
            <w:r>
              <w:rPr>
                <w:bCs/>
                <w:b/>
                <w:color w:val="17365D"/>
              </w:rPr>
              <w:t xml:space="preserve">Discriminator</w:t>
            </w:r>
          </w:p>
        </w:tc>
        <w:tc>
          <w:tcPr>
            <w:shd w:val="clear" w:color="auto" w:fill="D9EAF7"/>
            <w:vAlign w:val="center"/>
          </w:tcPr>
          <w:p>
            <w:pPr>
              <w:pStyle w:val="Compact"/>
              <w:jc w:val="left"/>
            </w:pPr>
            <w:r>
              <w:rPr>
                <w:bCs/>
                <w:b/>
                <w:color w:val="17365D"/>
              </w:rPr>
              <w:t xml:space="preserve">Required MathGov response</w:t>
            </w:r>
          </w:p>
        </w:tc>
      </w:tr>
      <w:tr>
        <w:tc>
          <w:tcPr>
            <w:vAlign w:val="top"/>
          </w:tcPr>
          <w:p>
            <w:pPr>
              <w:pStyle w:val="Compact"/>
              <w:jc w:val="left"/>
            </w:pPr>
            <w:r>
              <w:t xml:space="preserve">Reality vs evidence</w:t>
            </w:r>
          </w:p>
        </w:tc>
        <w:tc>
          <w:tcPr>
            <w:vAlign w:val="top"/>
          </w:tcPr>
          <w:p>
            <w:pPr>
              <w:pStyle w:val="Compact"/>
              <w:jc w:val="left"/>
            </w:pPr>
            <w:r>
              <w:t xml:space="preserve">Reality is the evaluator-independent constraint-and-consequence field; evidence is traceable contact with a surface of it.</w:t>
            </w:r>
          </w:p>
        </w:tc>
        <w:tc>
          <w:tcPr>
            <w:vAlign w:val="top"/>
          </w:tcPr>
          <w:p>
            <w:pPr>
              <w:pStyle w:val="Compact"/>
              <w:jc w:val="left"/>
            </w:pPr>
            <w:r>
              <w:t xml:space="preserve">Keep claim boundary inside the evidence surface.</w:t>
            </w:r>
          </w:p>
        </w:tc>
      </w:tr>
      <w:tr>
        <w:tc>
          <w:tcPr>
            <w:shd w:val="clear" w:color="auto" w:fill="F7FBFE"/>
            <w:vAlign w:val="top"/>
          </w:tcPr>
          <w:p>
            <w:pPr>
              <w:pStyle w:val="Compact"/>
              <w:jc w:val="left"/>
            </w:pPr>
            <w:r>
              <w:t xml:space="preserve">Evidence vs interpretation</w:t>
            </w:r>
          </w:p>
        </w:tc>
        <w:tc>
          <w:tcPr>
            <w:shd w:val="clear" w:color="auto" w:fill="F7FBFE"/>
            <w:vAlign w:val="top"/>
          </w:tcPr>
          <w:p>
            <w:pPr>
              <w:pStyle w:val="Compact"/>
              <w:jc w:val="left"/>
            </w:pPr>
            <w:r>
              <w:t xml:space="preserve">Evidence is trace; interpretation connects trace, uncertainty, values, and action.</w:t>
            </w:r>
          </w:p>
        </w:tc>
        <w:tc>
          <w:tcPr>
            <w:shd w:val="clear" w:color="auto" w:fill="F7FBFE"/>
            <w:vAlign w:val="top"/>
          </w:tcPr>
          <w:p>
            <w:pPr>
              <w:pStyle w:val="Compact"/>
              <w:jc w:val="left"/>
            </w:pPr>
            <w:r>
              <w:t xml:space="preserve">Record reviewer status and uncertainty.</w:t>
            </w:r>
          </w:p>
        </w:tc>
      </w:tr>
      <w:tr>
        <w:tc>
          <w:tcPr>
            <w:vAlign w:val="top"/>
          </w:tcPr>
          <w:p>
            <w:pPr>
              <w:pStyle w:val="Compact"/>
              <w:jc w:val="left"/>
            </w:pPr>
            <w:r>
              <w:t xml:space="preserve">Category vs metric</w:t>
            </w:r>
          </w:p>
        </w:tc>
        <w:tc>
          <w:tcPr>
            <w:vAlign w:val="top"/>
          </w:tcPr>
          <w:p>
            <w:pPr>
              <w:pStyle w:val="Compact"/>
              <w:jc w:val="left"/>
            </w:pPr>
            <w:r>
              <w:t xml:space="preserve">Category defines what is being measured; metric quantifies a proxy or indicator.</w:t>
            </w:r>
          </w:p>
        </w:tc>
        <w:tc>
          <w:tcPr>
            <w:vAlign w:val="top"/>
          </w:tcPr>
          <w:p>
            <w:pPr>
              <w:pStyle w:val="Compact"/>
              <w:jc w:val="left"/>
            </w:pPr>
            <w:r>
              <w:t xml:space="preserve">Refuse or narrow metric claims when the category is weak.</w:t>
            </w:r>
          </w:p>
        </w:tc>
      </w:tr>
      <w:tr>
        <w:tc>
          <w:tcPr>
            <w:shd w:val="clear" w:color="auto" w:fill="F7FBFE"/>
            <w:vAlign w:val="top"/>
          </w:tcPr>
          <w:p>
            <w:pPr>
              <w:pStyle w:val="Compact"/>
              <w:jc w:val="left"/>
            </w:pPr>
            <w:r>
              <w:t xml:space="preserve">Score vs truth</w:t>
            </w:r>
          </w:p>
        </w:tc>
        <w:tc>
          <w:tcPr>
            <w:shd w:val="clear" w:color="auto" w:fill="F7FBFE"/>
            <w:vAlign w:val="top"/>
          </w:tcPr>
          <w:p>
            <w:pPr>
              <w:pStyle w:val="Compact"/>
              <w:jc w:val="left"/>
            </w:pPr>
            <w:r>
              <w:t xml:space="preserve">RLS ranks selectable options under declared inputs; it is not truth itself.</w:t>
            </w:r>
          </w:p>
        </w:tc>
        <w:tc>
          <w:tcPr>
            <w:shd w:val="clear" w:color="auto" w:fill="F7FBFE"/>
            <w:vAlign w:val="top"/>
          </w:tcPr>
          <w:p>
            <w:pPr>
              <w:pStyle w:val="Compact"/>
              <w:jc w:val="left"/>
            </w:pPr>
            <w:r>
              <w:t xml:space="preserve">Never let RLS rescue failed grounding, rights, risk, or containment.</w:t>
            </w:r>
          </w:p>
        </w:tc>
      </w:tr>
      <w:tr>
        <w:tc>
          <w:tcPr>
            <w:vAlign w:val="top"/>
          </w:tcPr>
          <w:p>
            <w:pPr>
              <w:pStyle w:val="Compact"/>
              <w:jc w:val="left"/>
            </w:pPr>
            <w:r>
              <w:t xml:space="preserve">Compliance vs correctness</w:t>
            </w:r>
          </w:p>
        </w:tc>
        <w:tc>
          <w:tcPr>
            <w:vAlign w:val="top"/>
          </w:tcPr>
          <w:p>
            <w:pPr>
              <w:pStyle w:val="Compact"/>
              <w:jc w:val="left"/>
            </w:pPr>
            <w:r>
              <w:t xml:space="preserve">Compliance means conformity to a rule or process; correctness means reality-bound adequacy for the claim.</w:t>
            </w:r>
          </w:p>
        </w:tc>
        <w:tc>
          <w:tcPr>
            <w:vAlign w:val="top"/>
          </w:tcPr>
          <w:p>
            <w:pPr>
              <w:pStyle w:val="Compact"/>
              <w:jc w:val="left"/>
            </w:pPr>
            <w:r>
              <w:t xml:space="preserve">Treat compliance as evidence, not validity.</w:t>
            </w:r>
          </w:p>
        </w:tc>
      </w:tr>
      <w:tr>
        <w:tc>
          <w:tcPr>
            <w:shd w:val="clear" w:color="auto" w:fill="F7FBFE"/>
            <w:vAlign w:val="top"/>
          </w:tcPr>
          <w:p>
            <w:pPr>
              <w:pStyle w:val="Compact"/>
              <w:jc w:val="left"/>
            </w:pPr>
            <w:r>
              <w:t xml:space="preserve">Certification vs validity</w:t>
            </w:r>
          </w:p>
        </w:tc>
        <w:tc>
          <w:tcPr>
            <w:shd w:val="clear" w:color="auto" w:fill="F7FBFE"/>
            <w:vAlign w:val="top"/>
          </w:tcPr>
          <w:p>
            <w:pPr>
              <w:pStyle w:val="Compact"/>
              <w:jc w:val="left"/>
            </w:pPr>
            <w:r>
              <w:t xml:space="preserve">Certification records an assurance result; validity depends on grounded reference, evidence, and replayable adequacy.</w:t>
            </w:r>
          </w:p>
        </w:tc>
        <w:tc>
          <w:tcPr>
            <w:shd w:val="clear" w:color="auto" w:fill="F7FBFE"/>
            <w:vAlign w:val="top"/>
          </w:tcPr>
          <w:p>
            <w:pPr>
              <w:pStyle w:val="Compact"/>
              <w:jc w:val="left"/>
            </w:pPr>
            <w:r>
              <w:t xml:space="preserve">Prevent certification theater and overclaiming.</w:t>
            </w:r>
          </w:p>
        </w:tc>
      </w:tr>
      <w:tr>
        <w:tc>
          <w:tcPr>
            <w:vAlign w:val="top"/>
          </w:tcPr>
          <w:p>
            <w:pPr>
              <w:pStyle w:val="Compact"/>
              <w:jc w:val="left"/>
            </w:pPr>
            <w:r>
              <w:t xml:space="preserve">Permission vs admissibility</w:t>
            </w:r>
          </w:p>
        </w:tc>
        <w:tc>
          <w:tcPr>
            <w:vAlign w:val="top"/>
          </w:tcPr>
          <w:p>
            <w:pPr>
              <w:pStyle w:val="Compact"/>
              <w:jc w:val="left"/>
            </w:pPr>
            <w:r>
              <w:t xml:space="preserve">Permission is authorization; admissibility is passing the relevant MathGov gates.</w:t>
            </w:r>
          </w:p>
        </w:tc>
        <w:tc>
          <w:tcPr>
            <w:vAlign w:val="top"/>
          </w:tcPr>
          <w:p>
            <w:pPr>
              <w:pStyle w:val="Compact"/>
              <w:jc w:val="left"/>
            </w:pPr>
            <w:r>
              <w:t xml:space="preserve">Do not treat approval as gate success.</w:t>
            </w:r>
          </w:p>
        </w:tc>
      </w:tr>
      <w:tr>
        <w:tc>
          <w:tcPr>
            <w:shd w:val="clear" w:color="auto" w:fill="F7FBFE"/>
            <w:vAlign w:val="top"/>
          </w:tcPr>
          <w:p>
            <w:pPr>
              <w:pStyle w:val="Compact"/>
              <w:jc w:val="left"/>
            </w:pPr>
            <w:r>
              <w:t xml:space="preserve">Monitoring vs control</w:t>
            </w:r>
          </w:p>
        </w:tc>
        <w:tc>
          <w:tcPr>
            <w:shd w:val="clear" w:color="auto" w:fill="F7FBFE"/>
            <w:vAlign w:val="top"/>
          </w:tcPr>
          <w:p>
            <w:pPr>
              <w:pStyle w:val="Compact"/>
              <w:jc w:val="left"/>
            </w:pPr>
            <w:r>
              <w:t xml:space="preserve">Monitoring observes; control prevents, constrains, or corrects.</w:t>
            </w:r>
          </w:p>
        </w:tc>
        <w:tc>
          <w:tcPr>
            <w:shd w:val="clear" w:color="auto" w:fill="F7FBFE"/>
            <w:vAlign w:val="top"/>
          </w:tcPr>
          <w:p>
            <w:pPr>
              <w:pStyle w:val="Compact"/>
              <w:jc w:val="left"/>
            </w:pPr>
            <w:r>
              <w:t xml:space="preserve">Require enforcement path, rollback, or containment evidence for control claims.</w:t>
            </w:r>
          </w:p>
        </w:tc>
      </w:tr>
      <w:tr>
        <w:tc>
          <w:tcPr>
            <w:vAlign w:val="top"/>
          </w:tcPr>
          <w:p>
            <w:pPr>
              <w:pStyle w:val="Compact"/>
              <w:jc w:val="left"/>
            </w:pPr>
            <w:r>
              <w:t xml:space="preserve">Safety vs stability</w:t>
            </w:r>
          </w:p>
        </w:tc>
        <w:tc>
          <w:tcPr>
            <w:vAlign w:val="top"/>
          </w:tcPr>
          <w:p>
            <w:pPr>
              <w:pStyle w:val="Compact"/>
              <w:jc w:val="left"/>
            </w:pPr>
            <w:r>
              <w:t xml:space="preserve">Safety means bounded non-harm under declared conditions; stability means preserved structural regime integrity.</w:t>
            </w:r>
          </w:p>
        </w:tc>
        <w:tc>
          <w:tcPr>
            <w:vAlign w:val="top"/>
          </w:tcPr>
          <w:p>
            <w:pPr>
              <w:pStyle w:val="Compact"/>
              <w:jc w:val="left"/>
            </w:pPr>
            <w:r>
              <w:t xml:space="preserve">Use TRC, Containment, and Adaptive Reserve where relevant.</w:t>
            </w:r>
          </w:p>
        </w:tc>
      </w:tr>
      <w:tr>
        <w:tc>
          <w:tcPr>
            <w:shd w:val="clear" w:color="auto" w:fill="F7FBFE"/>
            <w:vAlign w:val="top"/>
          </w:tcPr>
          <w:p>
            <w:pPr>
              <w:pStyle w:val="Compact"/>
              <w:jc w:val="left"/>
            </w:pPr>
            <w:r>
              <w:t xml:space="preserve">Stability vs justice</w:t>
            </w:r>
          </w:p>
        </w:tc>
        <w:tc>
          <w:tcPr>
            <w:shd w:val="clear" w:color="auto" w:fill="F7FBFE"/>
            <w:vAlign w:val="top"/>
          </w:tcPr>
          <w:p>
            <w:pPr>
              <w:pStyle w:val="Compact"/>
              <w:jc w:val="left"/>
            </w:pPr>
            <w:r>
              <w:t xml:space="preserve">Stability can preserve harmful arrangements; justice requires rights floors and non-domination.</w:t>
            </w:r>
          </w:p>
        </w:tc>
        <w:tc>
          <w:tcPr>
            <w:shd w:val="clear" w:color="auto" w:fill="F7FBFE"/>
            <w:vAlign w:val="top"/>
          </w:tcPr>
          <w:p>
            <w:pPr>
              <w:pStyle w:val="Compact"/>
              <w:jc w:val="left"/>
            </w:pPr>
            <w:r>
              <w:t xml:space="preserve">Do not allow stable oppression to pass rights review.</w:t>
            </w:r>
          </w:p>
        </w:tc>
      </w:tr>
      <w:tr>
        <w:tc>
          <w:tcPr>
            <w:vAlign w:val="top"/>
          </w:tcPr>
          <w:p>
            <w:pPr>
              <w:pStyle w:val="Compact"/>
              <w:jc w:val="left"/>
            </w:pPr>
            <w:r>
              <w:rPr>
                <w:b/>
              </w:rPr>
              <w:t>Automated execution vs operational autonomy</w:t>
            </w:r>
          </w:p>
        </w:tc>
        <w:tc>
          <w:tcPr>
            <w:vAlign w:val="top"/>
          </w:tcPr>
          <w:p>
            <w:pPr>
              <w:pStyle w:val="Compact"/>
              <w:jc w:val="left"/>
            </w:pPr>
            <w:r>
              <w:rPr>
                <w:b w:val="0"/>
              </w:rPr>
              <w:t>Automation alone does not establish autonomy, but coordinated memory, planning, feedback, tool use, and bounded execution may instantiate a system-level operational capability when defined and demonstrated.</w:t>
            </w:r>
          </w:p>
        </w:tc>
        <w:tc>
          <w:tcPr>
            <w:vAlign w:val="top"/>
          </w:tcPr>
          <w:p>
            <w:pPr>
              <w:pStyle w:val="Compact"/>
              <w:jc w:val="left"/>
            </w:pPr>
            <w:r>
              <w:rPr>
                <w:b w:val="0"/>
              </w:rPr>
              <w:t>Require an operational definition, observable criteria, system composition, alternatives, falsifier, evidence maturity, and the full capability-authority decomposition. Do not infer consciousness, moral agency, generality, warrant, or authority from the operational capability.</w:t>
            </w:r>
          </w:p>
        </w:tc>
      </w:tr>
      <w:tr>
        <w:tc>
          <w:tcPr>
            <w:shd w:val="clear" w:color="auto" w:fill="F7FBFE"/>
            <w:vAlign w:val="top"/>
          </w:tcPr>
          <w:p>
            <w:pPr>
              <w:pStyle w:val="Compact"/>
              <w:jc w:val="left"/>
            </w:pPr>
            <w:r>
              <w:t xml:space="preserve">Probabilistic inference vs execution warrant</w:t>
            </w:r>
          </w:p>
        </w:tc>
        <w:tc>
          <w:tcPr>
            <w:shd w:val="clear" w:color="auto" w:fill="F7FBFE"/>
            <w:vAlign w:val="top"/>
          </w:tcPr>
          <w:p>
            <w:pPr>
              <w:pStyle w:val="Compact"/>
              <w:jc w:val="left"/>
            </w:pPr>
            <w:r>
              <w:t xml:space="preserve">Probabilistic inference can generate, estimate, classify, or propose; an execution warrant supports a bounded transition through domain evidence and declared controls.</w:t>
            </w:r>
          </w:p>
        </w:tc>
        <w:tc>
          <w:tcPr>
            <w:shd w:val="clear" w:color="auto" w:fill="F7FBFE"/>
            <w:vAlign w:val="top"/>
          </w:tcPr>
          <w:p>
            <w:pPr>
              <w:pStyle w:val="Compact"/>
              <w:jc w:val="left"/>
            </w:pPr>
            <w:r>
              <w:t xml:space="preserve">Use inference as evidence only within its validated role; require PC-AEP, CSV, authority, and controls where consequence-bearing execution is material.</w:t>
            </w:r>
          </w:p>
        </w:tc>
      </w:tr>
      <w:tr>
        <w:tc>
          <w:tcPr>
            <w:vAlign w:val="top"/>
          </w:tcPr>
          <w:p>
            <w:pPr>
              <w:pStyle w:val="Compact"/>
              <w:jc w:val="left"/>
            </w:pPr>
            <w:r>
              <w:t xml:space="preserve">Protection vs authority</w:t>
            </w:r>
          </w:p>
        </w:tc>
        <w:tc>
          <w:tcPr>
            <w:vAlign w:val="top"/>
          </w:tcPr>
          <w:p>
            <w:pPr>
              <w:pStyle w:val="Compact"/>
              <w:jc w:val="left"/>
            </w:pPr>
            <w:r>
              <w:t xml:space="preserve">Protection concerns moral/welfare standing; authority concerns legitimate role, responsibility, competence, and authorization.</w:t>
            </w:r>
          </w:p>
        </w:tc>
        <w:tc>
          <w:tcPr>
            <w:vAlign w:val="top"/>
          </w:tcPr>
          <w:p>
            <w:pPr>
              <w:pStyle w:val="Compact"/>
              <w:jc w:val="left"/>
            </w:pPr>
            <w:r>
              <w:t xml:space="preserve">Preserve SGP protection/authority separation.</w:t>
            </w:r>
          </w:p>
        </w:tc>
      </w:tr>
      <w:tr>
        <w:tc>
          <w:tcPr>
            <w:shd w:val="clear" w:color="auto" w:fill="F7FBFE"/>
            <w:vAlign w:val="top"/>
          </w:tcPr>
          <w:p>
            <w:pPr>
              <w:pStyle w:val="Compact"/>
              <w:jc w:val="left"/>
            </w:pPr>
            <w:r>
              <w:t xml:space="preserve">Selected vs executable</w:t>
            </w:r>
          </w:p>
        </w:tc>
        <w:tc>
          <w:tcPr>
            <w:shd w:val="clear" w:color="auto" w:fill="F7FBFE"/>
            <w:vAlign w:val="top"/>
          </w:tcPr>
          <w:p>
            <w:pPr>
              <w:pStyle w:val="Compact"/>
              <w:jc w:val="left"/>
            </w:pPr>
            <w:r>
              <w:t xml:space="preserve">A selected option is chosen by framework or authority; executable means action may proceed through lawful/runtime controls.</w:t>
            </w:r>
          </w:p>
        </w:tc>
        <w:tc>
          <w:tcPr>
            <w:shd w:val="clear" w:color="auto" w:fill="F7FBFE"/>
            <w:vAlign w:val="top"/>
          </w:tcPr>
          <w:p>
            <w:pPr>
              <w:pStyle w:val="Compact"/>
              <w:jc w:val="left"/>
            </w:pPr>
            <w:r>
              <w:t xml:space="preserve">Require execution-stability and authority checks.</w:t>
            </w:r>
          </w:p>
        </w:tc>
      </w:tr>
      <w:tr>
        <w:tc>
          <w:tcPr>
            <w:vAlign w:val="top"/>
          </w:tcPr>
          <w:p>
            <w:pPr>
              <w:pStyle w:val="Compact"/>
              <w:jc w:val="left"/>
            </w:pPr>
            <w:r>
              <w:t xml:space="preserve">Capability vs authority</w:t>
            </w:r>
          </w:p>
        </w:tc>
        <w:tc>
          <w:tcPr>
            <w:vAlign w:val="top"/>
          </w:tcPr>
          <w:p>
            <w:pPr>
              <w:pStyle w:val="Compact"/>
              <w:jc w:val="left"/>
            </w:pPr>
            <w:r>
              <w:t xml:space="preserve">A system may be technically able to act without being permitted or admissible to act.</w:t>
            </w:r>
          </w:p>
        </w:tc>
        <w:tc>
          <w:tcPr>
            <w:vAlign w:val="top"/>
          </w:tcPr>
          <w:p>
            <w:pPr>
              <w:pStyle w:val="Compact"/>
              <w:jc w:val="left"/>
            </w:pPr>
            <w:r>
              <w:t xml:space="preserve">Block action without hard-control authorization.</w:t>
            </w:r>
          </w:p>
        </w:tc>
      </w:tr>
    </w:tbl>
    <w:bookmarkEnd w:id="689"/>
    <w:bookmarkStart w:id="690" w:name="ai6-claim-action-rule"/>
    <w:p>
      <w:pPr>
        <w:pStyle w:val="Heading2"/>
      </w:pPr>
      <w:r>
        <w:rPr>
          <w:bCs/>
          <w:b/>
        </w:rPr>
        <w:t xml:space="preserve">AI.6 Claim-action rule</w:t>
      </w:r>
    </w:p>
    <w:p>
      <w:pPr>
        <w:pStyle w:val="FirstParagraph"/>
      </w:pPr>
      <w:r>
        <w:t xml:space="preserve">If a material term lacks a discriminator, lacks a dependency position, collapses into a neighboring term, or lacks a refusal condition sufficient for the claim being made, the run MUST classify the issue as TERM_DISCRIMINATION_FAILURE or a more specific category failure class. The result MUST be NARROW, ESCALATE, REFUSE, MONITOR_ONLY, or SENSITIVITY_ONLY until the term is grounded. A completed PCC, authority-selection record, institutional permission, model output, dashboard result, or certification label MUST NOT repair a term-discrimination failure by itself.</w:t>
      </w:r>
    </w:p>
    <w:bookmarkEnd w:id="690"/>
    <w:bookmarkStart w:id="691" w:name="ai7-v120-release-delta"/>
    <w:p>
      <w:pPr>
        <w:pStyle w:val="Heading2"/>
      </w:pPr>
      <w:r>
        <w:rPr>
          <w:bCs/>
          <w:b/>
        </w:rPr>
        <w:t xml:space="preserve">AI.7 v12.0 release delta</w:t>
      </w:r>
    </w:p>
    <w:p>
      <w:pPr>
        <w:pStyle w:val="FirstParagraph"/>
      </w:pPr>
      <w:r>
        <w:t xml:space="preserve">Release Delta (v11.0 -&gt; v12.0). v12.0 carries forward the Term Discrimination and Semantic Stability Protocol and adds Structural Viability and Falsification Discipline hardening inside existing layers. The v11.0 line added Term Discrimination as a hardening patch inside Category Grounding and Reality Grounding. It adds category_discriminator, dependency_position, term_refusal_condition, noncollapse_pairs, and source_authority_status to material category records; adds the Do-Not-Collapse Matrix; strengthens certification/permission/monitoring non-authority language; and preserves the five-level method. It does not add a new public gate, import an external ontology, alter NCRC, TRC, CSV, RLS, SGP protection surface semantics, PLSS, lawful authority boundaries, Tier 4, ProofPack, empirical-validation, legal-certification, or deployment-certification boundaries.</w:t>
      </w:r>
    </w:p>
    <w:bookmarkEnd w:id="691"/>
    <w:bookmarkEnd w:id="692"/>
    <w:bookmarkStart w:id="704" w:name="X218ec5ea40ce9f7505f64d840c93dd5575e624e"/>
    <w:p>
      <w:pPr>
        <w:pStyle w:val="Heading1"/>
      </w:pPr>
      <w:bookmarkStart w:id="823" w:name="mg_toc_059"/>
      <w:r>
        <w:rPr>
          <w:bCs/>
          <w:b/>
        </w:rPr>
        <w:t xml:space="preserve">Appendix AJ: Public Release Hardening Addendum (v12.0)</w:t>
      </w:r>
      <w:bookmarkEnd w:id="823"/>
    </w:p>
    <w:p>
      <w:pPr>
        <w:pStyle w:val="FirstParagraph"/>
      </w:pPr>
      <w:r>
        <w:t xml:space="preserve">Status. This appendix is a hardening bridge for the v12.0 content line. It does not create Tier 4, ProofPack, legal certification, deployment certification, empirical validation, or automated moral truth. It clarifies implementation discipline and points to companion guidance. If a companion guide conflicts with the Canon, the Canon controls until a future versioned amendment resolves the conflict.</w:t>
      </w:r>
    </w:p>
    <w:bookmarkStart w:id="693" w:name="X646319d0bc8dff9a4daa8af5378cd986f0690bf"/>
    <w:p>
      <w:pPr>
        <w:pStyle w:val="Heading2"/>
      </w:pPr>
      <w:r>
        <w:rPr>
          <w:bCs/>
          <w:b/>
        </w:rPr>
        <w:t xml:space="preserve">AJ.1 Gate Boundary Discriminator: TRC, CSV, and RLS</w:t>
      </w:r>
    </w:p>
    <w:p>
      <w:pPr>
        <w:pStyle w:val="FirstParagraph"/>
      </w:pPr>
      <w:r>
        <w:t xml:space="preserve">TRC, CSV, and RLS SHALL NOT be collapsed.</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Layer</w:t>
            </w:r>
          </w:p>
        </w:tc>
        <w:tc>
          <w:tcPr>
            <w:shd w:val="clear" w:color="auto" w:fill="D9EAF7"/>
            <w:vAlign w:val="center"/>
          </w:tcPr>
          <w:p>
            <w:pPr>
              <w:pStyle w:val="Compact"/>
              <w:jc w:val="left"/>
            </w:pPr>
            <w:r>
              <w:rPr>
                <w:bCs/>
                <w:b/>
                <w:color w:val="17365D"/>
              </w:rPr>
              <w:t xml:space="preserve">Primary question</w:t>
            </w:r>
          </w:p>
        </w:tc>
        <w:tc>
          <w:tcPr>
            <w:shd w:val="clear" w:color="auto" w:fill="D9EAF7"/>
            <w:vAlign w:val="center"/>
          </w:tcPr>
          <w:p>
            <w:pPr>
              <w:pStyle w:val="Compact"/>
              <w:jc w:val="left"/>
            </w:pPr>
            <w:r>
              <w:rPr>
                <w:bCs/>
                <w:b/>
                <w:color w:val="17365D"/>
              </w:rPr>
              <w:t xml:space="preserve">Normal consequence</w:t>
            </w:r>
          </w:p>
        </w:tc>
      </w:tr>
      <w:tr>
        <w:tc>
          <w:tcPr>
            <w:vAlign w:val="top"/>
          </w:tcPr>
          <w:p>
            <w:pPr>
              <w:pStyle w:val="Compact"/>
              <w:jc w:val="left"/>
            </w:pPr>
            <w:r>
              <w:t xml:space="preserve">TRC</w:t>
            </w:r>
          </w:p>
        </w:tc>
        <w:tc>
          <w:tcPr>
            <w:vAlign w:val="top"/>
          </w:tcPr>
          <w:p>
            <w:pPr>
              <w:pStyle w:val="Compact"/>
              <w:jc w:val="left"/>
            </w:pPr>
            <w:r>
              <w:t xml:space="preserve">Could this option create catastrophic, irreversible, ruinous, or lock-in tail exposure?</w:t>
            </w:r>
          </w:p>
        </w:tc>
        <w:tc>
          <w:tcPr>
            <w:vAlign w:val="top"/>
          </w:tcPr>
          <w:p>
            <w:pPr>
              <w:pStyle w:val="Compact"/>
              <w:jc w:val="left"/>
            </w:pPr>
            <w:r>
              <w:t xml:space="preserve">Gate failure if tail exposure exceeds corridor.</w:t>
            </w:r>
          </w:p>
        </w:tc>
      </w:tr>
      <w:tr>
        <w:tc>
          <w:tcPr>
            <w:shd w:val="clear" w:color="auto" w:fill="F7FBFE"/>
            <w:vAlign w:val="top"/>
          </w:tcPr>
          <w:p>
            <w:pPr>
              <w:pStyle w:val="Compact"/>
              <w:jc w:val="left"/>
            </w:pPr>
            <w:r>
              <w:t xml:space="preserve">CSV</w:t>
            </w:r>
          </w:p>
        </w:tc>
        <w:tc>
          <w:tcPr>
            <w:shd w:val="clear" w:color="auto" w:fill="F7FBFE"/>
            <w:vAlign w:val="top"/>
          </w:tcPr>
          <w:p>
            <w:pPr>
              <w:pStyle w:val="Compact"/>
              <w:jc w:val="left"/>
            </w:pPr>
            <w:r>
              <w:t xml:space="preserve">Can the option deliver its claimed good without breaking, hollowing, overloading, exploiting, or depending on containing systems beyond tolerance?</w:t>
            </w:r>
          </w:p>
        </w:tc>
        <w:tc>
          <w:tcPr>
            <w:shd w:val="clear" w:color="auto" w:fill="F7FBFE"/>
            <w:vAlign w:val="top"/>
          </w:tcPr>
          <w:p>
            <w:pPr>
              <w:pStyle w:val="Compact"/>
              <w:jc w:val="left"/>
            </w:pPr>
            <w:r>
              <w:t xml:space="preserve">Fail, controls, redesign, escalation, or pass depending on structural status.</w:t>
            </w:r>
          </w:p>
        </w:tc>
      </w:tr>
      <w:tr>
        <w:tc>
          <w:tcPr>
            <w:vAlign w:val="top"/>
          </w:tcPr>
          <w:p>
            <w:pPr>
              <w:pStyle w:val="Compact"/>
              <w:jc w:val="left"/>
            </w:pPr>
            <w:r>
              <w:t xml:space="preserve">RLS</w:t>
            </w:r>
          </w:p>
        </w:tc>
        <w:tc>
          <w:tcPr>
            <w:vAlign w:val="top"/>
          </w:tcPr>
          <w:p>
            <w:pPr>
              <w:pStyle w:val="Compact"/>
              <w:jc w:val="left"/>
            </w:pPr>
            <w:r>
              <w:t xml:space="preserve">Among options that survived RG, RF/NCRC, TRC, and CSV, which has the strongest residual welfare profile?</w:t>
            </w:r>
          </w:p>
        </w:tc>
        <w:tc>
          <w:tcPr>
            <w:vAlign w:val="top"/>
          </w:tcPr>
          <w:p>
            <w:pPr>
              <w:pStyle w:val="Compact"/>
              <w:jc w:val="left"/>
            </w:pPr>
            <w:r>
              <w:t xml:space="preserve">Ranking only; no gate rescue.</w:t>
            </w:r>
          </w:p>
        </w:tc>
      </w:tr>
    </w:tbl>
    <w:p>
      <w:pPr>
        <w:pStyle w:val="BodyText"/>
      </w:pPr>
      <w:r>
        <w:t xml:space="preserve">Double-materiality rule. A harm may be both tail-relevant and structurally degrading. In that case it MUST be evaluated in TRC and CSV as appropriate, recorded in the PCC, and not double-counted as an ordinary residual RLS cost unless a distinct residual effect remains after gate treatment.</w:t>
      </w:r>
    </w:p>
    <w:p>
      <w:pPr>
        <w:pStyle w:val="BodyText"/>
      </w:pPr>
      <w:r>
        <w:t xml:space="preserve">Companion guide:</w:t>
      </w:r>
      <w:r>
        <w:t xml:space="preserve"> </w:t>
      </w:r>
      <w:r>
        <w:rPr>
          <w:rStyle w:val="VerbatimChar"/>
        </w:rPr>
        <w:t xml:space="preserve">docs/guides/GATE_BOUNDARY_DISCRIMINATOR_TRC_CSV_RLS.md</w:t>
      </w:r>
      <w:r>
        <w:t xml:space="preserve">.</w:t>
      </w:r>
    </w:p>
    <w:bookmarkEnd w:id="693"/>
    <w:bookmarkStart w:id="694" w:name="aj2-rights-threshold-governance"/>
    <w:p>
      <w:pPr>
        <w:pStyle w:val="Heading2"/>
      </w:pPr>
      <w:r>
        <w:rPr>
          <w:bCs/>
          <w:b/>
        </w:rPr>
        <w:t xml:space="preserve">AJ.2 Rights Threshold Governance</w:t>
      </w:r>
    </w:p>
    <w:p>
      <w:pPr>
        <w:pStyle w:val="FirstParagraph"/>
      </w:pPr>
      <w:r>
        <w:t xml:space="preserve">Rights thresholds are governance commitments under evidence, not preferences to be moved after selection. Tier 3 and public claim-bearing Tier 2 runs SHOULD record threshold source, rationale, under-protection risk, over-blocking risk, review status, and revision trigger. A decision owner who benefits from lowering a threshold MUST NOT unilaterally lower the Rights Floor for the run under evaluation.</w:t>
      </w:r>
    </w:p>
    <w:p>
      <w:pPr>
        <w:pStyle w:val="BodyText"/>
      </w:pPr>
      <w:r>
        <w:t xml:space="preserve">Companion note:</w:t>
      </w:r>
      <w:r>
        <w:t xml:space="preserve"> </w:t>
      </w:r>
      <w:r>
        <w:rPr>
          <w:rStyle w:val="VerbatimChar"/>
        </w:rPr>
        <w:t xml:space="preserve">docs/validation/rights/RIGHTS_THRESHOLD_GOVERNANCE_NOTE_v1_0.md</w:t>
      </w:r>
      <w:r>
        <w:t xml:space="preserve">.</w:t>
      </w:r>
    </w:p>
    <w:bookmarkEnd w:id="694"/>
    <w:bookmarkStart w:id="695" w:name="X49ab14c56a468fbf5c8e893d85ffc94433eaa9b"/>
    <w:p>
      <w:pPr>
        <w:pStyle w:val="Heading2"/>
      </w:pPr>
      <w:r>
        <w:rPr>
          <w:bCs/>
          <w:b/>
        </w:rPr>
        <w:t xml:space="preserve">AJ.3 Subgroup Discovery and Worst-Affected Groups</w:t>
      </w:r>
    </w:p>
    <w:p>
      <w:pPr>
        <w:pStyle w:val="FirstParagraph"/>
      </w:pPr>
      <w:r>
        <w:t xml:space="preserve">Worst-off subgroup semantics require active discovery of groups likely to bear hidden, indirect, intersectional, or least-contestable harms. Unknown subgroup exposure is not zero. Where direct sensitive-data collection is unsafe or unlawful, pathway analysis, proxy-risk statements, consultation, conservative bounds, and challenger review SHOULD be used.</w:t>
      </w:r>
    </w:p>
    <w:p>
      <w:pPr>
        <w:pStyle w:val="BodyText"/>
      </w:pPr>
      <w:r>
        <w:t xml:space="preserve">Companion guide:</w:t>
      </w:r>
      <w:r>
        <w:t xml:space="preserve"> </w:t>
      </w:r>
      <w:r>
        <w:rPr>
          <w:rStyle w:val="VerbatimChar"/>
        </w:rPr>
        <w:t xml:space="preserve">docs/guides/SUBGROUP_DISCOVERY_AND_WORST_AFFECTED_GROUPS.md</w:t>
      </w:r>
      <w:r>
        <w:t xml:space="preserve">.</w:t>
      </w:r>
    </w:p>
    <w:bookmarkEnd w:id="695"/>
    <w:bookmarkStart w:id="696" w:name="X0efe38aaa6d9e5b4447ec440d741120bac5956d"/>
    <w:p>
      <w:pPr>
        <w:pStyle w:val="Heading2"/>
      </w:pPr>
      <w:r>
        <w:rPr>
          <w:bCs/>
          <w:b/>
        </w:rPr>
        <w:t xml:space="preserve">AJ.4 Emergency Mode Least-Rights-Infringing Rule</w:t>
      </w:r>
    </w:p>
    <w:p>
      <w:pPr>
        <w:pStyle w:val="FirstParagraph"/>
      </w:pPr>
      <w:r>
        <w:t xml:space="preserve">Emergency Mode does not make a rights-failing option aligned. It identifies a time-bounded, least-rights-infringing provisional action when no normal option passes RF/NCRC. RLS may be used only as a final constrained tie-break after rights-violation vector comparison and TRC comparison. RLS MUST NOT reverse the emergency rights-vector ordering or convert a rights-failing option into an ordinary selectable option.</w:t>
      </w:r>
    </w:p>
    <w:p>
      <w:pPr>
        <w:pStyle w:val="BodyText"/>
      </w:pPr>
      <w:r>
        <w:t xml:space="preserve">Companion guide:</w:t>
      </w:r>
      <w:r>
        <w:t xml:space="preserve"> </w:t>
      </w:r>
      <w:r>
        <w:rPr>
          <w:rStyle w:val="VerbatimChar"/>
        </w:rPr>
        <w:t xml:space="preserve">docs/guides/EMERGENCY_MODE_LEAST_RIGHTS_INFRINGING_PROTOCOL.md</w:t>
      </w:r>
      <w:r>
        <w:t xml:space="preserve">.</w:t>
      </w:r>
    </w:p>
    <w:bookmarkEnd w:id="696"/>
    <w:bookmarkStart w:id="697" w:name="aj5-trc-scenario-discovery"/>
    <w:p>
      <w:pPr>
        <w:pStyle w:val="Heading2"/>
      </w:pPr>
      <w:r>
        <w:rPr>
          <w:bCs/>
          <w:b/>
        </w:rPr>
        <w:t xml:space="preserve">AJ.5 TRC Scenario Discovery</w:t>
      </w:r>
    </w:p>
    <w:p>
      <w:pPr>
        <w:pStyle w:val="FirstParagraph"/>
      </w:pPr>
      <w:r>
        <w:t xml:space="preserve">TRC is only as complete as the declared scenario surface. Tier 3 runs SHOULD use scenario discovery sources including domain experts, incident and near-miss data, red teams, affected stakeholders, literature, standards, and AI-assisted candidate generation. AI-generated scenarios are discovery inputs, not validity sources. Material rejected scenarios SHOULD be logged with rationale.</w:t>
      </w:r>
    </w:p>
    <w:p>
      <w:pPr>
        <w:pStyle w:val="BodyText"/>
      </w:pPr>
      <w:r>
        <w:t xml:space="preserve">Companion protocol:</w:t>
      </w:r>
      <w:r>
        <w:t xml:space="preserve"> </w:t>
      </w:r>
      <w:r>
        <w:rPr>
          <w:rStyle w:val="VerbatimChar"/>
        </w:rPr>
        <w:t xml:space="preserve">docs/validation/trc/TRC_SCENARIO_DISCOVERY_PROTOCOL_v1_0.md</w:t>
      </w:r>
      <w:r>
        <w:t xml:space="preserve">.</w:t>
      </w:r>
    </w:p>
    <w:bookmarkEnd w:id="697"/>
    <w:bookmarkStart w:id="698" w:name="aj6-csv-measurement-maturity"/>
    <w:p>
      <w:pPr>
        <w:pStyle w:val="Heading2"/>
      </w:pPr>
      <w:r>
        <w:rPr>
          <w:bCs/>
          <w:b/>
        </w:rPr>
        <w:t xml:space="preserve">AJ.6 CSV Measurement Maturity</w:t>
      </w:r>
    </w:p>
    <w:p>
      <w:pPr>
        <w:pStyle w:val="FirstParagraph"/>
      </w:pPr>
      <w:r>
        <w:t xml:space="preserve">CSV claims SHOULD declare maturity when used in public or high-stakes contexts: qualitative, indicator-supported, calibrated, or validated. UCI/HOI-style diagnostics are structural signals and MUST NOT be presented as empirically validated in a domain unless domain validation exists.</w:t>
      </w:r>
    </w:p>
    <w:p>
      <w:pPr>
        <w:pStyle w:val="BodyText"/>
      </w:pPr>
      <w:r>
        <w:t xml:space="preserve">Companion note:</w:t>
      </w:r>
      <w:r>
        <w:t xml:space="preserve"> </w:t>
      </w:r>
      <w:r>
        <w:rPr>
          <w:rStyle w:val="VerbatimChar"/>
        </w:rPr>
        <w:t xml:space="preserve">docs/validation/csv/CSV_MEASUREMENT_MATURITY_NOTE_v1_0.md</w:t>
      </w:r>
      <w:r>
        <w:t xml:space="preserve">.</w:t>
      </w:r>
    </w:p>
    <w:bookmarkEnd w:id="698"/>
    <w:bookmarkStart w:id="699" w:name="aj7-pcc-profiles"/>
    <w:p>
      <w:pPr>
        <w:pStyle w:val="Heading2"/>
      </w:pPr>
      <w:r>
        <w:rPr>
          <w:bCs/>
          <w:b/>
        </w:rPr>
        <w:t xml:space="preserve">AJ.7 PCC Profiles</w:t>
      </w:r>
    </w:p>
    <w:p>
      <w:pPr>
        <w:pStyle w:val="FirstParagraph"/>
      </w:pPr>
      <w:r>
        <w:t xml:space="preserve">PCC burden SHOULD be proportional to stakes without allowing consequential decisions to evade audit. The recognized profiles are PCC-Lite, PCC-Core, PCC-Audit, PCC-Agent, and PCC-Public. A lower profile is not allowed when rights exposure, catastrophe relevance, CSV burden, automation, public claims, affected-party burden, or accumulated systemic effect require a higher profile.</w:t>
      </w:r>
    </w:p>
    <w:p>
      <w:pPr>
        <w:pStyle w:val="BodyText"/>
      </w:pPr>
      <w:r>
        <w:t xml:space="preserve">Companion guide:</w:t>
      </w:r>
      <w:r>
        <w:t xml:space="preserve"> </w:t>
      </w:r>
      <w:r>
        <w:rPr>
          <w:rStyle w:val="VerbatimChar"/>
        </w:rPr>
        <w:t xml:space="preserve">docs/guides/PCC_PROFILE_GUIDE.md</w:t>
      </w:r>
      <w:r>
        <w:t xml:space="preserve">.</w:t>
      </w:r>
    </w:p>
    <w:bookmarkEnd w:id="699"/>
    <w:bookmarkStart w:id="700" w:name="Xeb3add529b250723cedc3d2adcfa6bef3106788"/>
    <w:p>
      <w:pPr>
        <w:pStyle w:val="Heading2"/>
      </w:pPr>
      <w:r>
        <w:rPr>
          <w:bCs/>
          <w:b/>
        </w:rPr>
        <w:t xml:space="preserve">AJ.8 HDW Participation and Capture Control</w:t>
      </w:r>
    </w:p>
    <w:p>
      <w:pPr>
        <w:pStyle w:val="FirstParagraph"/>
      </w:pPr>
      <w:r>
        <w:t xml:space="preserve">HDW democratic tuning SHOULD record affected groups, representation method, exclusion risks, capture risks, minority reports, and correction actions in Tier 3 runs. Optional mechanisms such as quadratic voting or deliberative polling MAY be used where appropriate, but no method may lower constitutional floors, erase non-vocal stakeholders, or weaken RF/NCRC, TRC, or CSV.</w:t>
      </w:r>
    </w:p>
    <w:p>
      <w:pPr>
        <w:pStyle w:val="BodyText"/>
      </w:pPr>
      <w:r>
        <w:t xml:space="preserve">Companion guide:</w:t>
      </w:r>
      <w:r>
        <w:t xml:space="preserve"> </w:t>
      </w:r>
      <w:r>
        <w:rPr>
          <w:rStyle w:val="VerbatimChar"/>
        </w:rPr>
        <w:t xml:space="preserve">docs/guides/HDW_PARTICIPATION_AND_CAPTURE_GUIDE.md</w:t>
      </w:r>
      <w:r>
        <w:t xml:space="preserve">.</w:t>
      </w:r>
    </w:p>
    <w:bookmarkEnd w:id="700"/>
    <w:bookmarkStart w:id="701" w:name="aj9-sgp-validation-bridge"/>
    <w:p>
      <w:pPr>
        <w:pStyle w:val="Heading2"/>
      </w:pPr>
      <w:r>
        <w:rPr>
          <w:bCs/>
          <w:b/>
        </w:rPr>
        <w:t xml:space="preserve">AJ.9 SGP Validation Bridge</w:t>
      </w:r>
    </w:p>
    <w:p>
      <w:pPr>
        <w:pStyle w:val="FirstParagraph"/>
      </w:pPr>
      <w:r>
        <w:t xml:space="preserve">SGP outputs remain protection-surface evidence objects, not legal status, governance authority, or substitutes for RG, RF/NCRC, TRC, CSV, RLS, lawful authority, or governance-role requirements. SGP validation should test inter-rater reliability, fluency traps, biological welfare false negatives, artificial-entity status inflation, and protection-authority separation.</w:t>
      </w:r>
    </w:p>
    <w:p>
      <w:pPr>
        <w:pStyle w:val="BodyText"/>
      </w:pPr>
      <w:r>
        <w:t xml:space="preserve">Companion protocol:</w:t>
      </w:r>
      <w:r>
        <w:t xml:space="preserve"> </w:t>
      </w:r>
      <w:r>
        <w:rPr>
          <w:rStyle w:val="VerbatimChar"/>
        </w:rPr>
        <w:t xml:space="preserve">docs/validation/sgp/SGP_VALIDATION_PROTOCOL_v2_1.md</w:t>
      </w:r>
      <w:r>
        <w:t xml:space="preserve">.</w:t>
      </w:r>
    </w:p>
    <w:bookmarkEnd w:id="701"/>
    <w:bookmarkStart w:id="702" w:name="aj10-stewardship-evasion-audit"/>
    <w:p>
      <w:pPr>
        <w:pStyle w:val="Heading2"/>
      </w:pPr>
      <w:r>
        <w:rPr>
          <w:bCs/>
          <w:b/>
        </w:rPr>
        <w:t xml:space="preserve">AJ.10 Stewardship Evasion Audit</w:t>
      </w:r>
    </w:p>
    <w:p>
      <w:pPr>
        <w:pStyle w:val="FirstParagraph"/>
      </w:pPr>
      <w:r>
        <w:t xml:space="preserve">A run cannot avoid stewardship obligations by labeling consequential influence as educational, internal, experimental, advisory, or informational. If the output materially influences real decisions, narrows options, affects rights or livelihoods, or connects to execution capability, stewardship review SHOULD be escalated.</w:t>
      </w:r>
    </w:p>
    <w:p>
      <w:pPr>
        <w:pStyle w:val="BodyText"/>
      </w:pPr>
      <w:r>
        <w:t xml:space="preserve">Companion guide:</w:t>
      </w:r>
      <w:r>
        <w:t xml:space="preserve"> </w:t>
      </w:r>
      <w:r>
        <w:rPr>
          <w:rStyle w:val="VerbatimChar"/>
        </w:rPr>
        <w:t xml:space="preserve">docs/guides/STEWARDSHIP_EVASION_AUDIT.md</w:t>
      </w:r>
      <w:r>
        <w:t xml:space="preserve">.</w:t>
      </w:r>
    </w:p>
    <w:bookmarkEnd w:id="702"/>
    <w:bookmarkStart w:id="703" w:name="aj11-meta-union-firewall"/>
    <w:p>
      <w:pPr>
        <w:pStyle w:val="Heading2"/>
      </w:pPr>
      <w:r>
        <w:rPr>
          <w:bCs/>
          <w:b/>
        </w:rPr>
        <w:t xml:space="preserve">AJ.11 Meta-Union Firewall</w:t>
      </w:r>
    </w:p>
    <w:p>
      <w:pPr>
        <w:pStyle w:val="FirstParagraph"/>
      </w:pPr>
      <w:r>
        <w:t xml:space="preserve">AIU, Cosmic, Universal, and related horizon/meta-union language may orient humility and philosophical interpretation. They are not Tier 1-3 scoring objects, gate overrides, hidden weights, legal authority, deployment permission, or ProofPack evidence unless a future governed extension explicitly defines a computable and validated protocol.</w:t>
      </w:r>
    </w:p>
    <w:p>
      <w:pPr>
        <w:pStyle w:val="BodyText"/>
      </w:pPr>
      <w:r>
        <w:t xml:space="preserve">Companion guide:</w:t>
      </w:r>
      <w:r>
        <w:t xml:space="preserve"> </w:t>
      </w:r>
      <w:r>
        <w:rPr>
          <w:rStyle w:val="VerbatimChar"/>
        </w:rPr>
        <w:t xml:space="preserve">docs/guides/META_UNION_FIREWALL.md</w:t>
      </w:r>
      <w:r>
        <w:t xml:space="preserve">.</w:t>
      </w:r>
    </w:p>
    <w:bookmarkEnd w:id="703"/>
    <w:bookmarkEnd w:id="704"/>
    <w:bookmarkStart w:id="705" w:name="X8382b5de0557a542a70991ead047c3655078f79"/>
    <w:p>
      <w:pPr>
        <w:pStyle w:val="Heading1"/>
      </w:pPr>
      <w:bookmarkStart w:id="824" w:name="mg_toc_060"/>
      <w:r>
        <w:rPr>
          <w:bCs/>
          <w:b/>
        </w:rPr>
        <w:t xml:space="preserve">Appendix AK: Computability vs Realizability Bridge</w:t>
      </w:r>
      <w:bookmarkEnd w:id="824"/>
    </w:p>
    <w:p>
      <w:pPr>
        <w:pStyle w:val="FirstParagraph"/>
      </w:pPr>
      <w:r>
        <w:t xml:space="preserve">Status. Appendix AK is a release-hardening bridge introduced in v12.0 and explicitly precedence-indexed in the v12.0 final core. It does not add a new public cascade level and does not change the governing order RG -&gt; RF -&gt; TRC -&gt; CSV -&gt; RLS.</w:t>
      </w:r>
    </w:p>
    <w:p>
      <w:pPr>
        <w:pStyle w:val="BodyText"/>
      </w:pPr>
      <w:r>
        <w:t xml:space="preserve">AK.1 Core distinction. A state, output, plan, policy, or model response may be computable without being physically grounded, rights-safe, ruin-bounded, structurally viable, authorized, or ethically selectable. Computability is representational capacity. Selectability is governed survivorship through the cascade.</w:t>
      </w:r>
    </w:p>
    <w:p>
      <w:pPr>
        <w:pStyle w:val="BodyText"/>
      </w:pPr>
      <w:r>
        <w:t xml:space="preserve">AK.2 Operational rule. RippleLogic MUST NOT treat model fluency, simulation output, dashboard value, code generation, tool result, or computed score as decision authority merely because it exists. Computable is not selectable. Generated is not grounded. Executable is not ethical. Realizable is necessary but not sufficient.</w:t>
      </w:r>
    </w:p>
    <w:p>
      <w:pPr>
        <w:pStyle w:val="BodyText"/>
      </w:pPr>
      <w:r>
        <w:t xml:space="preserve">AK.3 Layer assignment. RG handles reality-surface contact and claim boundaries. RF/NCRC handles non-compensatory rights protection. TRC handles catastrophic and ruin-path exposure. CSV handles containment, structural viability, execution viability, monitoring, authority dependencies, and host-system integrity. RLS ranks only residual welfare for options that remain selectable.</w:t>
      </w:r>
    </w:p>
    <w:p>
      <w:pPr>
        <w:pStyle w:val="BodyText"/>
      </w:pPr>
      <w:r>
        <w:t xml:space="preserve">AK.4 Feedback rule. If CSV analysis discovers a new catastrophic, irreversible, lock-in, or ruin-path scenario that was not represented in TRC, the run MUST reopen TRC before RLS. CSV can discover TRC-relevant material, but it does not absorb or replace TRC.</w:t>
      </w:r>
    </w:p>
    <w:p>
      <w:pPr>
        <w:pStyle w:val="BodyText"/>
      </w:pPr>
      <w:r>
        <w:t xml:space="preserve">AK.5 Public teaching line. Ground reality. Protect rights. Bound ruin. Preserve the structure. Score the ripples.</w:t>
      </w:r>
    </w:p>
    <w:bookmarkEnd w:id="705"/>
    <w:bookmarkStart w:id="712" w:name="Xc8e67023bd7e04972eda2cf6a0290130aa94aec"/>
    <w:p>
      <w:pPr>
        <w:pStyle w:val="Heading1"/>
      </w:pPr>
      <w:bookmarkStart w:id="825" w:name="mg_toc_061"/>
      <w:r>
        <w:rPr>
          <w:bCs/>
          <w:b/>
        </w:rPr>
        <w:t xml:space="preserve">Appendix AL: Source-Coupling Integrity and Generative-Source Traceability (Normative Hardening Patch)</w:t>
      </w:r>
      <w:bookmarkEnd w:id="825"/>
    </w:p>
    <w:p>
      <w:pPr>
        <w:pStyle w:val="FirstParagraph"/>
      </w:pPr>
      <w:r>
        <w:t xml:space="preserve">Status. Appendix AL is a v12.0 hardening patch. It is a MathGov-native Reality Grounding and CSV diagnostic. It does not add a public gate, does not alter the cascade, does not import an external ontology, and does not make empirical validation, legal certification, deployment certification, Tier 4, ProofPack, or automated moral-truth claims available.</w:t>
      </w:r>
    </w:p>
    <w:bookmarkStart w:id="706" w:name="al1-purpose"/>
    <w:p>
      <w:pPr>
        <w:pStyle w:val="Heading2"/>
      </w:pPr>
      <w:r>
        <w:rPr>
          <w:bCs/>
          <w:b/>
        </w:rPr>
        <w:t xml:space="preserve">AL.1 Purpose</w:t>
      </w:r>
    </w:p>
    <w:p>
      <w:pPr>
        <w:pStyle w:val="FirstParagraph"/>
      </w:pPr>
      <w:r>
        <w:t xml:space="preserve">Appendix AL protects RippleLogic runs from a specific downstream-substitution failure: treating output, fluency, institutional permission, compliance status, inherited procedure, benchmark performance, dashboard value, or interface success as proof that the claimed capability is grounded in the enabling conditions that make it possible and the boundary conditions that limit it.</w:t>
      </w:r>
    </w:p>
    <w:bookmarkEnd w:id="706"/>
    <w:bookmarkStart w:id="707" w:name="al2-required-source-coupling-record"/>
    <w:p>
      <w:pPr>
        <w:pStyle w:val="Heading2"/>
      </w:pPr>
      <w:r>
        <w:rPr>
          <w:bCs/>
          <w:b/>
        </w:rPr>
        <w:t xml:space="preserve">AL.2 Required Source-Coupling Record</w:t>
      </w:r>
    </w:p>
    <w:p>
      <w:pPr>
        <w:pStyle w:val="FirstParagraph"/>
      </w:pPr>
      <w:r>
        <w:t xml:space="preserve">When the Section 2.1D trigger holds, the PCC SHOULD include a SourceCouplingRecord and MUST include one for Tier 3 public or institutional claim-bearing runs. The record contains: claimed_capability; enabling_conditions; boundary_conditions; source_evidence; generator_output_distinction; inherited_assumptions; downstream_compensations; source_coupling_status; source_debt_flag; falsification_or_recheck_trigger; and required_claim_action.</w:t>
      </w:r>
    </w:p>
    <w:bookmarkEnd w:id="707"/>
    <w:bookmarkStart w:id="708" w:name="al3-claim-boundary-effects"/>
    <w:p>
      <w:pPr>
        <w:pStyle w:val="Heading2"/>
      </w:pPr>
      <w:r>
        <w:rPr>
          <w:bCs/>
          <w:b/>
        </w:rPr>
        <w:t xml:space="preserve">AL.3 Claim Boundary Effects</w:t>
      </w:r>
    </w:p>
    <w:p>
      <w:pPr>
        <w:pStyle w:val="FirstParagraph"/>
      </w:pPr>
      <w:r>
        <w:t xml:space="preserve">Source-Coupling Integrity constrains claim strength. A run MAY proceed with a narrow claim when source coupling is partial or inferred, but it MUST NOT use partial or inferred source coupling to support stronger conformance, deployment, deterministic-selection, or validation claims. If source coupling is unknown, contested, or failing, the run MUST narrow, collect evidence, escalate, redesign, or refuse the stronger claim.</w:t>
      </w:r>
    </w:p>
    <w:bookmarkEnd w:id="708"/>
    <w:bookmarkStart w:id="709" w:name="al4-csv-consumption-rule"/>
    <w:p>
      <w:pPr>
        <w:pStyle w:val="Heading2"/>
      </w:pPr>
      <w:r>
        <w:rPr>
          <w:bCs/>
          <w:b/>
        </w:rPr>
        <w:t xml:space="preserve">AL.4 CSV Consumption Rule</w:t>
      </w:r>
    </w:p>
    <w:p>
      <w:pPr>
        <w:pStyle w:val="FirstParagraph"/>
      </w:pPr>
      <w:r>
        <w:t xml:space="preserve">If source weakness materially affects dependency closure, resource closure, operational capacity, reversibility, containment, monitoring, or host-system integrity, CSV MUST consume the SourceCouplingRecord. SOURCE_DEBT_RISK is a CSV-relevant signal. It may route the option to CSV_PASS_WITH_CONTROLS, CSV_REDESIGN_REQUIRED, CSV_ESCALATE, CSV_FAIL, or emergency-provisional handling according to the CSV Gate Standard and the Canon.</w:t>
      </w:r>
    </w:p>
    <w:bookmarkEnd w:id="709"/>
    <w:bookmarkStart w:id="710" w:name="al5-agentic-and-ai-system-rule"/>
    <w:p>
      <w:pPr>
        <w:pStyle w:val="Heading2"/>
      </w:pPr>
      <w:r>
        <w:rPr>
          <w:bCs/>
          <w:b/>
        </w:rPr>
        <w:t xml:space="preserve">AL.5 Agentic and AI System Rule</w:t>
      </w:r>
    </w:p>
    <w:p>
      <w:pPr>
        <w:pStyle w:val="FirstParagraph"/>
      </w:pPr>
      <w:r>
        <w:t xml:space="preserve">For AI or agentic systems, model fluency, benchmark performance, tool-use success, chain-of-action success, or safety-filter compliance is not source-coupled admissibility. Such evidence may support a bounded capability claim, but only after Reality Grounding states what the evidence does and does not show, and only after CSV checks whether deployment can structurally stand.</w:t>
      </w:r>
    </w:p>
    <w:bookmarkEnd w:id="710"/>
    <w:bookmarkStart w:id="711" w:name="al6-related-external-work-boundary"/>
    <w:p>
      <w:pPr>
        <w:pStyle w:val="Heading2"/>
      </w:pPr>
      <w:r>
        <w:rPr>
          <w:bCs/>
          <w:b/>
        </w:rPr>
        <w:t xml:space="preserve">AL.6 Related External Work Boundary</w:t>
      </w:r>
    </w:p>
    <w:p>
      <w:pPr>
        <w:pStyle w:val="FirstParagraph"/>
      </w:pPr>
      <w:r>
        <w:t xml:space="preserve">This Appendix is stated entirely in MathGov-native terminology as Source-Coupling Integrity. It checks whether a decision claim remains connected to its declared source, evidence surface, validity domain, and correction pathway. No external ontology, protected framework, or third-party text is incorporated into the governing Canon.</w:t>
      </w:r>
    </w:p>
    <w:bookmarkEnd w:id="711"/>
    <w:bookmarkEnd w:id="712"/>
    <w:bookmarkStart w:id="720" w:name="Xb8d35534640f4f02efed04559f88409cc6d7f45"/>
    <w:p>
      <w:pPr>
        <w:pStyle w:val="Heading1"/>
      </w:pPr>
      <w:bookmarkStart w:id="826" w:name="mg_toc_062"/>
      <w:r>
        <w:rPr>
          <w:bCs/>
          <w:b/>
        </w:rPr>
        <w:t xml:space="preserve">Appendix AM: Physical/Causal Admissibility Evidence Profile (Normative Hardening Patch)</w:t>
      </w:r>
      <w:bookmarkEnd w:id="826"/>
    </w:p>
    <w:p>
      <w:pPr>
        <w:pStyle w:val="FirstParagraph"/>
      </w:pPr>
      <w:r>
        <w:t xml:space="preserve">Status. Appendix AM is a v12.0 Governed Admissibility hardening patch. It is a MathGov-native Reality Grounding and CSV profile for material physical or causal action. It does not add a public gate, does not alter the cascade, does not import an external ontology, and does not make empirical validation, legal certification, deployment certification, formal-methods proof, domain engineering certification, Tier 4, ProofPack, or automated moral-truth claims available.</w:t>
      </w:r>
    </w:p>
    <w:bookmarkStart w:id="713" w:name="am1-purpose"/>
    <w:p>
      <w:pPr>
        <w:pStyle w:val="Heading2"/>
      </w:pPr>
      <w:r>
        <w:rPr>
          <w:bCs/>
          <w:b/>
        </w:rPr>
        <w:t xml:space="preserve">AM.1 Purpose</w:t>
      </w:r>
    </w:p>
    <w:p>
      <w:pPr>
        <w:pStyle w:val="FirstParagraph"/>
      </w:pPr>
      <w:r>
        <w:t xml:space="preserve">Appendix AM protects RippleLogic runs from a specific execution-substitution failure: treating computed possibility, generated action, simulation output, policy approval, certification, compliance, monitoring, or governance permission as proof that a candidate physical or causal action is admissible before execution.</w:t>
      </w:r>
    </w:p>
    <w:bookmarkEnd w:id="713"/>
    <w:bookmarkStart w:id="714" w:name="Xdab524012e0534b7df833158167525626ad95d0"/>
    <w:p>
      <w:pPr>
        <w:pStyle w:val="Heading2"/>
      </w:pPr>
      <w:r>
        <w:rPr>
          <w:bCs/>
          <w:b/>
        </w:rPr>
        <w:t xml:space="preserve">AM.2 Required Physical/Causal Admissibility Evidence Profile</w:t>
      </w:r>
    </w:p>
    <w:p>
      <w:pPr>
        <w:pStyle w:val="FirstParagraph"/>
      </w:pPr>
      <w:r>
        <w:t xml:space="preserve">When the Section 2.1E trigger holds, the PCC SHOULD include a PhysicalCausalAdmissibilityEvidenceProfile and MUST include one for Tier 3 public or institutional claim-bearing runs and high-stakes Tier 2 runs where physical or causal uncertainty could change gate status, authority, or public claim strength. The record contains: candidate_generation_source; physical_or_causal_model_used; validity_domain; boundary_conditions; uncertainty_range; failure_modes; reversibility_or_irreversibility_boundary; verification_simulation_empirical_test_or_expert_warrant; admissibility_warrant_source; monitoring_and_shutoff_path; residual_unknowns; and required_claim_action.</w:t>
      </w:r>
    </w:p>
    <w:bookmarkEnd w:id="714"/>
    <w:bookmarkStart w:id="715" w:name="am3-claim-boundary-effects"/>
    <w:p>
      <w:pPr>
        <w:pStyle w:val="Heading2"/>
      </w:pPr>
      <w:r>
        <w:rPr>
          <w:bCs/>
          <w:b/>
        </w:rPr>
        <w:t xml:space="preserve">AM.3 Claim Boundary Effects</w:t>
      </w:r>
    </w:p>
    <w:p>
      <w:pPr>
        <w:pStyle w:val="FirstParagraph"/>
      </w:pPr>
      <w:r>
        <w:t xml:space="preserve">Physical/Causal Admissibility Evidence constrains claim strength. A run MAY proceed with a narrow claim when the evidence is partial, assumption-bound, or controlled, but it MUST NOT use partial physical or causal evidence to support stronger conformance, deployment, deterministic-selection, safety, reliability, or validation claims. If the model basis, validity domain, boundary conditions, uncertainty, failure modes, reversibility boundary, verification or warrant, monitoring/shutoff path, or residual unknowns are insufficient for the requested action, the run MUST narrow, control, redesign, escalate, or refuse.</w:t>
      </w:r>
    </w:p>
    <w:bookmarkEnd w:id="715"/>
    <w:bookmarkStart w:id="716" w:name="am4-csv-consumption-rule"/>
    <w:p>
      <w:pPr>
        <w:pStyle w:val="Heading2"/>
      </w:pPr>
      <w:r>
        <w:rPr>
          <w:bCs/>
          <w:b/>
        </w:rPr>
        <w:t xml:space="preserve">AM.4 CSV Consumption Rule</w:t>
      </w:r>
    </w:p>
    <w:p>
      <w:pPr>
        <w:pStyle w:val="FirstParagraph"/>
      </w:pPr>
      <w:r>
        <w:t xml:space="preserve">CSV MUST consume the profile when physical or causal weakness materially affects dependency closure, resource closure, operational capacity, reversibility, monitoring adequacy, containment, execution viability, authority, or host-system integrity. The profile may route the option to CSV_PASS_WITH_CONTROLS, CSV_REDESIGN_REQUIRED, CSV_ESCALATE, CSV_FAIL, or emergency-provisional handling according to severity, reversibility, uncertainty, monitoring, authority, and available alternatives.</w:t>
      </w:r>
    </w:p>
    <w:bookmarkEnd w:id="716"/>
    <w:bookmarkStart w:id="717" w:name="am5-trc-reopen-rule"/>
    <w:p>
      <w:pPr>
        <w:pStyle w:val="Heading2"/>
      </w:pPr>
      <w:r>
        <w:rPr>
          <w:bCs/>
          <w:b/>
        </w:rPr>
        <w:t xml:space="preserve">AM.5 TRC Reopen Rule</w:t>
      </w:r>
    </w:p>
    <w:p>
      <w:pPr>
        <w:pStyle w:val="FirstParagraph"/>
      </w:pPr>
      <w:r>
        <w:t xml:space="preserve">If the profile reveals a catastrophic, irreversible, lock-in, ruin-path, or severe-harm scenario not already represented in TRC, the run MUST reopen TRC before RLS. CSV can discover TRC-relevant material, but it does not absorb or replace TRC.</w:t>
      </w:r>
    </w:p>
    <w:bookmarkEnd w:id="717"/>
    <w:bookmarkStart w:id="718" w:name="am6-ai-agentic-and-physical-system-rule"/>
    <w:p>
      <w:pPr>
        <w:pStyle w:val="Heading2"/>
      </w:pPr>
      <w:r>
        <w:rPr>
          <w:bCs/>
          <w:b/>
        </w:rPr>
        <w:t xml:space="preserve">AM.6 AI, Agentic, and Physical-System Rule</w:t>
      </w:r>
    </w:p>
    <w:p>
      <w:pPr>
        <w:pStyle w:val="FirstParagraph"/>
      </w:pPr>
      <w:r>
        <w:t xml:space="preserve">For AI, robotics, cyber-physical, infrastructure, medical, industrial, environmental, or other consequence-bearing systems, model fluency, benchmark performance, tool-use success, chain-of-action success, safety-filter compliance, operator approval, certification, or monitoring is not physical or causal admissibility. Such evidence may support a bounded claim only after Reality Grounding states what the evidence does and does not show, the Physical/Causal Admissibility Evidence Profile declares the model and limits, and CSV checks whether the pathway can structurally stand.</w:t>
      </w:r>
    </w:p>
    <w:bookmarkEnd w:id="718"/>
    <w:bookmarkStart w:id="719" w:name="am7-boundary-against-overclaim"/>
    <w:p>
      <w:pPr>
        <w:pStyle w:val="Heading2"/>
      </w:pPr>
      <w:r>
        <w:rPr>
          <w:bCs/>
          <w:b/>
        </w:rPr>
        <w:t xml:space="preserve">AM.7 Boundary Against Overclaim</w:t>
      </w:r>
    </w:p>
    <w:p>
      <w:pPr>
        <w:pStyle w:val="FirstParagraph"/>
      </w:pPr>
      <w:r>
        <w:t xml:space="preserve">This profile is an evidence discipline, not a proof engine. It does not make MathGov a substitute for physics, control engineering, formal verification, medicine, ecology, cybersecurity, structural engineering, law, or domain expert review. Its function is to prevent a governance record from hiding the absence, weakness, uncertainty, or contested status of the physical or causal evidence on which execution depends.</w:t>
      </w:r>
    </w:p>
    <w:bookmarkEnd w:id="719"/>
    <w:bookmarkEnd w:id="720"/>
    <w:bookmarkStart w:id="728" w:name="Xe63ee61d723571aef1d9060629c6f5f000a4ba6"/>
    <w:p>
      <w:pPr>
        <w:pStyle w:val="Heading1"/>
      </w:pPr>
      <w:bookmarkStart w:id="827" w:name="mg_toc_063"/>
      <w:r>
        <w:rPr>
          <w:bCs/>
          <w:b/>
        </w:rPr>
        <w:t xml:space="preserve">Appendix AN: Methodological Falsifiability and Dependency Integrity Standard (Normative Hardening Patch)</w:t>
      </w:r>
      <w:bookmarkEnd w:id="827"/>
    </w:p>
    <w:p>
      <w:pPr>
        <w:pStyle w:val="FirstParagraph"/>
      </w:pPr>
      <w:r>
        <w:t xml:space="preserve">Status. Appendix AN is a v12.0 Methodological Integrity hardening patch. It is a MathGov-native Reality Grounding discipline for claim-bearing decisions, companion standards, SGP evidence use, validation protocols, and public release claims. It does not add a public gate, does not alter the cascade, does not import an external ontology, and does not make empirical validation, legal certification, deployment certification, Tier 4, ProofPack, deterministic-selection, or automated moral-truth claims available.</w:t>
      </w:r>
    </w:p>
    <w:bookmarkStart w:id="721" w:name="an1-purpose"/>
    <w:p>
      <w:pPr>
        <w:pStyle w:val="Heading2"/>
      </w:pPr>
      <w:r>
        <w:rPr>
          <w:bCs/>
          <w:b/>
        </w:rPr>
        <w:t xml:space="preserve">AN.1 Purpose</w:t>
      </w:r>
    </w:p>
    <w:p>
      <w:pPr>
        <w:pStyle w:val="FirstParagraph"/>
      </w:pPr>
      <w:r>
        <w:t xml:space="preserve">Appendix AN protects RippleLogic runs from a methodological substitution failure: treating plausible output, coherent narrative, accumulated observations, governance approval, model tuning, institutional authority, or useful approximation as if it were sufficient support for a stronger claim than the evidence can bear.</w:t>
      </w:r>
    </w:p>
    <w:bookmarkEnd w:id="721"/>
    <w:bookmarkStart w:id="722" w:name="X3a406f941884128c00ca9fbcf3b8a272be54528"/>
    <w:p>
      <w:pPr>
        <w:pStyle w:val="Heading2"/>
      </w:pPr>
      <w:r>
        <w:rPr>
          <w:bCs/>
          <w:b/>
        </w:rPr>
        <w:t xml:space="preserve">AN.2 Required Methodological Integrity Record</w:t>
      </w:r>
    </w:p>
    <w:p>
      <w:pPr>
        <w:pStyle w:val="FirstParagraph"/>
      </w:pPr>
      <w:r>
        <w:t xml:space="preserve">When the Section 2.1F trigger holds, the PCC SHOULD include a MethodologicalIntegrityRecord and MUST include one for Tier 3 public or institutional claim-bearing runs and high-stakes Tier 2 runs where claim failure could change RF/NCRC, TRC, CSV, SGP, authority, deployment, public conformance, deterministic-selection wording, or validation status. The record contains: claim_or_component; claim_type; claim_domain; warrant_domains; cross_domain_bridges; dependency_position; starting_assumptions; definition_or_operator_used; necessity_or_alternative_check; evidence_or_test_surface; falsification_or_revision_trigger; uncertainty_or_confidence_method; downstream_dependencies; re_derivation_scope_if_changed; reviewer_status; and required_claim_action.</w:t>
      </w:r>
    </w:p>
    <w:p>
      <w:pPr>
        <w:pStyle w:val="BodyText"/>
      </w:pPr>
      <w:r>
        <w:t xml:space="preserve">Dependency-localized falsification rule. Failure of a premise, primitive, operator, evidence source, control, or dependency SHALL reopen every materially dependent claim, score, gate result, authorization, and public statement. Components with an independently supported evidence path do not fail merely by association; they SHALL be evaluated on their own dependencies. This rule prevents both monolithic immunity and indiscriminate whole-framework rejection.</w:t>
      </w:r>
    </w:p>
    <w:bookmarkEnd w:id="722"/>
    <w:bookmarkStart w:id="723" w:name="an3-claim-type-discrimination"/>
    <w:p>
      <w:pPr>
        <w:pStyle w:val="Heading2"/>
      </w:pPr>
      <w:r>
        <w:rPr>
          <w:bCs/>
          <w:b/>
        </w:rPr>
        <w:t xml:space="preserve">AN.3 Claim-Type Discrimination</w:t>
      </w:r>
    </w:p>
    <w:p>
      <w:pPr>
        <w:pStyle w:val="FirstParagraph"/>
      </w:pPr>
      <w:r>
        <w:t xml:space="preserve">Empirical claims require evidence contact. Causal claims require mechanism, counterfactual, intervention, or qualified causal warrant. Formal claims require explicit definitions, assumptions, and derivations. Operational claims require reproducible procedure and audit trail. Legal-regulatory claims require a declared jurisdiction, current authority source, applicability boundary, interpretation status, and contest or review path. Normative claims require declared ethical commitments, consistency, rights compatibility, stakeholder challenge, and auditability of application. Metaphysical horizon claims may guide humility and meaning, but they do not create Tier 1-3 evidence or gate authority.</w:t>
      </w:r>
    </w:p>
    <w:p>
      <w:pPr>
        <w:pStyle w:val="BodyText"/>
      </w:pPr>
      <w:r>
        <w:t xml:space="preserve">Claim-domain and warrant-domain rule. A conclusion may draw on more than one warrant domain, but no warrant silently changes type. A legal rule may authorize, prohibit, allocate responsibility, or require testing without proving that a claimed technical capability exists. Scientific or engineering evidence may establish bounded capability or risk without creating legal authority or ethical legitimacy. Institutional approval, certification, compliance, commercial description, or anthropomorphic language cannot establish empirical truth, causal validity, physical safety, or reduced uncertainty by itself. A material cross-domain inference requires a declared bridge proposition, bridge evidence or rationale, uncertainty, and refusal or revision condition. BRIDGE_UNSUPPORTED blocks the stronger cross-domain claim; BRIDGE_PARTIAL permits only the supported narrower claim.</w:t>
      </w:r>
    </w:p>
    <w:bookmarkEnd w:id="723"/>
    <w:bookmarkStart w:id="724" w:name="Xef151b973649ae111ce6ad020ca78df54e52b4b"/>
    <w:p>
      <w:pPr>
        <w:pStyle w:val="Heading2"/>
      </w:pPr>
      <w:r>
        <w:rPr>
          <w:bCs/>
          <w:b/>
        </w:rPr>
        <w:t xml:space="preserve">AN.4 Necessity and Alternative-Explanation Rule</w:t>
      </w:r>
    </w:p>
    <w:p>
      <w:pPr>
        <w:pStyle w:val="FirstParagraph"/>
      </w:pPr>
      <w:r>
        <w:t xml:space="preserve">If the run claims that a principle, definition, operator, threshold, indicator, configuration, or candidate result is necessary, the run must record why alternatives do not explain the same effect. If plausible alternatives remain open, the claim must be downgraded to assumption-bound, model-bound, contested, or exploratory status.</w:t>
      </w:r>
    </w:p>
    <w:bookmarkEnd w:id="724"/>
    <w:bookmarkStart w:id="725" w:name="X7fa9651c43b4304f53838c73409d6b2b75ac663"/>
    <w:p>
      <w:pPr>
        <w:pStyle w:val="Heading2"/>
      </w:pPr>
      <w:r>
        <w:rPr>
          <w:bCs/>
          <w:b/>
        </w:rPr>
        <w:t xml:space="preserve">AN.5 Failure, Revision, and Re-Derivation Rule</w:t>
      </w:r>
    </w:p>
    <w:p>
      <w:pPr>
        <w:pStyle w:val="FirstParagraph"/>
      </w:pPr>
      <w:r>
        <w:t xml:space="preserve">A failed test, falsified prediction, contested evidence surface, failed dependency, or changed starting assumption cannot be hidden by silent model tuning. The record must declare whether the affected chain requires local revision, threshold revision, gate rerun, SGP rerun, CSV rerun, TRC reopening, RLS recalculation, public claim narrowing, release versioning, or refusal.</w:t>
      </w:r>
    </w:p>
    <w:bookmarkEnd w:id="725"/>
    <w:bookmarkStart w:id="726" w:name="an6-proportionality-rule"/>
    <w:p>
      <w:pPr>
        <w:pStyle w:val="Heading2"/>
      </w:pPr>
      <w:r>
        <w:rPr>
          <w:bCs/>
          <w:b/>
        </w:rPr>
        <w:t xml:space="preserve">AN.6 Proportionality Rule</w:t>
      </w:r>
    </w:p>
    <w:p>
      <w:pPr>
        <w:pStyle w:val="FirstParagraph"/>
      </w:pPr>
      <w:r>
        <w:t xml:space="preserve">Methodological rigor is proportional to stakes. Ordinary Tier 1 and low-stakes Tier 2 uses may use lighter records. Tier 3, public conformance, institutional deployment, safety/reliability claims, SGP public claims, and high-consequence AI or physical/causal actions require stronger records. Proportionality may reduce documentation burden; it may not authorize a stronger claim than the evidence supports.</w:t>
      </w:r>
    </w:p>
    <w:bookmarkEnd w:id="726"/>
    <w:bookmarkStart w:id="727" w:name="an7-boundary-against-overclaim"/>
    <w:p>
      <w:pPr>
        <w:pStyle w:val="Heading2"/>
      </w:pPr>
      <w:r>
        <w:rPr>
          <w:bCs/>
          <w:b/>
        </w:rPr>
        <w:t xml:space="preserve">AN.7 Boundary Against Overclaim</w:t>
      </w:r>
    </w:p>
    <w:p>
      <w:pPr>
        <w:pStyle w:val="FirstParagraph"/>
      </w:pPr>
      <w:r>
        <w:t xml:space="preserve">This standard is not a claim that MathGov has discovered a final theory of reality, a universal physical stability law, or a complete empirical validation engine. It is a claim-discipline standard. Its function is to make assumptions, alternatives, tests, failures, dependencies, and required re-derivations visible before decisions are scored, published, deployed, or treated as governance-grade.</w:t>
      </w:r>
    </w:p>
    <w:bookmarkEnd w:id="727"/>
    <w:bookmarkEnd w:id="728"/>
    <w:bookmarkStart w:id="733" w:name="Xb8a6d477b39650f89c8d47d3268262738b1e980"/>
    <w:p>
      <w:pPr>
        <w:pStyle w:val="Heading1"/>
      </w:pPr>
      <w:bookmarkStart w:id="828" w:name="mg_toc_064"/>
      <w:r>
        <w:rPr>
          <w:bCs/>
          <w:b/>
        </w:rPr>
        <w:t xml:space="preserve">Appendix AO: Physical Execution Boundary (Normative Hardening Patch)</w:t>
      </w:r>
      <w:bookmarkEnd w:id="828"/>
    </w:p>
    <w:p>
      <w:pPr>
        <w:pStyle w:val="FirstParagraph"/>
      </w:pPr>
      <w:r>
        <w:t xml:space="preserve">Status. Appendix AO is a v12.0 physical-execution boundary clarification. It is normative for consequence-bearing physical, biological, ecological, medical, infrastructure, cyber-physical, operational, or irreversible causal execution claims. It does not add a public gate, does not turn MathGov into a physics engine, formal-methods prover, simulator, medical device, legal authority, regulator, deployment-certification system, or domain-safety case, and does not make Tier 4 or ProofPack claims available.</w:t>
      </w:r>
    </w:p>
    <w:bookmarkStart w:id="729" w:name="ao1-boundary-rule"/>
    <w:p>
      <w:pPr>
        <w:pStyle w:val="Heading2"/>
      </w:pPr>
      <w:r>
        <w:rPr>
          <w:bCs/>
          <w:b/>
        </w:rPr>
        <w:t xml:space="preserve">AO.1 Boundary rule</w:t>
      </w:r>
    </w:p>
    <w:p>
      <w:pPr>
        <w:pStyle w:val="FirstParagraph"/>
      </w:pPr>
      <w:r>
        <w:t xml:space="preserve">Governance permission is not physical admissibility. Certification, documentation, organizational authority, procedural compliance, model conformity, approval, monitoring, or an</w:t>
      </w:r>
      <w:r>
        <w:t xml:space="preserve"> </w:t>
      </w:r>
      <w:r>
        <w:rPr>
          <w:rStyle w:val="VerbatimChar"/>
        </w:rPr>
        <w:t xml:space="preserve">ALLOW</w:t>
      </w:r>
      <w:r>
        <w:t xml:space="preserve"> </w:t>
      </w:r>
      <w:r>
        <w:t xml:space="preserve">label MUST NOT be represented as proof that a physical execution can safely exist in physical reality.</w:t>
      </w:r>
    </w:p>
    <w:p>
      <w:pPr>
        <w:pStyle w:val="BodyText"/>
      </w:pPr>
      <w:r>
        <w:t xml:space="preserve">For material consequence-bearing physical execution, MathGov may authorize only the governance status of a decision record unless a domain-appropriate physical or causal evidence surface also supports the execution claim. The framework may require, structure, audit, constrain, escalate, or refuse that evidence. It does not generate the physics, engineering, medical, biological, or safety proof by itself.</w:t>
      </w:r>
    </w:p>
    <w:bookmarkEnd w:id="729"/>
    <w:bookmarkStart w:id="730" w:name="ao2-required-routing"/>
    <w:p>
      <w:pPr>
        <w:pStyle w:val="Heading2"/>
      </w:pPr>
      <w:r>
        <w:rPr>
          <w:bCs/>
          <w:b/>
        </w:rPr>
        <w:t xml:space="preserve">AO.2 Required routing</w:t>
      </w:r>
    </w:p>
    <w:p>
      <w:pPr>
        <w:pStyle w:val="FirstParagraph"/>
      </w:pPr>
      <w:r>
        <w:t xml:space="preserve">When physical or causal execution is material, the run MUST trigger the Physical/Causal Admissibility Evidence Profile inside Reality Grounding and CSV. If physical admissibility is not externally supported within the declared validity domain, the run MUST NOT claim physical safety. The permitted claim state is limited to</w:t>
      </w:r>
      <w:r>
        <w:t xml:space="preserve"> </w:t>
      </w:r>
      <w:r>
        <w:rPr>
          <w:rStyle w:val="VerbatimChar"/>
        </w:rPr>
        <w:t xml:space="preserve">GOVERNANCE_PERMISSION_ONLY</w:t>
      </w:r>
      <w:r>
        <w:t xml:space="preserve">,</w:t>
      </w:r>
      <w:r>
        <w:t xml:space="preserve"> </w:t>
      </w:r>
      <w:r>
        <w:rPr>
          <w:rStyle w:val="VerbatimChar"/>
        </w:rPr>
        <w:t xml:space="preserve">PHYSICAL_ADMISSIBILITY_NOT_ESTABLISHED</w:t>
      </w:r>
      <w:r>
        <w:t xml:space="preserve">,</w:t>
      </w:r>
      <w:r>
        <w:t xml:space="preserve"> </w:t>
      </w:r>
      <w:r>
        <w:rPr>
          <w:rStyle w:val="VerbatimChar"/>
        </w:rPr>
        <w:t xml:space="preserve">PHYSICAL_ADMISSIBILITY_CONTRAINDICATED</w:t>
      </w:r>
      <w:r>
        <w:t xml:space="preserve">, or an equivalent narrower status until qualified domain evidence supports the stronger claim.</w:t>
      </w:r>
    </w:p>
    <w:bookmarkEnd w:id="730"/>
    <w:bookmarkStart w:id="731" w:name="ao3-allow-language"/>
    <w:p>
      <w:pPr>
        <w:pStyle w:val="Heading2"/>
      </w:pPr>
      <w:r>
        <w:rPr>
          <w:bCs/>
          <w:b/>
        </w:rPr>
        <w:t xml:space="preserve">AO.3 ALLOW language</w:t>
      </w:r>
    </w:p>
    <w:p>
      <w:pPr>
        <w:pStyle w:val="FirstParagraph"/>
      </w:pPr>
      <w:r>
        <w:rPr>
          <w:rStyle w:val="VerbatimChar"/>
        </w:rPr>
        <w:t xml:space="preserve">ALLOW</w:t>
      </w:r>
      <w:r>
        <w:t xml:space="preserve"> </w:t>
      </w:r>
      <w:r>
        <w:t xml:space="preserve">means that the MathGov decision record did not find an upstream governance-gate bar under the declared evidence and scope.</w:t>
      </w:r>
      <w:r>
        <w:t xml:space="preserve"> </w:t>
      </w:r>
      <w:r>
        <w:rPr>
          <w:rStyle w:val="VerbatimChar"/>
        </w:rPr>
        <w:t xml:space="preserve">ALLOW</w:t>
      </w:r>
      <w:r>
        <w:t xml:space="preserve"> </w:t>
      </w:r>
      <w:r>
        <w:t xml:space="preserve">does not mean that physical execution is safe, deployable, legally certified, medically cleared, or engineering-certified. A physical-execution claim requires the PC-AEP record and any external domain evidence named by the governing deployment context.</w:t>
      </w:r>
    </w:p>
    <w:bookmarkEnd w:id="731"/>
    <w:bookmarkStart w:id="732" w:name="ao4-refusal-condition"/>
    <w:p>
      <w:pPr>
        <w:pStyle w:val="Heading2"/>
      </w:pPr>
      <w:r>
        <w:rPr>
          <w:bCs/>
          <w:b/>
        </w:rPr>
        <w:t xml:space="preserve">AO.4 Refusal condition</w:t>
      </w:r>
    </w:p>
    <w:p>
      <w:pPr>
        <w:pStyle w:val="FirstParagraph"/>
      </w:pPr>
      <w:r>
        <w:t xml:space="preserve">If the physical or causal evidence is absent, contradicted, outside validity domain, unrecoverably uncertain, irreversible without safeguards, unmonitored beyond tolerance, or dependent on unverified model assumptions, MathGov MUST narrow, control, redesign, escalate, or refuse the physical-execution claim. No RLS score may rescue the claim.</w:t>
      </w:r>
    </w:p>
    <w:bookmarkEnd w:id="732"/>
    <w:bookmarkEnd w:id="733"/>
    <w:bookmarkStart w:id="734" w:name="X1820617f150241a643206699ef8da08fcd0b601"/>
    <w:p>
      <w:pPr>
        <w:pStyle w:val="Heading1"/>
      </w:pPr>
      <w:bookmarkStart w:id="829" w:name="mg_toc_065"/>
      <w:r>
        <w:rPr>
          <w:bCs/>
          <w:b/>
        </w:rPr>
        <w:t xml:space="preserve">APPENDIX AP: CURRENT RULES-ONLY NAVIGATION (v12.6) - INFORMATIVE</w:t>
      </w:r>
      <w:bookmarkEnd w:id="829"/>
    </w:p>
    <w:p>
      <w:pPr>
        <w:pStyle w:val="FirstParagraph"/>
      </w:pPr>
      <w:r>
        <w:t xml:space="preserve">This appendix is a navigation layer, not a second specification. It points implementers to the current controlling surfaces while keeping historical lineage separate.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Decision function</w:t>
            </w:r>
          </w:p>
        </w:tc>
        <w:tc>
          <w:tcPr>
            <w:shd w:val="clear" w:color="auto" w:fill="D9EAF7"/>
            <w:vAlign w:val="center"/>
          </w:tcPr>
          <w:p>
            <w:pPr>
              <w:pStyle w:val="Compact"/>
              <w:jc w:val="left"/>
            </w:pPr>
            <w:r>
              <w:rPr>
                <w:bCs/>
                <w:b/>
                <w:color w:val="17365D"/>
              </w:rPr>
              <w:t xml:space="preserve">Current controlling surface</w:t>
            </w:r>
          </w:p>
        </w:tc>
        <w:tc>
          <w:tcPr>
            <w:shd w:val="clear" w:color="auto" w:fill="D9EAF7"/>
            <w:vAlign w:val="center"/>
          </w:tcPr>
          <w:p>
            <w:pPr>
              <w:pStyle w:val="Compact"/>
              <w:jc w:val="left"/>
            </w:pPr>
            <w:r>
              <w:rPr>
                <w:bCs/>
                <w:b/>
                <w:color w:val="17365D"/>
              </w:rPr>
              <w:t xml:space="preserve">Minimum current rule</w:t>
            </w:r>
          </w:p>
        </w:tc>
      </w:tr>
      <w:tr>
        <w:tc>
          <w:tcPr>
            <w:vAlign w:val="top"/>
          </w:tcPr>
          <w:p>
            <w:pPr>
              <w:pStyle w:val="Compact"/>
              <w:jc w:val="left"/>
            </w:pPr>
            <w:r>
              <w:t xml:space="preserve">Ground claims</w:t>
            </w:r>
          </w:p>
        </w:tc>
        <w:tc>
          <w:tcPr>
            <w:vAlign w:val="top"/>
          </w:tcPr>
          <w:p>
            <w:pPr>
              <w:pStyle w:val="Compact"/>
              <w:jc w:val="left"/>
            </w:pPr>
            <w:r>
              <w:t xml:space="preserve">Sections 2.1A, 4, 5.7; PC-AEP v2.3; MFDI v2.3; Source-Coupling v2.3</w:t>
            </w:r>
          </w:p>
        </w:tc>
        <w:tc>
          <w:tcPr>
            <w:vAlign w:val="top"/>
          </w:tcPr>
          <w:p>
            <w:pPr>
              <w:pStyle w:val="Compact"/>
              <w:jc w:val="left"/>
            </w:pPr>
            <w:r>
              <w:t xml:space="preserve">Declare evidence, unknowns, validity domain, claim boundary, and refusal/revision trigger.</w:t>
            </w:r>
          </w:p>
        </w:tc>
      </w:tr>
      <w:tr>
        <w:tc>
          <w:tcPr>
            <w:shd w:val="clear" w:color="auto" w:fill="F7FBFE"/>
            <w:vAlign w:val="top"/>
          </w:tcPr>
          <w:p>
            <w:pPr>
              <w:pStyle w:val="Compact"/>
              <w:jc w:val="left"/>
            </w:pPr>
            <w:r>
              <w:t xml:space="preserve">Protect rights</w:t>
            </w:r>
          </w:p>
        </w:tc>
        <w:tc>
          <w:tcPr>
            <w:shd w:val="clear" w:color="auto" w:fill="F7FBFE"/>
            <w:vAlign w:val="top"/>
          </w:tcPr>
          <w:p>
            <w:pPr>
              <w:pStyle w:val="Compact"/>
              <w:jc w:val="left"/>
            </w:pPr>
            <w:r>
              <w:t xml:space="preserve">Sections 7 and Appendices B-C</w:t>
            </w:r>
          </w:p>
        </w:tc>
        <w:tc>
          <w:tcPr>
            <w:shd w:val="clear" w:color="auto" w:fill="F7FBFE"/>
            <w:vAlign w:val="top"/>
          </w:tcPr>
          <w:p>
            <w:pPr>
              <w:pStyle w:val="Compact"/>
              <w:jc w:val="left"/>
            </w:pPr>
            <w:r>
              <w:t xml:space="preserve">Apply floor, categorical, and severe-hazard channels; use the same</w:t>
            </w:r>
            <w:r>
              <w:t xml:space="preserve"> </w:t>
            </w:r>
            <w:r>
              <w:rPr>
                <w:rStyle w:val="VerbatimChar"/>
              </w:rPr>
              <w:t xml:space="preserve">SevereRightsHazardActive</w:t>
            </w:r>
            <w:r>
              <w:t xml:space="preserve"> </w:t>
            </w:r>
            <w:r>
              <w:t xml:space="preserve">predicate in activation and computation.</w:t>
            </w:r>
          </w:p>
        </w:tc>
      </w:tr>
      <w:tr>
        <w:tc>
          <w:tcPr>
            <w:vAlign w:val="top"/>
          </w:tcPr>
          <w:p>
            <w:pPr>
              <w:pStyle w:val="Compact"/>
              <w:jc w:val="left"/>
            </w:pPr>
            <w:r>
              <w:t xml:space="preserve">Bound ruin</w:t>
            </w:r>
          </w:p>
        </w:tc>
        <w:tc>
          <w:tcPr>
            <w:vAlign w:val="top"/>
          </w:tcPr>
          <w:p>
            <w:pPr>
              <w:pStyle w:val="Compact"/>
              <w:jc w:val="left"/>
            </w:pPr>
            <w:r>
              <w:t xml:space="preserve">Section 8 and Appendix D</w:t>
            </w:r>
          </w:p>
        </w:tc>
        <w:tc>
          <w:tcPr>
            <w:vAlign w:val="top"/>
          </w:tcPr>
          <w:p>
            <w:pPr>
              <w:pStyle w:val="Compact"/>
              <w:jc w:val="left"/>
            </w:pPr>
            <w:r>
              <w:t xml:space="preserve">Apply governed scenario discovery and CVaR; emergency-provisional action never becomes an ordinary pass.</w:t>
            </w:r>
          </w:p>
        </w:tc>
      </w:tr>
      <w:tr>
        <w:tc>
          <w:tcPr>
            <w:shd w:val="clear" w:color="auto" w:fill="F7FBFE"/>
            <w:vAlign w:val="top"/>
          </w:tcPr>
          <w:p>
            <w:pPr>
              <w:pStyle w:val="Compact"/>
              <w:jc w:val="left"/>
            </w:pPr>
            <w:r>
              <w:t xml:space="preserve">Verify viability</w:t>
            </w:r>
          </w:p>
        </w:tc>
        <w:tc>
          <w:tcPr>
            <w:shd w:val="clear" w:color="auto" w:fill="F7FBFE"/>
            <w:vAlign w:val="top"/>
          </w:tcPr>
          <w:p>
            <w:pPr>
              <w:pStyle w:val="Compact"/>
              <w:jc w:val="left"/>
            </w:pPr>
            <w:r>
              <w:t xml:space="preserve">Section 9; CSV v2.4</w:t>
            </w:r>
          </w:p>
        </w:tc>
        <w:tc>
          <w:tcPr>
            <w:shd w:val="clear" w:color="auto" w:fill="F7FBFE"/>
            <w:vAlign w:val="top"/>
          </w:tcPr>
          <w:p>
            <w:pPr>
              <w:pStyle w:val="Compact"/>
              <w:jc w:val="left"/>
            </w:pPr>
            <w:r>
              <w:t xml:space="preserve">Test containment, dependencies, controls, reversibility, monitoring, source coupling, and execution conditions.</w:t>
            </w:r>
          </w:p>
        </w:tc>
      </w:tr>
      <w:tr>
        <w:tc>
          <w:tcPr>
            <w:vAlign w:val="top"/>
          </w:tcPr>
          <w:p>
            <w:pPr>
              <w:pStyle w:val="Compact"/>
              <w:jc w:val="left"/>
            </w:pPr>
            <w:r>
              <w:t xml:space="preserve">Rank survivors</w:t>
            </w:r>
          </w:p>
        </w:tc>
        <w:tc>
          <w:tcPr>
            <w:vAlign w:val="top"/>
          </w:tcPr>
          <w:p>
            <w:pPr>
              <w:pStyle w:val="Compact"/>
              <w:jc w:val="left"/>
            </w:pPr>
            <w:r>
              <w:t xml:space="preserve">Section 10; WDBIP v1.6</w:t>
            </w:r>
          </w:p>
        </w:tc>
        <w:tc>
          <w:tcPr>
            <w:vAlign w:val="top"/>
          </w:tcPr>
          <w:p>
            <w:pPr>
              <w:pStyle w:val="Compact"/>
              <w:jc w:val="left"/>
            </w:pPr>
            <w:r>
              <w:t xml:space="preserve">Populate the 7x7 welfare field without duplication, normalize by active effective mass</w:t>
            </w:r>
            <w:r>
              <w:t xml:space="preserve"> </w:t>
            </w:r>
            <w:r>
              <w:rPr>
                <w:rStyle w:val="VerbatimChar"/>
              </w:rPr>
              <w:t xml:space="preserve">Q</w:t>
            </w:r>
            <w:r>
              <w:t xml:space="preserve">, and preserve uncertainty.</w:t>
            </w:r>
          </w:p>
        </w:tc>
      </w:tr>
      <w:tr>
        <w:tc>
          <w:tcPr>
            <w:shd w:val="clear" w:color="auto" w:fill="F7FBFE"/>
            <w:vAlign w:val="top"/>
          </w:tcPr>
          <w:p>
            <w:pPr>
              <w:pStyle w:val="Compact"/>
              <w:jc w:val="left"/>
            </w:pPr>
            <w:r>
              <w:t xml:space="preserve">Resolve non-decisive outcomes</w:t>
            </w:r>
          </w:p>
        </w:tc>
        <w:tc>
          <w:tcPr>
            <w:shd w:val="clear" w:color="auto" w:fill="F7FBFE"/>
            <w:vAlign w:val="top"/>
          </w:tcPr>
          <w:p>
            <w:pPr>
              <w:pStyle w:val="Compact"/>
              <w:jc w:val="left"/>
            </w:pPr>
            <w:r>
              <w:t xml:space="preserve">Sections 10.4 and 11</w:t>
            </w:r>
          </w:p>
        </w:tc>
        <w:tc>
          <w:tcPr>
            <w:shd w:val="clear" w:color="auto" w:fill="F7FBFE"/>
            <w:vAlign w:val="top"/>
          </w:tcPr>
          <w:p>
            <w:pPr>
              <w:pStyle w:val="Compact"/>
              <w:jc w:val="left"/>
            </w:pPr>
            <w:r>
              <w:t xml:space="preserve">Refuse deterministic selection; record authority selection or redesign/escalation without calling judgment mathematical proof.</w:t>
            </w:r>
          </w:p>
        </w:tc>
      </w:tr>
      <w:tr>
        <w:tc>
          <w:tcPr>
            <w:vAlign w:val="top"/>
          </w:tcPr>
          <w:p>
            <w:pPr>
              <w:pStyle w:val="Compact"/>
              <w:jc w:val="left"/>
            </w:pPr>
            <w:r>
              <w:t xml:space="preserve">Authorize and execute</w:t>
            </w:r>
          </w:p>
        </w:tc>
        <w:tc>
          <w:tcPr>
            <w:vAlign w:val="top"/>
          </w:tcPr>
          <w:p>
            <w:pPr>
              <w:pStyle w:val="Compact"/>
              <w:jc w:val="left"/>
            </w:pPr>
            <w:r>
              <w:t xml:space="preserve">Sections 11-15; Agent v12.4; ripple.md v5.5</w:t>
            </w:r>
          </w:p>
        </w:tc>
        <w:tc>
          <w:tcPr>
            <w:vAlign w:val="top"/>
          </w:tcPr>
          <w:p>
            <w:pPr>
              <w:pStyle w:val="Compact"/>
              <w:jc w:val="left"/>
            </w:pPr>
            <w:r>
              <w:t xml:space="preserve">Selection is not authorization; authorization is not safe execution; tempo and responsibility continuity must remain reconstructable.</w:t>
            </w:r>
          </w:p>
        </w:tc>
      </w:tr>
      <w:tr>
        <w:tc>
          <w:tcPr>
            <w:shd w:val="clear" w:color="auto" w:fill="F7FBFE"/>
            <w:vAlign w:val="top"/>
          </w:tcPr>
          <w:p>
            <w:pPr>
              <w:pStyle w:val="Compact"/>
              <w:jc w:val="left"/>
            </w:pPr>
            <w:r>
              <w:t xml:space="preserve">Replay and challenge</w:t>
            </w:r>
          </w:p>
        </w:tc>
        <w:tc>
          <w:tcPr>
            <w:shd w:val="clear" w:color="auto" w:fill="F7FBFE"/>
            <w:vAlign w:val="top"/>
          </w:tcPr>
          <w:p>
            <w:pPr>
              <w:pStyle w:val="Compact"/>
              <w:jc w:val="left"/>
            </w:pPr>
            <w:r>
              <w:t xml:space="preserve">Reproducibility v1.4; run schema/validator; PCC</w:t>
            </w:r>
          </w:p>
        </w:tc>
        <w:tc>
          <w:tcPr>
            <w:shd w:val="clear" w:color="auto" w:fill="F7FBFE"/>
            <w:vAlign w:val="top"/>
          </w:tcPr>
          <w:p>
            <w:pPr>
              <w:pStyle w:val="Compact"/>
              <w:jc w:val="left"/>
            </w:pPr>
            <w:r>
              <w:t xml:space="preserve">Pin evidence and parameters, preserve state transitions, report divergence, appeal, monitoring, and reopen triggers.</w:t>
            </w:r>
          </w:p>
        </w:tc>
      </w:tr>
    </w:tbl>
    <w:p>
      <w:pPr>
        <w:pStyle w:val="BodyText"/>
      </w:pPr>
      <w:r>
        <w:t xml:space="preserve">v12.6 carries forward rights-specific non-attenuation and severe-hazard handling inside RF/NCRC, governed Tail Emergency Mode, normalized RLS and PLSS, cancellation-resistant Method B uncertainty, and the v5.5 workbook SGP v8.5 interface hardening, including RMCP/P100 non-collapse controls. It additionally requires proportional CSV qualification before any ordinary RLS selection at every operational tier, removes residual active fallback-selection language, and synchronizes the Tier-2 worked example and companion surfaces.</w:t>
      </w:r>
    </w:p>
    <w:bookmarkEnd w:id="734"/>
    <w:bookmarkStart w:id="735" w:name="Xb234ca5d9e42458be46c973866d7b2e53afcfdd"/>
    <w:p>
      <w:pPr>
        <w:pStyle w:val="Heading1"/>
      </w:pPr>
      <w:bookmarkStart w:id="830" w:name="mg_toc_066"/>
      <w:r>
        <w:rPr>
          <w:bCs/>
          <w:b/>
        </w:rPr>
        <w:t xml:space="preserve">APPENDIX AQ: CURRENT CANONICAL MACHINE-STATE AND MATURITY CONTRACT (v12.6) - NORMATIVE INTERFACE</w:t>
      </w:r>
      <w:bookmarkEnd w:id="830"/>
    </w:p>
    <w:p>
      <w:pPr>
        <w:pStyle w:val="FirstParagraph"/>
      </w:pPr>
      <w:r>
        <w:t xml:space="preserve">This appendix carries forward the v12.4 machine-state and maturity contract as the current v12.6 interface. It is not historical fallback text.</w:t>
      </w:r>
    </w:p>
    <w:p>
      <w:pPr>
        <w:pStyle w:val="BodyText"/>
      </w:pPr>
      <w:r>
        <w:t xml:space="preserve">The hash-pinned</w:t>
      </w:r>
      <w:r>
        <w:t xml:space="preserve"> </w:t>
      </w:r>
      <w:r>
        <w:rPr>
          <w:rStyle w:val="VerbatimChar"/>
        </w:rPr>
        <w:t xml:space="preserve">CANONICAL_STATE_REGISTRY_v1.0.yaml</w:t>
      </w:r>
      <w:r>
        <w:t xml:space="preserve"> </w:t>
      </w:r>
      <w:r>
        <w:t xml:space="preserve">and</w:t>
      </w:r>
      <w:r>
        <w:t xml:space="preserve"> </w:t>
      </w:r>
      <w:r>
        <w:rPr>
          <w:rStyle w:val="VerbatimChar"/>
        </w:rPr>
        <w:t xml:space="preserve">STATE_TRANSITION_MATRIX_v1.0.json</w:t>
      </w:r>
      <w:r>
        <w:t xml:space="preserve"> </w:t>
      </w:r>
      <w:r>
        <w:t xml:space="preserve">are the controlling machine-state surfaces for run-record v4. Documentation, schema, validator, workbook exports, and tests SHALL use the same emitted tokens.</w:t>
      </w:r>
      <w:r>
        <w:t xml:space="preserve"> </w:t>
      </w:r>
      <w:r>
        <w:rPr>
          <w:rStyle w:val="VerbatimChar"/>
        </w:rPr>
        <w:t xml:space="preserve">CSV_REDESIGN</w:t>
      </w:r>
      <w:r>
        <w:t xml:space="preserve"> </w:t>
      </w:r>
      <w:r>
        <w:t xml:space="preserve">is accepted only as a deprecated migration alias and normalizes to</w:t>
      </w:r>
      <w:r>
        <w:t xml:space="preserve"> </w:t>
      </w:r>
      <w:r>
        <w:rPr>
          <w:rStyle w:val="VerbatimChar"/>
        </w:rPr>
        <w:t xml:space="preserve">CSV_REDESIGN_REQUIRED</w:t>
      </w:r>
      <w:r>
        <w:t xml:space="preserve"> </w:t>
      </w:r>
      <w:r>
        <w:t xml:space="preserve">with a warning.</w:t>
      </w:r>
    </w:p>
    <w:p>
      <w:pPr>
        <w:pStyle w:val="BodyText"/>
      </w:pPr>
      <w:r>
        <w:t xml:space="preserve">The typed</w:t>
      </w:r>
      <w:r>
        <w:t xml:space="preserve"> </w:t>
      </w:r>
      <w:r>
        <w:rPr>
          <w:rStyle w:val="VerbatimChar"/>
        </w:rPr>
        <w:t xml:space="preserve">MEASUREMENT_AND_PARAMETER_MATURITY_REGISTER_v1.0</w:t>
      </w:r>
      <w:r>
        <w:t xml:space="preserve"> </w:t>
      </w:r>
      <w:r>
        <w:t xml:space="preserve">separates empirical constructs, model components, normative priors, governance conventions, and unavailable design targets. A normative prior is not an unvalidated empirical measurement awaiting promotion. Framework-level validation or superiority claims cannot rest decisively on below-threshold empirical constructs or model components, and normative commitments cannot be laundered as empirical constants.</w:t>
      </w:r>
    </w:p>
    <w:p>
      <w:pPr>
        <w:pStyle w:val="BodyText"/>
      </w:pPr>
      <w:r>
        <w:t xml:space="preserve">WDBIP owns WDBIP-specific profile, effect-token classification, token-level pathway, migration, schema, and validator surfaces. SGP owns MPS, FPP, GPR, SPR, ICP, RMCP, P100, and their misuse-review fields. The Canon owns Union Scope redundancy methods, allocation constraints, gate states, RLS weights, and the maturity-register type system.</w:t>
      </w:r>
    </w:p>
    <w:bookmarkEnd w:id="735"/>
    <w:bookmarkStart w:id="748" w:name="X8a22ffef6479058867a73072f60e26d4ca14828"/>
    <w:p>
      <w:pPr>
        <w:pStyle w:val="Heading1"/>
      </w:pPr>
      <w:bookmarkStart w:id="831" w:name="mg_toc_067"/>
      <w:r>
        <w:rPr>
          <w:bCs/>
          <w:b/>
        </w:rPr>
        <w:t xml:space="preserve">APPENDIX AQ-1: CONFIGURATION-BOUND ASSURANCE AND READER NAVIGATION (CURRENT)</w:t>
      </w:r>
      <w:bookmarkEnd w:id="831"/>
    </w:p>
    <w:p>
      <w:pPr>
        <w:pStyle w:val="FirstParagraph"/>
      </w:pPr>
      <w:r>
        <w:t xml:space="preserve">This release adds a cross-cutting assurance discipline without adding a gate, changing the seven Union Scopes, changing the seven Welfare Dimensions, changing numerical defaults, or altering the RG -&gt; RF/NCRC -&gt; TRC -&gt; CSV -&gt; RLS cascade.</w:t>
      </w:r>
    </w:p>
    <w:bookmarkStart w:id="736" w:name="X317e732c89e21c777a48bdf934cb3bfeea7cf4e"/>
    <w:p>
      <w:pPr>
        <w:pStyle w:val="Heading2"/>
      </w:pPr>
      <w:r>
        <w:rPr>
          <w:bCs/>
          <w:b/>
        </w:rPr>
        <w:t xml:space="preserve">Release-specific abstract notes relocated from the opening summary</w:t>
      </w:r>
    </w:p>
    <w:p>
      <w:pPr>
        <w:pStyle w:val="FirstParagraph"/>
      </w:pPr>
      <w:r>
        <w:t xml:space="preserve">The v12.6 / SGP v8.5 integration preserves proportional CSV qualification and the existing rights, ruin, and score hardening while replacing the legacy SGP protection surface interface with separate MPS, FPP, GPR, SPR, and ICP surfaces. It makes the protection-versus-authority separation computational rather than merely interpretive, requires interval sensitivity for SGP-aware residual welfare ranking, and prevents full protection from being misread as CMIU membership or consequential authority. It carries forward the v11.0 Term Discrimination and Semantic Stability Patch and makes the discriminator, dependency position, non-collapse risks, and refusal condition explicit for material terms so that governance does not proceed through collapsed language. The v12.6 integration preserves a claim-falsification and dependency-integrity discipline inside Reality Grounding and downstream validation: material claims must declare claim type, dependency position, assumptions, alternative explanations, evidence/test surface, falsification or revision trigger, and re-derivation scope when foundations change.</w:t>
      </w:r>
    </w:p>
    <w:bookmarkEnd w:id="736"/>
    <w:bookmarkStart w:id="737" w:name="configuration-bound-assurance-principle"/>
    <w:p>
      <w:pPr>
        <w:pStyle w:val="Heading2"/>
      </w:pPr>
      <w:r>
        <w:rPr>
          <w:bCs/>
          <w:b/>
        </w:rPr>
        <w:t xml:space="preserve">Configuration-Bound Assurance Principle</w:t>
      </w:r>
    </w:p>
    <w:p>
      <w:pPr>
        <w:pStyle w:val="FirstParagraph"/>
      </w:pPr>
      <w:r>
        <w:t xml:space="preserve">Every claim concerning capability, safety, physical admissibility, reliability, rights impact, containment, expected consequences, selectability, or authorization MUST be indexed to the declared system configuration, version, control stack, authority state, operating environment, and validity envelope under which the claim was established. A claim established for one configuration does not automatically transfer to a materially changed configuration.</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Required distinction</w:t>
            </w:r>
          </w:p>
        </w:tc>
        <w:tc>
          <w:tcPr>
            <w:shd w:val="clear" w:color="auto" w:fill="D9EAF7"/>
            <w:vAlign w:val="center"/>
          </w:tcPr>
          <w:p>
            <w:pPr>
              <w:pStyle w:val="Compact"/>
              <w:jc w:val="left"/>
            </w:pPr>
            <w:r>
              <w:rPr>
                <w:bCs/>
                <w:b/>
                <w:color w:val="17365D"/>
              </w:rPr>
              <w:t xml:space="preserve">Canonical rule</w:t>
            </w:r>
          </w:p>
        </w:tc>
      </w:tr>
      <w:tr>
        <w:tc>
          <w:tcPr>
            <w:vAlign w:val="top"/>
          </w:tcPr>
          <w:p>
            <w:pPr>
              <w:pStyle w:val="Compact"/>
              <w:jc w:val="left"/>
            </w:pPr>
            <w:r>
              <w:t xml:space="preserve">Configuration vs capability</w:t>
            </w:r>
          </w:p>
        </w:tc>
        <w:tc>
          <w:tcPr>
            <w:vAlign w:val="top"/>
          </w:tcPr>
          <w:p>
            <w:pPr>
              <w:pStyle w:val="Compact"/>
              <w:jc w:val="left"/>
            </w:pPr>
            <w:r>
              <w:t xml:space="preserve">A configuration enables and constrains a capability envelope; observing one successful process does not establish the complete envelope or its failure boundary.</w:t>
            </w:r>
          </w:p>
        </w:tc>
      </w:tr>
      <w:tr>
        <w:tc>
          <w:tcPr>
            <w:shd w:val="clear" w:color="auto" w:fill="F7FBFE"/>
            <w:vAlign w:val="top"/>
          </w:tcPr>
          <w:p>
            <w:pPr>
              <w:pStyle w:val="Compact"/>
              <w:jc w:val="left"/>
            </w:pPr>
            <w:r>
              <w:t xml:space="preserve">Capability vs authority</w:t>
            </w:r>
          </w:p>
        </w:tc>
        <w:tc>
          <w:tcPr>
            <w:shd w:val="clear" w:color="auto" w:fill="F7FBFE"/>
            <w:vAlign w:val="top"/>
          </w:tcPr>
          <w:p>
            <w:pPr>
              <w:pStyle w:val="Compact"/>
              <w:jc w:val="left"/>
            </w:pPr>
            <w:r>
              <w:t xml:space="preserve">Latent, available, enabled, authorized, selected, execution-approved, executed, and observed-outcome states are not interchangeable.</w:t>
            </w:r>
          </w:p>
        </w:tc>
      </w:tr>
      <w:tr>
        <w:tc>
          <w:tcPr>
            <w:vAlign w:val="top"/>
          </w:tcPr>
          <w:p>
            <w:pPr>
              <w:pStyle w:val="Compact"/>
              <w:jc w:val="left"/>
            </w:pPr>
            <w:r>
              <w:t xml:space="preserve">State vs transition vs post-state</w:t>
            </w:r>
          </w:p>
        </w:tc>
        <w:tc>
          <w:tcPr>
            <w:vAlign w:val="top"/>
          </w:tcPr>
          <w:p>
            <w:pPr>
              <w:pStyle w:val="Compact"/>
              <w:jc w:val="left"/>
            </w:pPr>
            <w:r>
              <w:t xml:space="preserve">A valid current state does not establish a valid transition; a valid transition does not establish a viable resulting state.</w:t>
            </w:r>
          </w:p>
        </w:tc>
      </w:tr>
      <w:tr>
        <w:tc>
          <w:tcPr>
            <w:shd w:val="clear" w:color="auto" w:fill="F7FBFE"/>
            <w:vAlign w:val="top"/>
          </w:tcPr>
          <w:p>
            <w:pPr>
              <w:pStyle w:val="Compact"/>
              <w:jc w:val="left"/>
            </w:pPr>
            <w:r>
              <w:t xml:space="preserve">Qualification continuity</w:t>
            </w:r>
          </w:p>
        </w:tc>
        <w:tc>
          <w:tcPr>
            <w:shd w:val="clear" w:color="auto" w:fill="F7FBFE"/>
            <w:vAlign w:val="top"/>
          </w:tcPr>
          <w:p>
            <w:pPr>
              <w:pStyle w:val="Compact"/>
              <w:jc w:val="left"/>
            </w:pPr>
            <w:r>
              <w:t xml:space="preserve">Qualification is configuration-bound, evidence-bound, authority-bound, control-bound, domain-bound, and time-bound. Material change suspends inherited authority until requalification.</w:t>
            </w:r>
          </w:p>
        </w:tc>
      </w:tr>
      <w:tr>
        <w:tc>
          <w:tcPr>
            <w:vAlign w:val="top"/>
          </w:tcPr>
          <w:p>
            <w:pPr>
              <w:pStyle w:val="Compact"/>
              <w:jc w:val="left"/>
            </w:pPr>
            <w:r>
              <w:t xml:space="preserve">Structural control preference</w:t>
            </w:r>
          </w:p>
        </w:tc>
        <w:tc>
          <w:tcPr>
            <w:vAlign w:val="top"/>
          </w:tcPr>
          <w:p>
            <w:pPr>
              <w:pStyle w:val="Compact"/>
              <w:jc w:val="left"/>
            </w:pPr>
            <w:r>
              <w:t xml:space="preserve">Where feasible and rights-compatible, remove or bound the enabling pathway before relying only on behavioral expectation, confidence scoring, or downstream detection.</w:t>
            </w:r>
          </w:p>
        </w:tc>
      </w:tr>
      <w:tr>
        <w:tc>
          <w:tcPr>
            <w:shd w:val="clear" w:color="auto" w:fill="F7FBFE"/>
            <w:vAlign w:val="top"/>
          </w:tcPr>
          <w:p>
            <w:pPr>
              <w:pStyle w:val="Compact"/>
              <w:jc w:val="left"/>
            </w:pPr>
            <w:r>
              <w:t xml:space="preserve">Future option space</w:t>
            </w:r>
          </w:p>
        </w:tc>
        <w:tc>
          <w:tcPr>
            <w:shd w:val="clear" w:color="auto" w:fill="F7FBFE"/>
            <w:vAlign w:val="top"/>
          </w:tcPr>
          <w:p>
            <w:pPr>
              <w:pStyle w:val="Compact"/>
              <w:jc w:val="left"/>
            </w:pPr>
            <w:r>
              <w:t xml:space="preserve">Tier 2-3 CSV analysis records whether an option expands, preserves, narrows, or irreversibly collapses future rights-compatible and structurally viable choices.</w:t>
            </w:r>
          </w:p>
        </w:tc>
      </w:tr>
    </w:tbl>
    <w:bookmarkEnd w:id="737"/>
    <w:bookmarkStart w:id="738" w:name="recursive-configuration-process-model"/>
    <w:p>
      <w:pPr>
        <w:pStyle w:val="Heading2"/>
      </w:pPr>
      <w:r>
        <w:rPr>
          <w:bCs/>
          <w:b/>
        </w:rPr>
        <w:t xml:space="preserve">Recursive configuration-process model</w:t>
      </w:r>
    </w:p>
    <w:p>
      <w:pPr>
        <w:pStyle w:val="FirstParagraph"/>
      </w:pPr>
      <w:r>
        <w:t xml:space="preserve">For assurance purposes, MathGov uses the bounded recursive relation:</w:t>
      </w:r>
    </w:p>
    <w:p>
      <w:pPr>
        <w:pStyle w:val="BodyText"/>
      </w:pPr>
      <w:r>
        <w:rPr>
          <w:rStyle w:val="VerbatimChar"/>
        </w:rPr>
        <w:t xml:space="preserve">(C_t, E_t) -&gt; K_t -&gt; A_t -&gt; P_t -&gt; (C_{t+1}, E_{t+1})</w:t>
      </w:r>
    </w:p>
    <w:p>
      <w:pPr>
        <w:pStyle w:val="BodyText"/>
      </w:pPr>
      <w:r>
        <w:t xml:space="preserve">where</w:t>
      </w:r>
      <w:r>
        <w:t xml:space="preserve"> </w:t>
      </w:r>
      <w:r>
        <w:rPr>
          <w:rStyle w:val="VerbatimChar"/>
        </w:rPr>
        <w:t xml:space="preserve">C_t</w:t>
      </w:r>
      <w:r>
        <w:t xml:space="preserve"> </w:t>
      </w:r>
      <w:r>
        <w:t xml:space="preserve">is the declared configuration,</w:t>
      </w:r>
      <w:r>
        <w:t xml:space="preserve"> </w:t>
      </w:r>
      <w:r>
        <w:rPr>
          <w:rStyle w:val="VerbatimChar"/>
        </w:rPr>
        <w:t xml:space="preserve">E_t</w:t>
      </w:r>
      <w:r>
        <w:t xml:space="preserve"> </w:t>
      </w:r>
      <w:r>
        <w:t xml:space="preserve">the relevant environment,</w:t>
      </w:r>
      <w:r>
        <w:t xml:space="preserve"> </w:t>
      </w:r>
      <w:r>
        <w:rPr>
          <w:rStyle w:val="VerbatimChar"/>
        </w:rPr>
        <w:t xml:space="preserve">K_t</w:t>
      </w:r>
      <w:r>
        <w:t xml:space="preserve"> </w:t>
      </w:r>
      <w:r>
        <w:t xml:space="preserve">the capability envelope,</w:t>
      </w:r>
      <w:r>
        <w:t xml:space="preserve"> </w:t>
      </w:r>
      <w:r>
        <w:rPr>
          <w:rStyle w:val="VerbatimChar"/>
        </w:rPr>
        <w:t xml:space="preserve">A_t</w:t>
      </w:r>
      <w:r>
        <w:t xml:space="preserve"> </w:t>
      </w:r>
      <w:r>
        <w:t xml:space="preserve">the admissible and authorized action set,</w:t>
      </w:r>
      <w:r>
        <w:t xml:space="preserve"> </w:t>
      </w:r>
      <w:r>
        <w:rPr>
          <w:rStyle w:val="VerbatimChar"/>
        </w:rPr>
        <w:t xml:space="preserve">P_t</w:t>
      </w:r>
      <w:r>
        <w:t xml:space="preserve"> </w:t>
      </w:r>
      <w:r>
        <w:t xml:space="preserve">the selected and executed process, and</w:t>
      </w:r>
      <w:r>
        <w:t xml:space="preserve"> </w:t>
      </w:r>
      <w:r>
        <w:rPr>
          <w:rStyle w:val="VerbatimChar"/>
        </w:rPr>
        <w:t xml:space="preserve">C_{t+1}</w:t>
      </w:r>
      <w:r>
        <w:t xml:space="preserve"> </w:t>
      </w:r>
      <w:r>
        <w:t xml:space="preserve">the resulting configuration. Current configuration constrains current capabilities; executed processes can alter future configuration and future capabilities.</w:t>
      </w:r>
    </w:p>
    <w:bookmarkEnd w:id="738"/>
    <w:bookmarkStart w:id="739" w:name="frozen-evaluation-binding"/>
    <w:p>
      <w:pPr>
        <w:pStyle w:val="Heading2"/>
      </w:pPr>
      <w:r>
        <w:rPr>
          <w:bCs/>
          <w:b/>
        </w:rPr>
        <w:t xml:space="preserve">Frozen evaluation binding</w:t>
      </w:r>
    </w:p>
    <w:p>
      <w:pPr>
        <w:pStyle w:val="FirstParagraph"/>
      </w:pPr>
      <w:r>
        <w:t xml:space="preserve">Before consequential comparison, the decision question, configuration, system boundary, evidence schema, stakeholder scope, rights interpretation, scenario families, materiality thresholds, uncertainty treatment, control requirements, weighting protocol, stopping conditions, and authorization pathway MUST be frozen and versioned for that run. A material post-result change creates a new run or a declared revision branch; it may not be represented as uninterrupted continuation of the original evaluation.</w:t>
      </w:r>
    </w:p>
    <w:bookmarkEnd w:id="739"/>
    <w:bookmarkStart w:id="740" w:name="requalification-triggers"/>
    <w:p>
      <w:pPr>
        <w:pStyle w:val="Heading2"/>
      </w:pPr>
      <w:r>
        <w:rPr>
          <w:bCs/>
          <w:b/>
        </w:rPr>
        <w:t xml:space="preserve">Requalification triggers</w:t>
      </w:r>
    </w:p>
    <w:p>
      <w:pPr>
        <w:pStyle w:val="FirstParagraph"/>
      </w:pPr>
      <w:r>
        <w:t xml:space="preserve">Requalification is required when a material model, software, hardware, sensor, tool, permission, control, environmental, legal, authority, stakeholder, evidence, dependency, risk, monitoring, shutdown, or operating-envelope condition changes; after a material incident or near miss; or when cumulative wear, drift, capability emergence, or new evidence weakens a prior warrant.</w:t>
      </w:r>
    </w:p>
    <w:bookmarkEnd w:id="740"/>
    <w:bookmarkStart w:id="741" w:name="open-assurance-dependency-rule"/>
    <w:p>
      <w:pPr>
        <w:pStyle w:val="Heading2"/>
      </w:pPr>
      <w:r>
        <w:rPr>
          <w:bCs/>
          <w:b/>
        </w:rPr>
        <w:t xml:space="preserve">Open Assurance Dependency Rule</w:t>
      </w:r>
    </w:p>
    <w:p>
      <w:pPr>
        <w:pStyle w:val="FirstParagraph"/>
      </w:pPr>
      <w:r>
        <w:t xml:space="preserve">A proprietary, opaque, non-reproducible, or independently uninspectable component may contribute evidence, but it may not serve as the sole warrant for a Rights Floor, catastrophic-risk, structural-viability, selectability, or authorization conclusion. Decisive reliance requires a declared version and configuration, inputs and outputs, validity domain, test conditions, known failure modes, uncertainty bounds, challenge interface, provenance, fallback behavior, and independent evaluation proportionate to stakes.</w:t>
      </w:r>
    </w:p>
    <w:bookmarkEnd w:id="741"/>
    <w:bookmarkStart w:id="742" w:name="implementation-milestone-claim-boundary"/>
    <w:p>
      <w:pPr>
        <w:pStyle w:val="Heading2"/>
      </w:pPr>
      <w:r>
        <w:rPr>
          <w:bCs/>
          <w:b/>
        </w:rPr>
        <w:t xml:space="preserve">Implementation-milestone claim boundary</w:t>
      </w:r>
    </w:p>
    <w:p>
      <w:pPr>
        <w:pStyle w:val="FirstParagraph"/>
      </w:pPr>
      <w:r>
        <w:t xml:space="preserve">Successful compilation, synthesis, simulation, hardware realization, integration, or benchmark execution establishes only the milestone actually demonstrated. It does not by itself establish empirical superiority, domain validity, physical safety, ontological truth, rights compatibility, lawful authority, or deployment readiness. The scientific sequence is: derive, implement, attempt to falsify, measure, publish, independently replay, and revise.</w:t>
      </w:r>
    </w:p>
    <w:bookmarkEnd w:id="742"/>
    <w:bookmarkStart w:id="746" w:name="how-to-read-this-canon"/>
    <w:p>
      <w:pPr>
        <w:pStyle w:val="Heading2"/>
      </w:pPr>
      <w:r>
        <w:rPr>
          <w:bCs/>
          <w:b/>
        </w:rPr>
        <w:t xml:space="preserve">How to read this Canon</w:t>
      </w:r>
    </w:p>
    <w:p>
      <w:pPr>
        <w:pStyle w:val="FirstParagraph"/>
      </w:pPr>
      <w:r>
        <w:t xml:space="preserve">Read the current rules first. The architecture and active obligations are controlling; historical release notes are retained in Appendix AR for provenance and migration only. The Markdown Canon is the governing semantic source if a derived DOCX or PDF reading mirror diverges.</w:t>
      </w:r>
    </w:p>
    <w:bookmarkStart w:id="743" w:name="current-rules-only-navigation"/>
    <w:p>
      <w:pPr>
        <w:pStyle w:val="Heading3"/>
      </w:pPr>
      <w:r>
        <w:rPr>
          <w:bCs/>
          <w:b/>
        </w:rPr>
        <w:t xml:space="preserve">Current rules-only navigation</w:t>
      </w:r>
    </w:p>
    <w:p>
      <w:pPr>
        <w:pStyle w:val="FirstParagraph"/>
      </w:pPr>
      <w:r>
        <w:t xml:space="preserve">This navigation layer is not a second specification. It points implementers to the current controlling surfaces while keeping historical lineage separate.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Decision function</w:t>
            </w:r>
          </w:p>
        </w:tc>
        <w:tc>
          <w:tcPr>
            <w:shd w:val="clear" w:color="auto" w:fill="D9EAF7"/>
            <w:vAlign w:val="center"/>
          </w:tcPr>
          <w:p>
            <w:pPr>
              <w:pStyle w:val="Compact"/>
              <w:jc w:val="left"/>
            </w:pPr>
            <w:r>
              <w:rPr>
                <w:bCs/>
                <w:b/>
                <w:color w:val="17365D"/>
              </w:rPr>
              <w:t xml:space="preserve">Current controlling surface</w:t>
            </w:r>
          </w:p>
        </w:tc>
        <w:tc>
          <w:tcPr>
            <w:shd w:val="clear" w:color="auto" w:fill="D9EAF7"/>
            <w:vAlign w:val="center"/>
          </w:tcPr>
          <w:p>
            <w:pPr>
              <w:pStyle w:val="Compact"/>
              <w:jc w:val="left"/>
            </w:pPr>
            <w:r>
              <w:rPr>
                <w:bCs/>
                <w:b/>
                <w:color w:val="17365D"/>
              </w:rPr>
              <w:t xml:space="preserve">Minimum current rule</w:t>
            </w:r>
          </w:p>
        </w:tc>
      </w:tr>
      <w:tr>
        <w:tc>
          <w:tcPr>
            <w:vAlign w:val="top"/>
          </w:tcPr>
          <w:p>
            <w:pPr>
              <w:pStyle w:val="Compact"/>
              <w:jc w:val="left"/>
            </w:pPr>
            <w:r>
              <w:t xml:space="preserve">Ground claims</w:t>
            </w:r>
          </w:p>
        </w:tc>
        <w:tc>
          <w:tcPr>
            <w:vAlign w:val="top"/>
          </w:tcPr>
          <w:p>
            <w:pPr>
              <w:pStyle w:val="Compact"/>
              <w:jc w:val="left"/>
            </w:pPr>
            <w:r>
              <w:t xml:space="preserve">Sections 2.1A, 4, 5.7; PC-AEP v2.3; MFDI v2.3; Source-Coupling v2.3</w:t>
            </w:r>
          </w:p>
        </w:tc>
        <w:tc>
          <w:tcPr>
            <w:vAlign w:val="top"/>
          </w:tcPr>
          <w:p>
            <w:pPr>
              <w:pStyle w:val="Compact"/>
              <w:jc w:val="left"/>
            </w:pPr>
            <w:r>
              <w:t xml:space="preserve">Declare evidence, unknowns, validity domain, claim boundary, and refusal/revision trigger.</w:t>
            </w:r>
          </w:p>
        </w:tc>
      </w:tr>
      <w:tr>
        <w:tc>
          <w:tcPr>
            <w:shd w:val="clear" w:color="auto" w:fill="F7FBFE"/>
            <w:vAlign w:val="top"/>
          </w:tcPr>
          <w:p>
            <w:pPr>
              <w:pStyle w:val="Compact"/>
              <w:jc w:val="left"/>
            </w:pPr>
            <w:r>
              <w:t xml:space="preserve">Protect rights</w:t>
            </w:r>
          </w:p>
        </w:tc>
        <w:tc>
          <w:tcPr>
            <w:shd w:val="clear" w:color="auto" w:fill="F7FBFE"/>
            <w:vAlign w:val="top"/>
          </w:tcPr>
          <w:p>
            <w:pPr>
              <w:pStyle w:val="Compact"/>
              <w:jc w:val="left"/>
            </w:pPr>
            <w:r>
              <w:t xml:space="preserve">Sections 7 and Appendices B-C</w:t>
            </w:r>
          </w:p>
        </w:tc>
        <w:tc>
          <w:tcPr>
            <w:shd w:val="clear" w:color="auto" w:fill="F7FBFE"/>
            <w:vAlign w:val="top"/>
          </w:tcPr>
          <w:p>
            <w:pPr>
              <w:pStyle w:val="Compact"/>
              <w:jc w:val="left"/>
            </w:pPr>
            <w:r>
              <w:t xml:space="preserve">Apply floor, categorical, and severe-hazard channels; use the same</w:t>
            </w:r>
            <w:r>
              <w:t xml:space="preserve"> </w:t>
            </w:r>
            <w:r>
              <w:rPr>
                <w:rStyle w:val="VerbatimChar"/>
              </w:rPr>
              <w:t xml:space="preserve">SevereRightsHazardActive</w:t>
            </w:r>
            <w:r>
              <w:t xml:space="preserve"> </w:t>
            </w:r>
            <w:r>
              <w:t xml:space="preserve">predicate in activation and computation.</w:t>
            </w:r>
          </w:p>
        </w:tc>
      </w:tr>
      <w:tr>
        <w:tc>
          <w:tcPr>
            <w:vAlign w:val="top"/>
          </w:tcPr>
          <w:p>
            <w:pPr>
              <w:pStyle w:val="Compact"/>
              <w:jc w:val="left"/>
            </w:pPr>
            <w:r>
              <w:t xml:space="preserve">Bound ruin</w:t>
            </w:r>
          </w:p>
        </w:tc>
        <w:tc>
          <w:tcPr>
            <w:vAlign w:val="top"/>
          </w:tcPr>
          <w:p>
            <w:pPr>
              <w:pStyle w:val="Compact"/>
              <w:jc w:val="left"/>
            </w:pPr>
            <w:r>
              <w:t xml:space="preserve">Section 8 and Appendix D</w:t>
            </w:r>
          </w:p>
        </w:tc>
        <w:tc>
          <w:tcPr>
            <w:vAlign w:val="top"/>
          </w:tcPr>
          <w:p>
            <w:pPr>
              <w:pStyle w:val="Compact"/>
              <w:jc w:val="left"/>
            </w:pPr>
            <w:r>
              <w:t xml:space="preserve">Apply governed scenario discovery and CVaR; emergency-provisional action never becomes an ordinary pass.</w:t>
            </w:r>
          </w:p>
        </w:tc>
      </w:tr>
      <w:tr>
        <w:tc>
          <w:tcPr>
            <w:shd w:val="clear" w:color="auto" w:fill="F7FBFE"/>
            <w:vAlign w:val="top"/>
          </w:tcPr>
          <w:p>
            <w:pPr>
              <w:pStyle w:val="Compact"/>
              <w:jc w:val="left"/>
            </w:pPr>
            <w:r>
              <w:t xml:space="preserve">Verify viability</w:t>
            </w:r>
          </w:p>
        </w:tc>
        <w:tc>
          <w:tcPr>
            <w:shd w:val="clear" w:color="auto" w:fill="F7FBFE"/>
            <w:vAlign w:val="top"/>
          </w:tcPr>
          <w:p>
            <w:pPr>
              <w:pStyle w:val="Compact"/>
              <w:jc w:val="left"/>
            </w:pPr>
            <w:r>
              <w:t xml:space="preserve">Section 9; CSV v2.4</w:t>
            </w:r>
          </w:p>
        </w:tc>
        <w:tc>
          <w:tcPr>
            <w:shd w:val="clear" w:color="auto" w:fill="F7FBFE"/>
            <w:vAlign w:val="top"/>
          </w:tcPr>
          <w:p>
            <w:pPr>
              <w:pStyle w:val="Compact"/>
              <w:jc w:val="left"/>
            </w:pPr>
            <w:r>
              <w:t xml:space="preserve">Test containment, dependencies, controls, reversibility, monitoring, source coupling, and execution conditions.</w:t>
            </w:r>
          </w:p>
        </w:tc>
      </w:tr>
      <w:tr>
        <w:tc>
          <w:tcPr>
            <w:vAlign w:val="top"/>
          </w:tcPr>
          <w:p>
            <w:pPr>
              <w:pStyle w:val="Compact"/>
              <w:jc w:val="left"/>
            </w:pPr>
            <w:r>
              <w:t xml:space="preserve">Rank survivors</w:t>
            </w:r>
          </w:p>
        </w:tc>
        <w:tc>
          <w:tcPr>
            <w:vAlign w:val="top"/>
          </w:tcPr>
          <w:p>
            <w:pPr>
              <w:pStyle w:val="Compact"/>
              <w:jc w:val="left"/>
            </w:pPr>
            <w:r>
              <w:t xml:space="preserve">Section 10; WDBIP v1.6</w:t>
            </w:r>
          </w:p>
        </w:tc>
        <w:tc>
          <w:tcPr>
            <w:vAlign w:val="top"/>
          </w:tcPr>
          <w:p>
            <w:pPr>
              <w:pStyle w:val="Compact"/>
              <w:jc w:val="left"/>
            </w:pPr>
            <w:r>
              <w:t xml:space="preserve">Populate the 7x7 welfare field without duplication, normalize by active effective mass</w:t>
            </w:r>
            <w:r>
              <w:t xml:space="preserve"> </w:t>
            </w:r>
            <w:r>
              <w:rPr>
                <w:rStyle w:val="VerbatimChar"/>
              </w:rPr>
              <w:t xml:space="preserve">Q</w:t>
            </w:r>
            <w:r>
              <w:t xml:space="preserve">, and preserve uncertainty.</w:t>
            </w:r>
          </w:p>
        </w:tc>
      </w:tr>
      <w:tr>
        <w:tc>
          <w:tcPr>
            <w:shd w:val="clear" w:color="auto" w:fill="F7FBFE"/>
            <w:vAlign w:val="top"/>
          </w:tcPr>
          <w:p>
            <w:pPr>
              <w:pStyle w:val="Compact"/>
              <w:jc w:val="left"/>
            </w:pPr>
            <w:r>
              <w:t xml:space="preserve">Resolve non-decisive outcomes</w:t>
            </w:r>
          </w:p>
        </w:tc>
        <w:tc>
          <w:tcPr>
            <w:shd w:val="clear" w:color="auto" w:fill="F7FBFE"/>
            <w:vAlign w:val="top"/>
          </w:tcPr>
          <w:p>
            <w:pPr>
              <w:pStyle w:val="Compact"/>
              <w:jc w:val="left"/>
            </w:pPr>
            <w:r>
              <w:t xml:space="preserve">Sections 10.4 and 11</w:t>
            </w:r>
          </w:p>
        </w:tc>
        <w:tc>
          <w:tcPr>
            <w:shd w:val="clear" w:color="auto" w:fill="F7FBFE"/>
            <w:vAlign w:val="top"/>
          </w:tcPr>
          <w:p>
            <w:pPr>
              <w:pStyle w:val="Compact"/>
              <w:jc w:val="left"/>
            </w:pPr>
            <w:r>
              <w:t xml:space="preserve">Refuse deterministic selection; record authority selection or redesign/escalation without calling judgment mathematical proof.</w:t>
            </w:r>
          </w:p>
        </w:tc>
      </w:tr>
      <w:tr>
        <w:tc>
          <w:tcPr>
            <w:vAlign w:val="top"/>
          </w:tcPr>
          <w:p>
            <w:pPr>
              <w:pStyle w:val="Compact"/>
              <w:jc w:val="left"/>
            </w:pPr>
            <w:r>
              <w:t xml:space="preserve">Authorize and execute</w:t>
            </w:r>
          </w:p>
        </w:tc>
        <w:tc>
          <w:tcPr>
            <w:vAlign w:val="top"/>
          </w:tcPr>
          <w:p>
            <w:pPr>
              <w:pStyle w:val="Compact"/>
              <w:jc w:val="left"/>
            </w:pPr>
            <w:r>
              <w:t xml:space="preserve">Sections 11-15; Agent v12.4; ripple.md v5.5</w:t>
            </w:r>
          </w:p>
        </w:tc>
        <w:tc>
          <w:tcPr>
            <w:vAlign w:val="top"/>
          </w:tcPr>
          <w:p>
            <w:pPr>
              <w:pStyle w:val="Compact"/>
              <w:jc w:val="left"/>
            </w:pPr>
            <w:r>
              <w:t xml:space="preserve">Selection is not authorization; authorization is not safe execution; tempo and responsibility continuity must remain reconstructable.</w:t>
            </w:r>
          </w:p>
        </w:tc>
      </w:tr>
      <w:tr>
        <w:tc>
          <w:tcPr>
            <w:shd w:val="clear" w:color="auto" w:fill="F7FBFE"/>
            <w:vAlign w:val="top"/>
          </w:tcPr>
          <w:p>
            <w:pPr>
              <w:pStyle w:val="Compact"/>
              <w:jc w:val="left"/>
            </w:pPr>
            <w:r>
              <w:t xml:space="preserve">Replay and challenge</w:t>
            </w:r>
          </w:p>
        </w:tc>
        <w:tc>
          <w:tcPr>
            <w:shd w:val="clear" w:color="auto" w:fill="F7FBFE"/>
            <w:vAlign w:val="top"/>
          </w:tcPr>
          <w:p>
            <w:pPr>
              <w:pStyle w:val="Compact"/>
              <w:jc w:val="left"/>
            </w:pPr>
            <w:r>
              <w:t xml:space="preserve">Reproducibility v1.4; run schema/validator; PCC</w:t>
            </w:r>
          </w:p>
        </w:tc>
        <w:tc>
          <w:tcPr>
            <w:shd w:val="clear" w:color="auto" w:fill="F7FBFE"/>
            <w:vAlign w:val="top"/>
          </w:tcPr>
          <w:p>
            <w:pPr>
              <w:pStyle w:val="Compact"/>
              <w:jc w:val="left"/>
            </w:pPr>
            <w:r>
              <w:t xml:space="preserve">Pin evidence and parameters, preserve state transitions, report divergence, appeal, monitoring, and reopen triggers.</w:t>
            </w:r>
          </w:p>
        </w:tc>
      </w:tr>
    </w:tbl>
    <w:p>
      <w:pPr>
        <w:pStyle w:val="BodyText"/>
      </w:pPr>
      <w:r>
        <w:t xml:space="preserve">For the full navigation note and current machine-state interface, see Appendices AP-AQ.</w:t>
      </w:r>
    </w:p>
    <w:bookmarkEnd w:id="743"/>
    <w:bookmarkStart w:id="744" w:name="X4b354691189e6f519c16669005fb89da81645d7"/>
    <w:p>
      <w:pPr>
        <w:pStyle w:val="Heading3"/>
      </w:pPr>
      <w:r>
        <w:rPr>
          <w:bCs/>
          <w:b/>
        </w:rPr>
        <w:t xml:space="preserve">Maturity and assurance ladders: type crosswalk (Informative)</w:t>
      </w:r>
    </w:p>
    <w:p>
      <w:pPr>
        <w:pStyle w:val="FirstParagraph"/>
      </w:pPr>
      <w:r>
        <w:t xml:space="preserve">These ladders measure different properties and MUST NOT be collapsed or translated automatically. A higher state on one ladder does not substitute for a required state on another. Tier-specific minima remain controlled by the cited source.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Family</w:t>
            </w:r>
          </w:p>
        </w:tc>
        <w:tc>
          <w:tcPr>
            <w:shd w:val="clear" w:color="auto" w:fill="D9EAF7"/>
            <w:vAlign w:val="center"/>
          </w:tcPr>
          <w:p>
            <w:pPr>
              <w:pStyle w:val="Compact"/>
              <w:jc w:val="left"/>
            </w:pPr>
            <w:r>
              <w:rPr>
                <w:bCs/>
                <w:b/>
                <w:color w:val="17365D"/>
              </w:rPr>
              <w:t xml:space="preserve">Ladders</w:t>
            </w:r>
          </w:p>
        </w:tc>
        <w:tc>
          <w:tcPr>
            <w:shd w:val="clear" w:color="auto" w:fill="D9EAF7"/>
            <w:vAlign w:val="center"/>
          </w:tcPr>
          <w:p>
            <w:pPr>
              <w:pStyle w:val="Compact"/>
              <w:jc w:val="left"/>
            </w:pPr>
            <w:r>
              <w:rPr>
                <w:bCs/>
                <w:b/>
                <w:color w:val="17365D"/>
              </w:rPr>
              <w:t xml:space="preserve">What they measure</w:t>
            </w:r>
          </w:p>
        </w:tc>
        <w:tc>
          <w:tcPr>
            <w:shd w:val="clear" w:color="auto" w:fill="D9EAF7"/>
            <w:vAlign w:val="center"/>
          </w:tcPr>
          <w:p>
            <w:pPr>
              <w:pStyle w:val="Compact"/>
              <w:jc w:val="left"/>
            </w:pPr>
            <w:r>
              <w:rPr>
                <w:bCs/>
                <w:b/>
                <w:color w:val="17365D"/>
              </w:rPr>
              <w:t xml:space="preserve">Non-substitution rule</w:t>
            </w:r>
          </w:p>
        </w:tc>
      </w:tr>
      <w:tr>
        <w:tc>
          <w:tcPr>
            <w:vAlign w:val="top"/>
          </w:tcPr>
          <w:p>
            <w:pPr>
              <w:pStyle w:val="Compact"/>
              <w:jc w:val="left"/>
            </w:pPr>
            <w:r>
              <w:t xml:space="preserve">Decision depth</w:t>
            </w:r>
          </w:p>
        </w:tc>
        <w:tc>
          <w:tcPr>
            <w:vAlign w:val="top"/>
          </w:tcPr>
          <w:p>
            <w:pPr>
              <w:pStyle w:val="Compact"/>
              <w:jc w:val="left"/>
            </w:pPr>
            <w:r>
              <w:t xml:space="preserve">Tier 1-4</w:t>
            </w:r>
          </w:p>
        </w:tc>
        <w:tc>
          <w:tcPr>
            <w:vAlign w:val="top"/>
          </w:tcPr>
          <w:p>
            <w:pPr>
              <w:pStyle w:val="Compact"/>
              <w:jc w:val="left"/>
            </w:pPr>
            <w:r>
              <w:t xml:space="preserve">Required process depth, evidence, participation, and authority proportional to stakes.</w:t>
            </w:r>
          </w:p>
        </w:tc>
        <w:tc>
          <w:tcPr>
            <w:vAlign w:val="top"/>
          </w:tcPr>
          <w:p>
            <w:pPr>
              <w:pStyle w:val="Compact"/>
              <w:jc w:val="left"/>
            </w:pPr>
            <w:r>
              <w:t xml:space="preserve">Tier does not establish replay, measurement, implementation, or validation maturity.</w:t>
            </w:r>
          </w:p>
        </w:tc>
      </w:tr>
      <w:tr>
        <w:tc>
          <w:tcPr>
            <w:shd w:val="clear" w:color="auto" w:fill="F7FBFE"/>
            <w:vAlign w:val="top"/>
          </w:tcPr>
          <w:p>
            <w:pPr>
              <w:pStyle w:val="Compact"/>
              <w:jc w:val="left"/>
            </w:pPr>
            <w:r>
              <w:t xml:space="preserve">Record and replay</w:t>
            </w:r>
          </w:p>
        </w:tc>
        <w:tc>
          <w:tcPr>
            <w:shd w:val="clear" w:color="auto" w:fill="F7FBFE"/>
            <w:vAlign w:val="top"/>
          </w:tcPr>
          <w:p>
            <w:pPr>
              <w:pStyle w:val="Compact"/>
              <w:jc w:val="left"/>
            </w:pPr>
            <w:r>
              <w:t xml:space="preserve">R0-R4; L0-L3; V0-V2</w:t>
            </w:r>
          </w:p>
        </w:tc>
        <w:tc>
          <w:tcPr>
            <w:shd w:val="clear" w:color="auto" w:fill="F7FBFE"/>
            <w:vAlign w:val="top"/>
          </w:tcPr>
          <w:p>
            <w:pPr>
              <w:pStyle w:val="Compact"/>
              <w:jc w:val="left"/>
            </w:pPr>
            <w:r>
              <w:t xml:space="preserve">Replay maturity, wrapper/conformance completeness, and validator capability.</w:t>
            </w:r>
          </w:p>
        </w:tc>
        <w:tc>
          <w:tcPr>
            <w:shd w:val="clear" w:color="auto" w:fill="F7FBFE"/>
            <w:vAlign w:val="top"/>
          </w:tcPr>
          <w:p>
            <w:pPr>
              <w:pStyle w:val="Compact"/>
              <w:jc w:val="left"/>
            </w:pPr>
            <w:r>
              <w:t xml:space="preserve">A complete record or passing validator does not establish evidence truth or ethical correctness.</w:t>
            </w:r>
          </w:p>
        </w:tc>
      </w:tr>
      <w:tr>
        <w:tc>
          <w:tcPr>
            <w:vAlign w:val="top"/>
          </w:tcPr>
          <w:p>
            <w:pPr>
              <w:pStyle w:val="Compact"/>
              <w:jc w:val="left"/>
            </w:pPr>
            <w:r>
              <w:t xml:space="preserve">Method and measurement</w:t>
            </w:r>
          </w:p>
        </w:tc>
        <w:tc>
          <w:tcPr>
            <w:vAlign w:val="top"/>
          </w:tcPr>
          <w:p>
            <w:pPr>
              <w:pStyle w:val="Compact"/>
              <w:jc w:val="left"/>
            </w:pPr>
            <w:r>
              <w:t xml:space="preserve">SCI-0-4; UCI-M0-M3; K0-K4; BEM-0-4</w:t>
            </w:r>
          </w:p>
        </w:tc>
        <w:tc>
          <w:tcPr>
            <w:vAlign w:val="top"/>
          </w:tcPr>
          <w:p>
            <w:pPr>
              <w:pStyle w:val="Compact"/>
              <w:jc w:val="left"/>
            </w:pPr>
            <w:r>
              <w:t xml:space="preserve">Source coupling, UCI measurement, kernel quality, and biological-evaluation maturity.</w:t>
            </w:r>
          </w:p>
        </w:tc>
        <w:tc>
          <w:tcPr>
            <w:vAlign w:val="top"/>
          </w:tcPr>
          <w:p>
            <w:pPr>
              <w:pStyle w:val="Compact"/>
              <w:jc w:val="left"/>
            </w:pPr>
            <w:r>
              <w:t xml:space="preserve">One mature method surface cannot compensate for an immature or missing required surface.</w:t>
            </w:r>
          </w:p>
        </w:tc>
      </w:tr>
      <w:tr>
        <w:tc>
          <w:tcPr>
            <w:shd w:val="clear" w:color="auto" w:fill="F7FBFE"/>
            <w:vAlign w:val="top"/>
          </w:tcPr>
          <w:p>
            <w:pPr>
              <w:pStyle w:val="Compact"/>
              <w:jc w:val="left"/>
            </w:pPr>
            <w:r>
              <w:t xml:space="preserve">Sentience and role evidence</w:t>
            </w:r>
          </w:p>
        </w:tc>
        <w:tc>
          <w:tcPr>
            <w:shd w:val="clear" w:color="auto" w:fill="F7FBFE"/>
            <w:vAlign w:val="top"/>
          </w:tcPr>
          <w:p>
            <w:pPr>
              <w:pStyle w:val="Compact"/>
              <w:jc w:val="left"/>
            </w:pPr>
            <w:r>
              <w:t xml:space="preserve">MPS-NE/0-4; GPR 0-5; SPR 0-5; RMCP 0-4</w:t>
            </w:r>
          </w:p>
        </w:tc>
        <w:tc>
          <w:tcPr>
            <w:shd w:val="clear" w:color="auto" w:fill="F7FBFE"/>
            <w:vAlign w:val="top"/>
          </w:tcPr>
          <w:p>
            <w:pPr>
              <w:pStyle w:val="Compact"/>
              <w:jc w:val="left"/>
            </w:pPr>
            <w:r>
              <w:t xml:space="preserve">Possible moral patienthood, governance participation readiness, stewardship readiness, and reality-management capacity.</w:t>
            </w:r>
          </w:p>
        </w:tc>
        <w:tc>
          <w:tcPr>
            <w:shd w:val="clear" w:color="auto" w:fill="F7FBFE"/>
            <w:vAlign w:val="top"/>
          </w:tcPr>
          <w:p>
            <w:pPr>
              <w:pStyle w:val="Compact"/>
              <w:jc w:val="left"/>
            </w:pPr>
            <w:r>
              <w:t xml:space="preserve">Protection is not authority; capability is not authority; missing evidence is not zero.</w:t>
            </w:r>
          </w:p>
        </w:tc>
      </w:tr>
    </w:tbl>
    <w:bookmarkEnd w:id="744"/>
    <w:bookmarkStart w:id="745" w:name="document-map"/>
    <w:p>
      <w:pPr>
        <w:pStyle w:val="Heading3"/>
      </w:pPr>
      <w:r>
        <w:rPr>
          <w:bCs/>
          <w:b/>
        </w:rPr>
        <w:t xml:space="preserve">Document map</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Reading purpose</w:t>
            </w:r>
          </w:p>
        </w:tc>
        <w:tc>
          <w:tcPr>
            <w:shd w:val="clear" w:color="auto" w:fill="D9EAF7"/>
            <w:vAlign w:val="center"/>
          </w:tcPr>
          <w:p>
            <w:pPr>
              <w:pStyle w:val="Compact"/>
              <w:jc w:val="left"/>
            </w:pPr>
            <w:r>
              <w:rPr>
                <w:bCs/>
                <w:b/>
                <w:color w:val="17365D"/>
              </w:rPr>
              <w:t xml:space="preserve">Primary location</w:t>
            </w:r>
          </w:p>
        </w:tc>
      </w:tr>
      <w:tr>
        <w:tc>
          <w:tcPr>
            <w:vAlign w:val="top"/>
          </w:tcPr>
          <w:p>
            <w:pPr>
              <w:pStyle w:val="Compact"/>
              <w:jc w:val="left"/>
            </w:pPr>
            <w:r>
              <w:t xml:space="preserve">Problem, ontology, and normative commitments</w:t>
            </w:r>
          </w:p>
        </w:tc>
        <w:tc>
          <w:tcPr>
            <w:vAlign w:val="top"/>
          </w:tcPr>
          <w:p>
            <w:pPr>
              <w:pStyle w:val="Compact"/>
              <w:jc w:val="left"/>
            </w:pPr>
            <w:r>
              <w:t xml:space="preserve">Sections 1-3</w:t>
            </w:r>
          </w:p>
        </w:tc>
      </w:tr>
      <w:tr>
        <w:tc>
          <w:tcPr>
            <w:shd w:val="clear" w:color="auto" w:fill="F7FBFE"/>
            <w:vAlign w:val="top"/>
          </w:tcPr>
          <w:p>
            <w:pPr>
              <w:pStyle w:val="Compact"/>
              <w:jc w:val="left"/>
            </w:pPr>
            <w:r>
              <w:t xml:space="preserve">Architecture, states, and end-to-end procedure</w:t>
            </w:r>
          </w:p>
        </w:tc>
        <w:tc>
          <w:tcPr>
            <w:shd w:val="clear" w:color="auto" w:fill="F7FBFE"/>
            <w:vAlign w:val="top"/>
          </w:tcPr>
          <w:p>
            <w:pPr>
              <w:pStyle w:val="Compact"/>
              <w:jc w:val="left"/>
            </w:pPr>
            <w:r>
              <w:t xml:space="preserve">Section 4</w:t>
            </w:r>
          </w:p>
        </w:tc>
      </w:tr>
      <w:tr>
        <w:tc>
          <w:tcPr>
            <w:vAlign w:val="top"/>
          </w:tcPr>
          <w:p>
            <w:pPr>
              <w:pStyle w:val="Compact"/>
              <w:jc w:val="left"/>
            </w:pPr>
            <w:r>
              <w:t xml:space="preserve">Welfare construction and propagation</w:t>
            </w:r>
          </w:p>
        </w:tc>
        <w:tc>
          <w:tcPr>
            <w:vAlign w:val="top"/>
          </w:tcPr>
          <w:p>
            <w:pPr>
              <w:pStyle w:val="Compact"/>
              <w:jc w:val="left"/>
            </w:pPr>
            <w:r>
              <w:t xml:space="preserve">Sections 5-6</w:t>
            </w:r>
          </w:p>
        </w:tc>
      </w:tr>
      <w:tr>
        <w:tc>
          <w:tcPr>
            <w:shd w:val="clear" w:color="auto" w:fill="F7FBFE"/>
            <w:vAlign w:val="top"/>
          </w:tcPr>
          <w:p>
            <w:pPr>
              <w:pStyle w:val="Compact"/>
              <w:jc w:val="left"/>
            </w:pPr>
            <w:r>
              <w:t xml:space="preserve">Rights, catastrophic risk, and viability gates</w:t>
            </w:r>
          </w:p>
        </w:tc>
        <w:tc>
          <w:tcPr>
            <w:shd w:val="clear" w:color="auto" w:fill="F7FBFE"/>
            <w:vAlign w:val="top"/>
          </w:tcPr>
          <w:p>
            <w:pPr>
              <w:pStyle w:val="Compact"/>
              <w:jc w:val="left"/>
            </w:pPr>
            <w:r>
              <w:t xml:space="preserve">Sections 7-9</w:t>
            </w:r>
          </w:p>
        </w:tc>
      </w:tr>
      <w:tr>
        <w:tc>
          <w:tcPr>
            <w:vAlign w:val="top"/>
          </w:tcPr>
          <w:p>
            <w:pPr>
              <w:pStyle w:val="Compact"/>
              <w:jc w:val="left"/>
            </w:pPr>
            <w:r>
              <w:t xml:space="preserve">Residual ranking and non-decisive handling</w:t>
            </w:r>
          </w:p>
        </w:tc>
        <w:tc>
          <w:tcPr>
            <w:vAlign w:val="top"/>
          </w:tcPr>
          <w:p>
            <w:pPr>
              <w:pStyle w:val="Compact"/>
              <w:jc w:val="left"/>
            </w:pPr>
            <w:r>
              <w:t xml:space="preserve">Sections 10-11</w:t>
            </w:r>
          </w:p>
        </w:tc>
      </w:tr>
      <w:tr>
        <w:tc>
          <w:tcPr>
            <w:shd w:val="clear" w:color="auto" w:fill="F7FBFE"/>
            <w:vAlign w:val="top"/>
          </w:tcPr>
          <w:p>
            <w:pPr>
              <w:pStyle w:val="Compact"/>
              <w:jc w:val="left"/>
            </w:pPr>
            <w:r>
              <w:t xml:space="preserve">Records, audit, governance, validation, and limitations</w:t>
            </w:r>
          </w:p>
        </w:tc>
        <w:tc>
          <w:tcPr>
            <w:shd w:val="clear" w:color="auto" w:fill="F7FBFE"/>
            <w:vAlign w:val="top"/>
          </w:tcPr>
          <w:p>
            <w:pPr>
              <w:pStyle w:val="Compact"/>
              <w:jc w:val="left"/>
            </w:pPr>
            <w:r>
              <w:t xml:space="preserve">Sections 12-17</w:t>
            </w:r>
          </w:p>
        </w:tc>
      </w:tr>
      <w:tr>
        <w:tc>
          <w:tcPr>
            <w:vAlign w:val="top"/>
          </w:tcPr>
          <w:p>
            <w:pPr>
              <w:pStyle w:val="Compact"/>
              <w:jc w:val="left"/>
            </w:pPr>
            <w:r>
              <w:t xml:space="preserve">Detailed formulas, interfaces, examples, migration, and conformance material</w:t>
            </w:r>
          </w:p>
        </w:tc>
        <w:tc>
          <w:tcPr>
            <w:vAlign w:val="top"/>
          </w:tcPr>
          <w:p>
            <w:pPr>
              <w:pStyle w:val="Compact"/>
              <w:jc w:val="left"/>
            </w:pPr>
            <w:r>
              <w:t xml:space="preserve">Appendices A-AR</w:t>
            </w:r>
          </w:p>
        </w:tc>
      </w:tr>
    </w:tbl>
    <w:bookmarkEnd w:id="745"/>
    <w:bookmarkEnd w:id="746"/>
    <w:bookmarkStart w:id="747" w:name="X6aae7355d4fbd20cd12f7ef2a5d0305f8f3a136"/>
    <w:p>
      <w:pPr>
        <w:pStyle w:val="Heading2"/>
      </w:pPr>
      <w:r>
        <w:rPr>
          <w:bCs/>
          <w:b/>
        </w:rPr>
        <w:t xml:space="preserve">Compact implementation and reproducibility contract</w:t>
      </w:r>
    </w:p>
    <w:p>
      <w:pPr>
        <w:pStyle w:val="FirstParagraph"/>
      </w:pPr>
      <w:r>
        <w:t xml:space="preserve">The full Canon remains the governing source, but a conforming run MUST be traceable to the compact operating kernel in</w:t>
      </w:r>
      <w:r>
        <w:t xml:space="preserve"> </w:t>
      </w:r>
      <w:r>
        <w:rPr>
          <w:rStyle w:val="VerbatimChar"/>
        </w:rPr>
        <w:t xml:space="preserve">docs/implementation/MATHGOV_REPRODUCIBILITY_AND_USE_STANDARD_v1.4.md</w:t>
      </w:r>
      <w:r>
        <w:t xml:space="preserve">: identify the run and authority boundary; lock decision-material evidence and parameters; complete RG, RF/NCRC, TRC, and CSV in order; form the selectable set; apply RLS only to survivors; distinguish decisive selection, authority selection, refusal, redesign, delay, and emergency-provisional action; separate selection from execution authority; record controls and monitoring; and reopen affected stages after material change.</w:t>
      </w:r>
    </w:p>
    <w:p>
      <w:pPr>
        <w:pStyle w:val="BodyText"/>
      </w:pPr>
      <w:r>
        <w:t xml:space="preserve">The companion</w:t>
      </w:r>
      <w:r>
        <w:t xml:space="preserve"> </w:t>
      </w:r>
      <w:r>
        <w:rPr>
          <w:rStyle w:val="VerbatimChar"/>
        </w:rPr>
        <w:t xml:space="preserve">docs/implementation/NORMATIVE_KERNEL_INDEX_v1.0.yaml</w:t>
      </w:r>
      <w:r>
        <w:t xml:space="preserve"> </w:t>
      </w:r>
      <w:r>
        <w:t xml:space="preserve">maps each compact rule to the controlling Canon source.</w:t>
      </w:r>
      <w:r>
        <w:t xml:space="preserve"> </w:t>
      </w:r>
      <w:r>
        <w:rPr>
          <w:rStyle w:val="VerbatimChar"/>
        </w:rPr>
        <w:t xml:space="preserve">schemas/mathgov_run_record_v4.schema.json</w:t>
      </w:r>
      <w:r>
        <w:t xml:space="preserve"> </w:t>
      </w:r>
      <w:r>
        <w:t xml:space="preserve">and</w:t>
      </w:r>
      <w:r>
        <w:t xml:space="preserve"> </w:t>
      </w:r>
      <w:r>
        <w:rPr>
          <w:rStyle w:val="VerbatimChar"/>
        </w:rPr>
        <w:t xml:space="preserve">release/VALIDATE_MATHGOV_RUN.py</w:t>
      </w:r>
      <w:r>
        <w:t xml:space="preserve"> </w:t>
      </w:r>
      <w:r>
        <w:t xml:space="preserve">mechanically check record completeness and cascade contradictions. Passing those checks establishes only record/cascade conformance for the supplied inputs. It does not verify evidence truth, measurement validity, legal authority, physical safety, deployment readiness, or moral truth.</w:t>
      </w:r>
    </w:p>
    <w:bookmarkEnd w:id="747"/>
    <w:bookmarkEnd w:id="748"/>
    <w:bookmarkStart w:id="757" w:name="X9a70ab7a9b54dcb4d772069b468b3938f144f2c"/>
    <w:p>
      <w:pPr>
        <w:pStyle w:val="Heading1"/>
      </w:pPr>
      <w:bookmarkStart w:id="832" w:name="mg_toc_068"/>
      <w:r>
        <w:rPr>
          <w:bCs/>
          <w:b/>
        </w:rPr>
        <w:t xml:space="preserve">APPENDIX AR: VERSION HISTORY AND MIGRATION NOTES (v12.6) - INFORMATIVE</w:t>
      </w:r>
      <w:bookmarkEnd w:id="832"/>
    </w:p>
    <w:p>
      <w:pPr>
        <w:pStyle w:val="FirstParagraph"/>
      </w:pPr>
      <w:r>
        <w:t xml:space="preserve">This appendix preserves detailed release notes for provenance, audit, and migration. It does not override the current controlling rules. Package-level history is also maintained in</w:t>
      </w:r>
      <w:r>
        <w:t xml:space="preserve"> </w:t>
      </w:r>
      <w:r>
        <w:rPr>
          <w:rStyle w:val="VerbatimChar"/>
        </w:rPr>
        <w:t xml:space="preserve">CHANGELOG.md</w:t>
      </w:r>
      <w:r>
        <w:t xml:space="preserve"> </w:t>
      </w:r>
      <w:r>
        <w:t xml:space="preserve">and</w:t>
      </w:r>
      <w:r>
        <w:t xml:space="preserve"> </w:t>
      </w:r>
      <w:r>
        <w:rPr>
          <w:rStyle w:val="VerbatimChar"/>
        </w:rPr>
        <w:t xml:space="preserve">LINEAGE.md</w:t>
      </w:r>
      <w:r>
        <w:t xml:space="preserve">.</w:t>
      </w:r>
    </w:p>
    <w:bookmarkStart w:id="751" w:name="Xc64a08ca2d07e2d57a611c7bcbaa6bbdd35bbc2"/>
    <w:p>
      <w:pPr>
        <w:pStyle w:val="Heading2"/>
      </w:pPr>
      <w:r>
        <w:rPr>
          <w:bCs/>
          <w:b/>
        </w:rPr>
        <w:t xml:space="preserve">AR.0 Release Package, Source Hierarchy, and Publication State</w:t>
      </w:r>
    </w:p>
    <w:p>
      <w:pPr>
        <w:pStyle w:val="FirstParagraph"/>
      </w:pPr>
      <w:r>
        <w:t xml:space="preserve">Package line: MathGov Core Release 2026.09 v12.6 / SGP v8.5 - Configuration-Bound Assurance Public Research Source Release</w:t>
      </w:r>
    </w:p>
    <w:bookmarkStart w:id="749" w:name="release-cycle-date-convention"/>
    <w:p>
      <w:pPr>
        <w:pStyle w:val="Heading3"/>
      </w:pPr>
      <w:r>
        <w:rPr>
          <w:bCs/>
          <w:b/>
        </w:rPr>
        <w:t xml:space="preserve">Release-cycle date convention.</w:t>
      </w:r>
    </w:p>
    <w:p>
      <w:pPr>
        <w:pStyle w:val="FirstParagraph"/>
      </w:pPr>
      <w:r>
        <w:t xml:space="preserve">The 2026.09 label is a planned release-cycle identifier, not the month in which every source file was authored. Same-version patches made after the Canon date MUST be recorded in the release ledger, trigger dependency-localized requalification, and regenerate all manifests and hashes before publication.</w:t>
      </w:r>
    </w:p>
    <w:p>
      <w:pPr>
        <w:pStyle w:val="BodyText"/>
      </w:pPr>
      <w:r>
        <w:t xml:space="preserve">Package-note: v12.6 preserves the five-stage cascade, seven Union Scopes, seven Welfare Dimensions, rights floors, and SGP protection invariants. It adds action-bound qualification continuity, executable current-state/transition/post-state checks, outcome observation, and dependency-localized requalification while retaining configuration-bound assurance, capability-state separation, frozen evaluation binding, structural-control preference, future safe option-space analysis, and the Open Assurance Dependency Rule. It pins SGP v8.5, WDBIP v1.6, ripple.md v5.5, Agent System v12.5, Reproducibility Standard v1.4, Cascade v2.6, CSV v2.4, RLS Validation v2.6, Primer v4.4, Public Introduction v12.6, PC-AEP/MFDI/Source-Coupling v2.3, and Aligners Sheet v5.6. No sixth gate, eighth welfare dimension, authority grant, empirical-validity claim, legal authorization, physical-safety certification, consciousness detector, ProofPack claim, or Tier-4 claim is created.</w:t>
      </w:r>
    </w:p>
    <w:p>
      <w:pPr>
        <w:pStyle w:val="BodyText"/>
      </w:pPr>
      <w:r>
        <w:rPr>
          <w:bCs/>
          <w:b/>
        </w:rPr>
        <w:t xml:space="preserve">Specification-contract front-door note. Current release interpretation follows the Source Hierarchy and Section 0 Specification Contract: MathGov is the umbrella ethical governance framework; RippleLogic is the decision architecture and operating methodology inside MathGov; the Markdown Canon source is the governing semantic source if derived DOCX/PDF renderings diverge. The full precedence and conflict-resolution contract appears in Appendix AC / Section 0.</w:t>
      </w:r>
    </w:p>
    <w:p>
      <w:pPr>
        <w:pStyle w:val="BodyText"/>
      </w:pPr>
      <w:r>
        <w:rPr>
          <w:bCs/>
          <w:b/>
        </w:rPr>
        <w:t xml:space="preserve">Publication-state boundary.</w:t>
      </w:r>
      <w:r>
        <w:t xml:space="preserve"> </w:t>
      </w:r>
      <w:r>
        <w:t xml:space="preserve">A source package may be internally release-ready before repository tags, public websites, or mirrors are synchronized. Public statements that this is the currently published canonical release MUST be checked against the accessible release tag, manifest, and SHA-256 set. Site publication is an external release action, not evidence created by this document.</w:t>
      </w:r>
    </w:p>
    <w:bookmarkEnd w:id="749"/>
    <w:bookmarkStart w:id="750" w:name="current-release-at-a-glance"/>
    <w:p>
      <w:pPr>
        <w:pStyle w:val="Heading3"/>
      </w:pPr>
      <w:r>
        <w:rPr>
          <w:bCs/>
          <w:b/>
        </w:rPr>
        <w:t xml:space="preserve">Current release at a glance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Item</w:t>
            </w:r>
          </w:p>
        </w:tc>
        <w:tc>
          <w:tcPr>
            <w:shd w:val="clear" w:color="auto" w:fill="D9EAF7"/>
            <w:vAlign w:val="center"/>
          </w:tcPr>
          <w:p>
            <w:pPr>
              <w:pStyle w:val="Compact"/>
              <w:jc w:val="left"/>
            </w:pPr>
            <w:r>
              <w:rPr>
                <w:bCs/>
                <w:b/>
                <w:color w:val="17365D"/>
              </w:rPr>
              <w:t xml:space="preserve">Current release position</w:t>
            </w:r>
          </w:p>
        </w:tc>
      </w:tr>
      <w:tr>
        <w:tc>
          <w:tcPr>
            <w:vAlign w:val="top"/>
          </w:tcPr>
          <w:p>
            <w:pPr>
              <w:pStyle w:val="Compact"/>
              <w:jc w:val="left"/>
            </w:pPr>
            <w:r>
              <w:t xml:space="preserve">Governing version</w:t>
            </w:r>
          </w:p>
        </w:tc>
        <w:tc>
          <w:tcPr>
            <w:vAlign w:val="top"/>
          </w:tcPr>
          <w:p>
            <w:pPr>
              <w:pStyle w:val="Compact"/>
              <w:jc w:val="left"/>
            </w:pPr>
            <w:r>
              <w:t xml:space="preserve">RippleLogic Canon v12.6 within MathGov Core Release 2026.09 / SGP v8.5</w:t>
            </w:r>
          </w:p>
        </w:tc>
      </w:tr>
      <w:tr>
        <w:tc>
          <w:tcPr>
            <w:shd w:val="clear" w:color="auto" w:fill="F7FBFE"/>
            <w:vAlign w:val="top"/>
          </w:tcPr>
          <w:p>
            <w:pPr>
              <w:pStyle w:val="Compact"/>
              <w:jc w:val="left"/>
            </w:pPr>
            <w:r>
              <w:t xml:space="preserve">Governing architecture</w:t>
            </w:r>
          </w:p>
        </w:tc>
        <w:tc>
          <w:tcPr>
            <w:shd w:val="clear" w:color="auto" w:fill="F7FBFE"/>
            <w:vAlign w:val="top"/>
          </w:tcPr>
          <w:p>
            <w:pPr>
              <w:pStyle w:val="Compact"/>
              <w:jc w:val="left"/>
            </w:pPr>
            <w:r>
              <w:rPr>
                <w:rStyle w:val="VerbatimChar"/>
              </w:rPr>
              <w:t xml:space="preserve">RG -&gt; RF/NCRC -&gt; TRC -&gt; CSV -&gt; RLS</w:t>
            </w:r>
          </w:p>
        </w:tc>
      </w:tr>
      <w:tr>
        <w:tc>
          <w:tcPr>
            <w:vAlign w:val="top"/>
          </w:tcPr>
          <w:p>
            <w:pPr>
              <w:pStyle w:val="Compact"/>
              <w:jc w:val="left"/>
            </w:pPr>
            <w:r>
              <w:t xml:space="preserve">Material v12.6 additions</w:t>
            </w:r>
          </w:p>
        </w:tc>
        <w:tc>
          <w:tcPr>
            <w:vAlign w:val="top"/>
          </w:tcPr>
          <w:p>
            <w:pPr>
              <w:pStyle w:val="Compact"/>
              <w:jc w:val="left"/>
            </w:pPr>
            <w:r>
              <w:t xml:space="preserve">Configuration-bound assurance; capability-state separation; current-state/transition/post-state assessment; qualification continuity; frozen evaluation binding; future safe option-space analysis; open-assurance dependency control</w:t>
            </w:r>
          </w:p>
        </w:tc>
      </w:tr>
      <w:tr>
        <w:tc>
          <w:tcPr>
            <w:shd w:val="clear" w:color="auto" w:fill="F7FBFE"/>
            <w:vAlign w:val="top"/>
          </w:tcPr>
          <w:p>
            <w:pPr>
              <w:pStyle w:val="Compact"/>
              <w:jc w:val="left"/>
            </w:pPr>
            <w:r>
              <w:t xml:space="preserve">Preserved invariants</w:t>
            </w:r>
          </w:p>
        </w:tc>
        <w:tc>
          <w:tcPr>
            <w:shd w:val="clear" w:color="auto" w:fill="F7FBFE"/>
            <w:vAlign w:val="top"/>
          </w:tcPr>
          <w:p>
            <w:pPr>
              <w:pStyle w:val="Compact"/>
              <w:jc w:val="left"/>
            </w:pPr>
            <w:r>
              <w:t xml:space="preserve">Five stages, seven Union Scopes, seven Welfare Dimensions, non-compensatory rights, catastrophe non-dilution, SGP protection/authority separation, refusal under underdetermination</w:t>
            </w:r>
          </w:p>
        </w:tc>
      </w:tr>
      <w:tr>
        <w:tc>
          <w:tcPr>
            <w:vAlign w:val="top"/>
          </w:tcPr>
          <w:p>
            <w:pPr>
              <w:pStyle w:val="Compact"/>
              <w:jc w:val="left"/>
            </w:pPr>
            <w:r>
              <w:t xml:space="preserve">Claim boundary</w:t>
            </w:r>
          </w:p>
        </w:tc>
        <w:tc>
          <w:tcPr>
            <w:vAlign w:val="top"/>
          </w:tcPr>
          <w:p>
            <w:pPr>
              <w:pStyle w:val="Compact"/>
              <w:jc w:val="left"/>
            </w:pPr>
            <w:r>
              <w:t xml:space="preserve">Public research-source specification for Tier 1-3 use; not empirical validation, legal authority, physical-safety certification, consciousness detection, ProofPack completion, Tier 4, or autonomous high-stakes deployment approval</w:t>
            </w:r>
          </w:p>
        </w:tc>
      </w:tr>
      <w:tr>
        <w:tc>
          <w:tcPr>
            <w:shd w:val="clear" w:color="auto" w:fill="F7FBFE"/>
            <w:vAlign w:val="top"/>
          </w:tcPr>
          <w:p>
            <w:pPr>
              <w:pStyle w:val="Compact"/>
              <w:jc w:val="left"/>
            </w:pPr>
            <w:r>
              <w:t xml:space="preserve">Full version history</w:t>
            </w:r>
          </w:p>
        </w:tc>
        <w:tc>
          <w:tcPr>
            <w:shd w:val="clear" w:color="auto" w:fill="F7FBFE"/>
            <w:vAlign w:val="top"/>
          </w:tcPr>
          <w:p>
            <w:pPr>
              <w:pStyle w:val="Compact"/>
              <w:jc w:val="left"/>
            </w:pPr>
            <w:r>
              <w:t xml:space="preserve">Appendix AR,</w:t>
            </w:r>
            <w:r>
              <w:t xml:space="preserve"> </w:t>
            </w:r>
            <w:r>
              <w:rPr>
                <w:rStyle w:val="VerbatimChar"/>
              </w:rPr>
              <w:t xml:space="preserve">CHANGELOG.md</w:t>
            </w:r>
            <w:r>
              <w:t xml:space="preserve">, and</w:t>
            </w:r>
            <w:r>
              <w:t xml:space="preserve"> </w:t>
            </w:r>
            <w:r>
              <w:rPr>
                <w:rStyle w:val="VerbatimChar"/>
              </w:rPr>
              <w:t xml:space="preserve">LINEAGE.md</w:t>
            </w:r>
          </w:p>
        </w:tc>
      </w:tr>
    </w:tbl>
    <w:bookmarkEnd w:id="750"/>
    <w:bookmarkEnd w:id="751"/>
    <w:bookmarkStart w:id="752" w:name="X366b98c94f4506531ee5afbe86669287e811f34"/>
    <w:p>
      <w:pPr>
        <w:pStyle w:val="Heading2"/>
      </w:pPr>
      <w:r>
        <w:rPr>
          <w:bCs/>
          <w:b/>
        </w:rPr>
        <w:t xml:space="preserve">AR.0A v12.2-v12.4.1 Consolidated lineage bridge</w:t>
      </w:r>
    </w:p>
    <w:p>
      <w:pPr>
        <w:pStyle w:val="FirstParagraph"/>
      </w:pPr>
      <w:r>
        <w:t xml:space="preserve">The v12.2 line consolidated source integrity, SGP v8 integration, operational assurance, formula interfaces, and workbook integrity. The v12.4 and v12.4.1 lines synchronized executable-state, consequence-tempo, responsibility-continuity, WDBIP, release-manifest, and workbook surfaces. Their detailed reports remain in archive/release_history and archive/release_v12_4_1_legacy. These lineage entries do not govern current v12.6 interpretation.</w:t>
      </w:r>
    </w:p>
    <w:bookmarkEnd w:id="752"/>
    <w:bookmarkStart w:id="753" w:name="X3365f1acd4e55fb0480a40793f9fa32a6b494e0"/>
    <w:p>
      <w:pPr>
        <w:pStyle w:val="Heading2"/>
      </w:pPr>
      <w:r>
        <w:rPr>
          <w:bCs/>
          <w:b/>
        </w:rPr>
        <w:t xml:space="preserve">AR.1 v12.4 Calculability, Type-Integrity, and Synchronization Release</w:t>
      </w:r>
    </w:p>
    <w:p>
      <w:pPr>
        <w:pStyle w:val="FirstParagraph"/>
      </w:pPr>
      <w:r>
        <w:t xml:space="preserve">v12.4 is a coordinated minor release because it changes a load-bearing rights-risk predicate, corrects a reference uncertainty derivation, completes the SGP RMCP misuse-record interface, and synchronizes every active core surface. The governing architecture remains</w:t>
      </w:r>
      <w:r>
        <w:t xml:space="preserve"> </w:t>
      </w:r>
      <w:r>
        <w:rPr>
          <w:rStyle w:val="VerbatimChar"/>
        </w:rPr>
        <w:t xml:space="preserve">RG -&gt; RF/NCRC -&gt; TRC -&gt; CSV -&gt; RLS</w:t>
      </w:r>
      <w:r>
        <w:t xml:space="preserve">. The severe-rights-hazard channel now uses one activation predicate in both review and computation; a hazard cannot activate under Section 7.4.3 and then disappear from</w:t>
      </w:r>
      <w:r>
        <w:t xml:space="preserve"> </w:t>
      </w:r>
      <w:r>
        <w:rPr>
          <w:rStyle w:val="VerbatimChar"/>
        </w:rPr>
        <w:t xml:space="preserve">v_r^risk</w:t>
      </w:r>
      <w:r>
        <w:t xml:space="preserve">. Method B reference-vector reconstruction now divides by the declared confidence factor when recovering pre-confidence contribution mass. Registered impact-stream notation uses</w:t>
      </w:r>
      <w:r>
        <w:t xml:space="preserve"> </w:t>
      </w:r>
      <w:r>
        <w:rPr>
          <w:rStyle w:val="VerbatimChar"/>
        </w:rPr>
        <w:t xml:space="preserve">h_{k,base}</w:t>
      </w:r>
      <w:r>
        <w:t xml:space="preserve"> </w:t>
      </w:r>
      <w:r>
        <w:t xml:space="preserve">and</w:t>
      </w:r>
      <w:r>
        <w:t xml:space="preserve"> </w:t>
      </w:r>
      <w:r>
        <w:rPr>
          <w:rStyle w:val="VerbatimChar"/>
        </w:rPr>
        <w:t xml:space="preserve">h_{k,welfare}</w:t>
      </w:r>
      <w:r>
        <w:t xml:space="preserve">; legacy</w:t>
      </w:r>
      <w:r>
        <w:t xml:space="preserve"> </w:t>
      </w:r>
      <w:r>
        <w:rPr>
          <w:rStyle w:val="VerbatimChar"/>
        </w:rPr>
        <w:t xml:space="preserve">s_k</w:t>
      </w:r>
      <w:r>
        <w:t xml:space="preserve"> </w:t>
      </w:r>
      <w:r>
        <w:t xml:space="preserve">and</w:t>
      </w:r>
      <w:r>
        <w:t xml:space="preserve"> </w:t>
      </w:r>
      <w:r>
        <w:rPr>
          <w:rStyle w:val="VerbatimChar"/>
        </w:rPr>
        <w:t xml:space="preserve">m_k</w:t>
      </w:r>
      <w:r>
        <w:t xml:space="preserve"> </w:t>
      </w:r>
      <w:r>
        <w:t xml:space="preserve">aliases are historical only.</w:t>
      </w:r>
    </w:p>
    <w:p>
      <w:pPr>
        <w:pStyle w:val="BodyText"/>
      </w:pPr>
      <w:r>
        <w:t xml:space="preserve">The release also adds a current-rules-only navigation appendix and machine-checkable agreement tests for severe-rights activation and SGP RMCP required fields. These are integrity improvements, not evidence that the governing thresholds or instruments are empirically calibrated.</w:t>
      </w:r>
    </w:p>
    <w:bookmarkEnd w:id="753"/>
    <w:bookmarkStart w:id="754" w:name="Xe80aa5a4a247f0bd474bd16549eb0d9010ce129"/>
    <w:p>
      <w:pPr>
        <w:pStyle w:val="Heading2"/>
      </w:pPr>
      <w:r>
        <w:rPr>
          <w:bCs/>
          <w:b/>
        </w:rPr>
        <w:t xml:space="preserve">AR.2 v12.4.1 Release and Workbook Integrity Patch (Lineage)</w:t>
      </w:r>
    </w:p>
    <w:p>
      <w:pPr>
        <w:pStyle w:val="FirstParagraph"/>
      </w:pPr>
      <w:r>
        <w:t xml:space="preserve">v12.4.1 is a bounded synchronization and release-engineering patch. It repairs exact companion pins, current-package filenames, public release labels, workbook formula and named-range integrity, CVaR provenance, sanity-check completeness, and the 15-file review bundle. It does not change the canonical cascade, rights floors, TRC mathematics, CSV semantics, RLS equation, Union Scopes, Welfare Dimensions, or SGP protection architecture.</w:t>
      </w:r>
    </w:p>
    <w:bookmarkEnd w:id="754"/>
    <w:bookmarkStart w:id="755" w:name="X3780cbc304877a863ee9bd153ac0a31ef29d77c"/>
    <w:p>
      <w:pPr>
        <w:pStyle w:val="Heading2"/>
      </w:pPr>
      <w:r>
        <w:rPr>
          <w:bCs/>
          <w:b/>
        </w:rPr>
        <w:t xml:space="preserve">AR.3 v12.4 Integration and Executable-Integrity Note (Lineage)</w:t>
      </w:r>
    </w:p>
    <w:p>
      <w:pPr>
        <w:pStyle w:val="FirstParagraph"/>
      </w:pPr>
      <w:r>
        <w:t xml:space="preserve">v12.4 preserves the governing cascade</w:t>
      </w:r>
      <w:r>
        <w:t xml:space="preserve"> </w:t>
      </w:r>
      <w:r>
        <w:rPr>
          <w:rStyle w:val="VerbatimChar"/>
        </w:rPr>
        <w:t xml:space="preserve">RG -&gt; RF/NCRC -&gt; TRC -&gt; CSV -&gt; RLS</w:t>
      </w:r>
      <w:r>
        <w:t xml:space="preserve">, the seven Union Scopes, the seven Welfare Dimensions, the Rights Floor, TRC, CSV, RLS equations, and all SGP protection floors. It integrates four bounded improvements: (1) WDBIP v1.4 as a Canon-subordinate welfare-measurement companion beneath RLS; (2) consequence-tempo and responsibility-continuity assurance through ripple.md v5.2, CSV v2.1, and Agent System v12.1; (3) a single versioned state registry and deterministic stage-transition algebra; and (4) typed measurement and parameter maturity disclosure. These additions do not prove empirical validity, legal authority, physical safety, or moral truth.</w:t>
      </w:r>
    </w:p>
    <w:bookmarkEnd w:id="755"/>
    <w:bookmarkStart w:id="756" w:name="X7c3e1fc09f59d91cb9a9dba7458f4ae3afa289f"/>
    <w:p>
      <w:pPr>
        <w:pStyle w:val="Heading2"/>
      </w:pPr>
      <w:r>
        <w:rPr>
          <w:bCs/>
          <w:b/>
        </w:rPr>
        <w:t xml:space="preserve">AR.4 v12.2.1 Retained Patch Integrity Note (Lineage)</w:t>
      </w:r>
    </w:p>
    <w:p>
      <w:pPr>
        <w:pStyle w:val="FirstParagraph"/>
      </w:pPr>
      <w:r>
        <w:t xml:space="preserve">This patch does not change the five-stage architecture. It repairs formula and interface integrity: stream notation now uses</w:t>
      </w:r>
      <w:r>
        <w:t xml:space="preserve"> </w:t>
      </w:r>
      <w:r>
        <w:rPr>
          <w:rStyle w:val="VerbatimChar"/>
        </w:rPr>
        <w:t xml:space="preserve">h_{k,x}</w:t>
      </w:r>
      <w:r>
        <w:t xml:space="preserve"> </w:t>
      </w:r>
      <w:r>
        <w:t xml:space="preserve">consistently; MPS intervals route to governed inclusion hypotheses rather than numeric endpoint multipliers; U7 Equity distinguishes</w:t>
      </w:r>
      <w:r>
        <w:t xml:space="preserve"> </w:t>
      </w:r>
      <w:r>
        <w:rPr>
          <w:rStyle w:val="VerbatimChar"/>
        </w:rPr>
        <w:t xml:space="preserve">NA</w:t>
      </w:r>
      <w:r>
        <w:t xml:space="preserve"> </w:t>
      </w:r>
      <w:r>
        <w:t xml:space="preserve">from</w:t>
      </w:r>
      <w:r>
        <w:t xml:space="preserve"> </w:t>
      </w:r>
      <w:r>
        <w:rPr>
          <w:rStyle w:val="VerbatimChar"/>
        </w:rPr>
        <w:t xml:space="preserve">UNKNOWN</w:t>
      </w:r>
      <w:r>
        <w:t xml:space="preserve">; RLS companion formulas retain normalization by</w:t>
      </w:r>
      <w:r>
        <w:t xml:space="preserve"> </w:t>
      </w:r>
      <w:r>
        <w:rPr>
          <w:rStyle w:val="VerbatimChar"/>
        </w:rPr>
        <w:t xml:space="preserve">Q</w:t>
      </w:r>
      <w:r>
        <w:t xml:space="preserve">; CSV tier obligations and status tokens are synchronized; current worked examples disclose all three NCRC channels; and workbook sanity, publishability, and PLSS-limit records are mechanically reconciled.</w:t>
      </w:r>
    </w:p>
    <w:bookmarkEnd w:id="756"/>
    <w:bookmarkEnd w:id="757"/>
    <w:bookmarkStart w:id="763" w:name="Xcab4449282f95529edb4993c00c7c5d55d5630f"/>
    <w:p>
      <w:pPr>
        <w:pStyle w:val="Heading1"/>
      </w:pPr>
      <w:bookmarkStart w:id="833" w:name="mg_toc_069"/>
      <w:r>
        <w:rPr>
          <w:bCs/>
          <w:b/>
        </w:rPr>
        <w:t xml:space="preserve">APPENDIX AX: NORMATIVE AND CLAIM-AUTHORITY CLARIFICATION PATCH</w:t>
      </w:r>
      <w:bookmarkEnd w:id="833"/>
    </w:p>
    <w:p>
      <w:pPr>
        <w:pStyle w:val="FirstParagraph"/>
      </w:pPr>
      <w:r>
        <w:t xml:space="preserve">This appendix is normative for interpretation and preserves the existing five-stage cascade, equations, state semantics, Union Scopes, Welfare Dimensions, thresholds, and companion interfaces. It adds no sixth gate and changes no existing numerical default.</w:t>
      </w:r>
    </w:p>
    <w:bookmarkStart w:id="758" w:name="ax1-operational-relational-premise"/>
    <w:p>
      <w:pPr>
        <w:pStyle w:val="Heading2"/>
      </w:pPr>
      <w:r>
        <w:rPr>
          <w:bCs/>
          <w:b/>
        </w:rPr>
        <w:t xml:space="preserve">AX.1 Operational relational premise</w:t>
      </w:r>
    </w:p>
    <w:p>
      <w:pPr>
        <w:pStyle w:val="FirstParagraph"/>
      </w:pPr>
      <w:r>
        <w:t xml:space="preserve">Within a declared decision domain, scope, horizon, relation family, materiality threshold, and evidence sensitivity, a RippleLogic run MUST identify materially affected beings, enabling systems, dependencies, consequence pathways, representation duties, stewardship obligations, and foreseeable risks. Nondetection is not automatically absence; uncertainty is not permission to invent relations.</w:t>
      </w:r>
    </w:p>
    <w:p>
      <w:pPr>
        <w:pStyle w:val="BodyText"/>
      </w:pPr>
      <w:r>
        <w:t xml:space="preserve">This operational premise does not establish universal relationality, unrestricted causal reachability, ontological monism, one substance, one consciousness, physical infinity, or AIU-O. Relational Union and AIU-O remain optional foundational research questions and are not prerequisites for running or adopting MathGov.</w:t>
      </w:r>
    </w:p>
    <w:bookmarkEnd w:id="758"/>
    <w:bookmarkStart w:id="759" w:name="ax2-explicit-normative-bridge-register"/>
    <w:p>
      <w:pPr>
        <w:pStyle w:val="Heading2"/>
      </w:pPr>
      <w:r>
        <w:rPr>
          <w:bCs/>
          <w:b/>
        </w:rPr>
        <w:t xml:space="preserve">AX.2 Explicit normative bridge register</w:t>
      </w:r>
    </w:p>
    <w:p>
      <w:pPr>
        <w:pStyle w:val="FirstParagraph"/>
      </w:pPr>
      <w:r>
        <w:t xml:space="preserve">The Minimal Normative Axiom remains the compact public entry point. For constitutional interpretation, the following commitments and bridge premises state the fuller reasons for qualification-before-ranking. They justify a family of rights-constrained, ruin-aware, relationally attentive governance architectures; they do not uniquely entail MathGov's exact taxonomy, gate order, thresholds, weights, scoring formula, or institutional implementation.</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ID</w:t>
            </w:r>
          </w:p>
        </w:tc>
        <w:tc>
          <w:tcPr>
            <w:shd w:val="clear" w:color="auto" w:fill="D9EAF7"/>
            <w:vAlign w:val="center"/>
          </w:tcPr>
          <w:p>
            <w:pPr>
              <w:pStyle w:val="Compact"/>
              <w:jc w:val="left"/>
            </w:pPr>
            <w:r>
              <w:rPr>
                <w:bCs/>
                <w:b/>
                <w:color w:val="17365D"/>
              </w:rPr>
              <w:t xml:space="preserve">Commitment or bridge premise</w:t>
            </w:r>
          </w:p>
        </w:tc>
        <w:tc>
          <w:tcPr>
            <w:shd w:val="clear" w:color="auto" w:fill="D9EAF7"/>
            <w:vAlign w:val="center"/>
          </w:tcPr>
          <w:p>
            <w:pPr>
              <w:pStyle w:val="Compact"/>
              <w:jc w:val="left"/>
            </w:pPr>
            <w:r>
              <w:rPr>
                <w:bCs/>
                <w:b/>
                <w:color w:val="17365D"/>
              </w:rPr>
              <w:t xml:space="preserve">MathGov consequence</w:t>
            </w:r>
          </w:p>
        </w:tc>
      </w:tr>
      <w:tr>
        <w:tc>
          <w:tcPr>
            <w:vAlign w:val="top"/>
          </w:tcPr>
          <w:p>
            <w:pPr>
              <w:pStyle w:val="Compact"/>
              <w:jc w:val="left"/>
            </w:pPr>
            <w:r>
              <w:t xml:space="preserve">N1</w:t>
            </w:r>
          </w:p>
        </w:tc>
        <w:tc>
          <w:tcPr>
            <w:vAlign w:val="top"/>
          </w:tcPr>
          <w:p>
            <w:pPr>
              <w:pStyle w:val="Compact"/>
              <w:jc w:val="left"/>
            </w:pPr>
            <w:r>
              <w:t xml:space="preserve">Moral relevance: the welfare, rights, freedom, continuity, agency, and enabling conditions of materially affected beings are morally relevant.</w:t>
            </w:r>
          </w:p>
        </w:tc>
        <w:tc>
          <w:tcPr>
            <w:vAlign w:val="top"/>
          </w:tcPr>
          <w:p>
            <w:pPr>
              <w:pStyle w:val="Compact"/>
              <w:jc w:val="left"/>
            </w:pPr>
            <w:r>
              <w:t xml:space="preserve">Map affected beings and enabling conditions.</w:t>
            </w:r>
          </w:p>
        </w:tc>
      </w:tr>
      <w:tr>
        <w:tc>
          <w:tcPr>
            <w:shd w:val="clear" w:color="auto" w:fill="F7FBFE"/>
            <w:vAlign w:val="top"/>
          </w:tcPr>
          <w:p>
            <w:pPr>
              <w:pStyle w:val="Compact"/>
              <w:jc w:val="left"/>
            </w:pPr>
            <w:r>
              <w:t xml:space="preserve">N2</w:t>
            </w:r>
          </w:p>
        </w:tc>
        <w:tc>
          <w:tcPr>
            <w:shd w:val="clear" w:color="auto" w:fill="F7FBFE"/>
            <w:vAlign w:val="top"/>
          </w:tcPr>
          <w:p>
            <w:pPr>
              <w:pStyle w:val="Compact"/>
              <w:jc w:val="left"/>
            </w:pPr>
            <w:r>
              <w:t xml:space="preserve">Non-compensability: some violations of life, bodily integrity, liberty, dignity, fair process, information rights, and essential ecological conditions cannot be rescued merely by aggregate benefit.</w:t>
            </w:r>
          </w:p>
        </w:tc>
        <w:tc>
          <w:tcPr>
            <w:shd w:val="clear" w:color="auto" w:fill="F7FBFE"/>
            <w:vAlign w:val="top"/>
          </w:tcPr>
          <w:p>
            <w:pPr>
              <w:pStyle w:val="Compact"/>
              <w:jc w:val="left"/>
            </w:pPr>
            <w:r>
              <w:t xml:space="preserve">Maintain a non-compensatory Rights Floor.</w:t>
            </w:r>
          </w:p>
        </w:tc>
      </w:tr>
      <w:tr>
        <w:tc>
          <w:tcPr>
            <w:vAlign w:val="top"/>
          </w:tcPr>
          <w:p>
            <w:pPr>
              <w:pStyle w:val="Compact"/>
              <w:jc w:val="left"/>
            </w:pPr>
            <w:r>
              <w:t xml:space="preserve">N3</w:t>
            </w:r>
          </w:p>
        </w:tc>
        <w:tc>
          <w:tcPr>
            <w:vAlign w:val="top"/>
          </w:tcPr>
          <w:p>
            <w:pPr>
              <w:pStyle w:val="Compact"/>
              <w:jc w:val="left"/>
            </w:pPr>
            <w:r>
              <w:t xml:space="preserve">Differentiated protection and non-domination: protection responds to credible evidence of sentience, vulnerability, dependency, agency, consent capacity, and exposure; difference does not justify arbitrary domination.</w:t>
            </w:r>
          </w:p>
        </w:tc>
        <w:tc>
          <w:tcPr>
            <w:vAlign w:val="top"/>
          </w:tcPr>
          <w:p>
            <w:pPr>
              <w:pStyle w:val="Compact"/>
              <w:jc w:val="left"/>
            </w:pPr>
            <w:r>
              <w:t xml:space="preserve">Use SGP and protection typing without converting protection into authority.</w:t>
            </w:r>
          </w:p>
        </w:tc>
      </w:tr>
      <w:tr>
        <w:tc>
          <w:tcPr>
            <w:shd w:val="clear" w:color="auto" w:fill="F7FBFE"/>
            <w:vAlign w:val="top"/>
          </w:tcPr>
          <w:p>
            <w:pPr>
              <w:pStyle w:val="Compact"/>
              <w:jc w:val="left"/>
            </w:pPr>
            <w:r>
              <w:t xml:space="preserve">N4</w:t>
            </w:r>
          </w:p>
        </w:tc>
        <w:tc>
          <w:tcPr>
            <w:shd w:val="clear" w:color="auto" w:fill="F7FBFE"/>
            <w:vAlign w:val="top"/>
          </w:tcPr>
          <w:p>
            <w:pPr>
              <w:pStyle w:val="Compact"/>
              <w:jc w:val="left"/>
            </w:pPr>
            <w:r>
              <w:t xml:space="preserve">Ruin asymmetry: catastrophic, irreversible, correlated, and existential harms warrant stronger precaution than ordinary reversible loss.</w:t>
            </w:r>
          </w:p>
        </w:tc>
        <w:tc>
          <w:tcPr>
            <w:shd w:val="clear" w:color="auto" w:fill="F7FBFE"/>
            <w:vAlign w:val="top"/>
          </w:tcPr>
          <w:p>
            <w:pPr>
              <w:pStyle w:val="Compact"/>
              <w:jc w:val="left"/>
            </w:pPr>
            <w:r>
              <w:t xml:space="preserve">Apply non-linear tail-risk control before residual ranking.</w:t>
            </w:r>
          </w:p>
        </w:tc>
      </w:tr>
      <w:tr>
        <w:tc>
          <w:tcPr>
            <w:vAlign w:val="top"/>
          </w:tcPr>
          <w:p>
            <w:pPr>
              <w:pStyle w:val="Compact"/>
              <w:jc w:val="left"/>
            </w:pPr>
            <w:r>
              <w:t xml:space="preserve">N5</w:t>
            </w:r>
          </w:p>
        </w:tc>
        <w:tc>
          <w:tcPr>
            <w:vAlign w:val="top"/>
          </w:tcPr>
          <w:p>
            <w:pPr>
              <w:pStyle w:val="Compact"/>
              <w:jc w:val="left"/>
            </w:pPr>
            <w:r>
              <w:t xml:space="preserve">Conflict and emergency handling: justified limitations must be distinguished from prohibited violations and must be lawful, necessary, proportionate, temporary, monitored, reviewable, and reversible where feasible.</w:t>
            </w:r>
          </w:p>
        </w:tc>
        <w:tc>
          <w:tcPr>
            <w:vAlign w:val="top"/>
          </w:tcPr>
          <w:p>
            <w:pPr>
              <w:pStyle w:val="Compact"/>
              <w:jc w:val="left"/>
            </w:pPr>
            <w:r>
              <w:t xml:space="preserve">Govern emergencies explicitly; do not normalize exceptions.</w:t>
            </w:r>
          </w:p>
        </w:tc>
      </w:tr>
      <w:tr>
        <w:tc>
          <w:tcPr>
            <w:shd w:val="clear" w:color="auto" w:fill="F7FBFE"/>
            <w:vAlign w:val="top"/>
          </w:tcPr>
          <w:p>
            <w:pPr>
              <w:pStyle w:val="Compact"/>
              <w:jc w:val="left"/>
            </w:pPr>
            <w:r>
              <w:t xml:space="preserve">B1</w:t>
            </w:r>
          </w:p>
        </w:tc>
        <w:tc>
          <w:tcPr>
            <w:shd w:val="clear" w:color="auto" w:fill="F7FBFE"/>
            <w:vAlign w:val="top"/>
          </w:tcPr>
          <w:p>
            <w:pPr>
              <w:pStyle w:val="Compact"/>
              <w:jc w:val="left"/>
            </w:pPr>
            <w:r>
              <w:t xml:space="preserve">Material affectability: operational consideration requires a credible pathway of effect, dependency, representation, stewardship, or foreseeable risk.</w:t>
            </w:r>
          </w:p>
        </w:tc>
        <w:tc>
          <w:tcPr>
            <w:shd w:val="clear" w:color="auto" w:fill="F7FBFE"/>
            <w:vAlign w:val="top"/>
          </w:tcPr>
          <w:p>
            <w:pPr>
              <w:pStyle w:val="Compact"/>
              <w:jc w:val="left"/>
            </w:pPr>
            <w:r>
              <w:t xml:space="preserve">Include by evidenced pathway, not mere co-membership.</w:t>
            </w:r>
          </w:p>
        </w:tc>
      </w:tr>
      <w:tr>
        <w:tc>
          <w:tcPr>
            <w:vAlign w:val="top"/>
          </w:tcPr>
          <w:p>
            <w:pPr>
              <w:pStyle w:val="Compact"/>
              <w:jc w:val="left"/>
            </w:pPr>
            <w:r>
              <w:t xml:space="preserve">B2</w:t>
            </w:r>
          </w:p>
        </w:tc>
        <w:tc>
          <w:tcPr>
            <w:vAlign w:val="top"/>
          </w:tcPr>
          <w:p>
            <w:pPr>
              <w:pStyle w:val="Compact"/>
              <w:jc w:val="left"/>
            </w:pPr>
            <w:r>
              <w:t xml:space="preserve">Agency under uncertainty: responsibility scales with power, knowledge, role, and capacity to foresee, control, or mitigate effects.</w:t>
            </w:r>
          </w:p>
        </w:tc>
        <w:tc>
          <w:tcPr>
            <w:vAlign w:val="top"/>
          </w:tcPr>
          <w:p>
            <w:pPr>
              <w:pStyle w:val="Compact"/>
              <w:jc w:val="left"/>
            </w:pPr>
            <w:r>
              <w:t xml:space="preserve">Record responsibility, authority, and control asymmetries.</w:t>
            </w:r>
          </w:p>
        </w:tc>
      </w:tr>
      <w:tr>
        <w:tc>
          <w:tcPr>
            <w:shd w:val="clear" w:color="auto" w:fill="F7FBFE"/>
            <w:vAlign w:val="top"/>
          </w:tcPr>
          <w:p>
            <w:pPr>
              <w:pStyle w:val="Compact"/>
              <w:jc w:val="left"/>
            </w:pPr>
            <w:r>
              <w:t xml:space="preserve">B3</w:t>
            </w:r>
          </w:p>
        </w:tc>
        <w:tc>
          <w:tcPr>
            <w:shd w:val="clear" w:color="auto" w:fill="F7FBFE"/>
            <w:vAlign w:val="top"/>
          </w:tcPr>
          <w:p>
            <w:pPr>
              <w:pStyle w:val="Compact"/>
              <w:jc w:val="left"/>
            </w:pPr>
            <w:r>
              <w:t xml:space="preserve">Public justification and correction: coercive or high-impact decisions require contestable reasons, auditable evidence, legitimate representation, remedy, and revision.</w:t>
            </w:r>
          </w:p>
        </w:tc>
        <w:tc>
          <w:tcPr>
            <w:shd w:val="clear" w:color="auto" w:fill="F7FBFE"/>
            <w:vAlign w:val="top"/>
          </w:tcPr>
          <w:p>
            <w:pPr>
              <w:pStyle w:val="Compact"/>
              <w:jc w:val="left"/>
            </w:pPr>
            <w:r>
              <w:t xml:space="preserve">Require challenge, appeal, redress, and correction pathways.</w:t>
            </w:r>
          </w:p>
        </w:tc>
      </w:tr>
    </w:tbl>
    <w:bookmarkEnd w:id="759"/>
    <w:bookmarkStart w:id="760" w:name="ax3-protection-type-separation"/>
    <w:p>
      <w:pPr>
        <w:pStyle w:val="Heading2"/>
      </w:pPr>
      <w:r>
        <w:rPr>
          <w:bCs/>
          <w:b/>
        </w:rPr>
        <w:t xml:space="preserve">AX.3 Protection-type separation</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Protection type</w:t>
            </w:r>
          </w:p>
        </w:tc>
        <w:tc>
          <w:tcPr>
            <w:shd w:val="clear" w:color="auto" w:fill="D9EAF7"/>
            <w:vAlign w:val="center"/>
          </w:tcPr>
          <w:p>
            <w:pPr>
              <w:pStyle w:val="Compact"/>
              <w:jc w:val="left"/>
            </w:pPr>
            <w:r>
              <w:rPr>
                <w:bCs/>
                <w:b/>
                <w:color w:val="17365D"/>
              </w:rPr>
              <w:t xml:space="preserve">Primary basis</w:t>
            </w:r>
          </w:p>
        </w:tc>
        <w:tc>
          <w:tcPr>
            <w:shd w:val="clear" w:color="auto" w:fill="D9EAF7"/>
            <w:vAlign w:val="center"/>
          </w:tcPr>
          <w:p>
            <w:pPr>
              <w:pStyle w:val="Compact"/>
              <w:jc w:val="left"/>
            </w:pPr>
            <w:r>
              <w:rPr>
                <w:bCs/>
                <w:b/>
                <w:color w:val="17365D"/>
              </w:rPr>
              <w:t xml:space="preserve">Authority implication</w:t>
            </w:r>
          </w:p>
        </w:tc>
      </w:tr>
      <w:tr>
        <w:tc>
          <w:tcPr>
            <w:vAlign w:val="top"/>
          </w:tcPr>
          <w:p>
            <w:pPr>
              <w:pStyle w:val="Compact"/>
              <w:jc w:val="left"/>
            </w:pPr>
            <w:r>
              <w:t xml:space="preserve">Moral-patient protection</w:t>
            </w:r>
          </w:p>
        </w:tc>
        <w:tc>
          <w:tcPr>
            <w:vAlign w:val="top"/>
          </w:tcPr>
          <w:p>
            <w:pPr>
              <w:pStyle w:val="Compact"/>
              <w:jc w:val="left"/>
            </w:pPr>
            <w:r>
              <w:t xml:space="preserve">Credible sentience, valence, suffering, welfare, or vulnerability evidence</w:t>
            </w:r>
          </w:p>
        </w:tc>
        <w:tc>
          <w:tcPr>
            <w:vAlign w:val="top"/>
          </w:tcPr>
          <w:p>
            <w:pPr>
              <w:pStyle w:val="Compact"/>
              <w:jc w:val="left"/>
            </w:pPr>
            <w:r>
              <w:t xml:space="preserve">No automatic authority</w:t>
            </w:r>
          </w:p>
        </w:tc>
      </w:tr>
      <w:tr>
        <w:tc>
          <w:tcPr>
            <w:shd w:val="clear" w:color="auto" w:fill="F7FBFE"/>
            <w:vAlign w:val="top"/>
          </w:tcPr>
          <w:p>
            <w:pPr>
              <w:pStyle w:val="Compact"/>
              <w:jc w:val="left"/>
            </w:pPr>
            <w:r>
              <w:t xml:space="preserve">Rights protection</w:t>
            </w:r>
          </w:p>
        </w:tc>
        <w:tc>
          <w:tcPr>
            <w:shd w:val="clear" w:color="auto" w:fill="F7FBFE"/>
            <w:vAlign w:val="top"/>
          </w:tcPr>
          <w:p>
            <w:pPr>
              <w:pStyle w:val="Compact"/>
              <w:jc w:val="left"/>
            </w:pPr>
            <w:r>
              <w:t xml:space="preserve">Constitutional, legal, or declared moral status</w:t>
            </w:r>
          </w:p>
        </w:tc>
        <w:tc>
          <w:tcPr>
            <w:shd w:val="clear" w:color="auto" w:fill="F7FBFE"/>
            <w:vAlign w:val="top"/>
          </w:tcPr>
          <w:p>
            <w:pPr>
              <w:pStyle w:val="Compact"/>
              <w:jc w:val="left"/>
            </w:pPr>
            <w:r>
              <w:t xml:space="preserve">No automatic authority</w:t>
            </w:r>
          </w:p>
        </w:tc>
      </w:tr>
      <w:tr>
        <w:tc>
          <w:tcPr>
            <w:vAlign w:val="top"/>
          </w:tcPr>
          <w:p>
            <w:pPr>
              <w:pStyle w:val="Compact"/>
              <w:jc w:val="left"/>
            </w:pPr>
            <w:r>
              <w:t xml:space="preserve">Agency protection</w:t>
            </w:r>
          </w:p>
        </w:tc>
        <w:tc>
          <w:tcPr>
            <w:vAlign w:val="top"/>
          </w:tcPr>
          <w:p>
            <w:pPr>
              <w:pStyle w:val="Compact"/>
              <w:jc w:val="left"/>
            </w:pPr>
            <w:r>
              <w:t xml:space="preserve">Autonomy, consent, freedom, and capacity to pursue ends</w:t>
            </w:r>
          </w:p>
        </w:tc>
        <w:tc>
          <w:tcPr>
            <w:vAlign w:val="top"/>
          </w:tcPr>
          <w:p>
            <w:pPr>
              <w:pStyle w:val="Compact"/>
              <w:jc w:val="left"/>
            </w:pPr>
            <w:r>
              <w:t xml:space="preserve">May support participatory standing, subject to lawful role</w:t>
            </w:r>
          </w:p>
        </w:tc>
      </w:tr>
      <w:tr>
        <w:tc>
          <w:tcPr>
            <w:shd w:val="clear" w:color="auto" w:fill="F7FBFE"/>
            <w:vAlign w:val="top"/>
          </w:tcPr>
          <w:p>
            <w:pPr>
              <w:pStyle w:val="Compact"/>
              <w:jc w:val="left"/>
            </w:pPr>
            <w:r>
              <w:t xml:space="preserve">Ecological protection</w:t>
            </w:r>
          </w:p>
        </w:tc>
        <w:tc>
          <w:tcPr>
            <w:shd w:val="clear" w:color="auto" w:fill="F7FBFE"/>
            <w:vAlign w:val="top"/>
          </w:tcPr>
          <w:p>
            <w:pPr>
              <w:pStyle w:val="Compact"/>
              <w:jc w:val="left"/>
            </w:pPr>
            <w:r>
              <w:t xml:space="preserve">Life-support function, integrity, biodiversity, and stewardship</w:t>
            </w:r>
          </w:p>
        </w:tc>
        <w:tc>
          <w:tcPr>
            <w:shd w:val="clear" w:color="auto" w:fill="F7FBFE"/>
            <w:vAlign w:val="top"/>
          </w:tcPr>
          <w:p>
            <w:pPr>
              <w:pStyle w:val="Compact"/>
              <w:jc w:val="left"/>
            </w:pPr>
            <w:r>
              <w:t xml:space="preserve">No authority grant</w:t>
            </w:r>
          </w:p>
        </w:tc>
      </w:tr>
      <w:tr>
        <w:tc>
          <w:tcPr>
            <w:vAlign w:val="top"/>
          </w:tcPr>
          <w:p>
            <w:pPr>
              <w:pStyle w:val="Compact"/>
              <w:jc w:val="left"/>
            </w:pPr>
            <w:r>
              <w:t xml:space="preserve">Structural protection</w:t>
            </w:r>
          </w:p>
        </w:tc>
        <w:tc>
          <w:tcPr>
            <w:vAlign w:val="top"/>
          </w:tcPr>
          <w:p>
            <w:pPr>
              <w:pStyle w:val="Compact"/>
              <w:jc w:val="left"/>
            </w:pPr>
            <w:r>
              <w:t xml:space="preserve">Institutional continuity, critical infrastructure, or systemic viability</w:t>
            </w:r>
          </w:p>
        </w:tc>
        <w:tc>
          <w:tcPr>
            <w:vAlign w:val="top"/>
          </w:tcPr>
          <w:p>
            <w:pPr>
              <w:pStyle w:val="Compact"/>
              <w:jc w:val="left"/>
            </w:pPr>
            <w:r>
              <w:t xml:space="preserve">No authority grant</w:t>
            </w:r>
          </w:p>
        </w:tc>
      </w:tr>
      <w:tr>
        <w:tc>
          <w:tcPr>
            <w:shd w:val="clear" w:color="auto" w:fill="F7FBFE"/>
            <w:vAlign w:val="top"/>
          </w:tcPr>
          <w:p>
            <w:pPr>
              <w:pStyle w:val="Compact"/>
              <w:jc w:val="left"/>
            </w:pPr>
            <w:r>
              <w:t xml:space="preserve">Representational protection</w:t>
            </w:r>
          </w:p>
        </w:tc>
        <w:tc>
          <w:tcPr>
            <w:shd w:val="clear" w:color="auto" w:fill="F7FBFE"/>
            <w:vAlign w:val="top"/>
          </w:tcPr>
          <w:p>
            <w:pPr>
              <w:pStyle w:val="Compact"/>
              <w:jc w:val="left"/>
            </w:pPr>
            <w:r>
              <w:t xml:space="preserve">Material exposure combined with inability to participate directly</w:t>
            </w:r>
          </w:p>
        </w:tc>
        <w:tc>
          <w:tcPr>
            <w:shd w:val="clear" w:color="auto" w:fill="F7FBFE"/>
            <w:vAlign w:val="top"/>
          </w:tcPr>
          <w:p>
            <w:pPr>
              <w:pStyle w:val="Compact"/>
              <w:jc w:val="left"/>
            </w:pPr>
            <w:r>
              <w:t xml:space="preserve">Requires legitimate representation or advocacy</w:t>
            </w:r>
          </w:p>
        </w:tc>
      </w:tr>
      <w:tr>
        <w:tc>
          <w:tcPr>
            <w:vAlign w:val="top"/>
          </w:tcPr>
          <w:p>
            <w:pPr>
              <w:pStyle w:val="Compact"/>
              <w:jc w:val="left"/>
            </w:pPr>
            <w:r>
              <w:t xml:space="preserve">Decision authority</w:t>
            </w:r>
          </w:p>
        </w:tc>
        <w:tc>
          <w:tcPr>
            <w:vAlign w:val="top"/>
          </w:tcPr>
          <w:p>
            <w:pPr>
              <w:pStyle w:val="Compact"/>
              <w:jc w:val="left"/>
            </w:pPr>
            <w:r>
              <w:t xml:space="preserve">Lawful mandate, competence, role, and accountability</w:t>
            </w:r>
          </w:p>
        </w:tc>
        <w:tc>
          <w:tcPr>
            <w:vAlign w:val="top"/>
          </w:tcPr>
          <w:p>
            <w:pPr>
              <w:pStyle w:val="Compact"/>
              <w:jc w:val="left"/>
            </w:pPr>
            <w:r>
              <w:t xml:space="preserve">Bounded authority only</w:t>
            </w:r>
          </w:p>
        </w:tc>
      </w:tr>
    </w:tbl>
    <w:p>
      <w:pPr>
        <w:pStyle w:val="BodyText"/>
      </w:pPr>
      <w:r>
        <w:t xml:space="preserve">No record may collapse moral-patienthood, rights-bearing status, agency, participation, protection, and decision authority into one scalar category.</w:t>
      </w:r>
    </w:p>
    <w:bookmarkEnd w:id="760"/>
    <w:bookmarkStart w:id="761" w:name="ax4-unioning-and-residual-harm-rule"/>
    <w:p>
      <w:pPr>
        <w:pStyle w:val="Heading2"/>
      </w:pPr>
      <w:r>
        <w:rPr>
          <w:bCs/>
          <w:b/>
        </w:rPr>
        <w:t xml:space="preserve">AX.4 Unioning and residual-harm rule</w:t>
      </w:r>
    </w:p>
    <w:p>
      <w:pPr>
        <w:pStyle w:val="FirstParagraph"/>
      </w:pPr>
      <w:r>
        <w:t xml:space="preserve">Unioning is the disciplined search for cooperative, Pareto-improving, harm-reducing, burden-sharing, and structurally safer redesigns before accepting residual trade-offs. It does not assume that every viable decision can make every Union positively affected. Residual non-rights harms MUST remain visible, bounded, justified, minimized, monitored, and, where appropriate, remedied. Rights failures and prohibited catastrophe exposure remain non-compensatory and cannot be redescribed as acceptable residual harm.</w:t>
      </w:r>
    </w:p>
    <w:bookmarkEnd w:id="761"/>
    <w:bookmarkStart w:id="762" w:name="ax5-profile-first-reporting"/>
    <w:p>
      <w:pPr>
        <w:pStyle w:val="Heading2"/>
      </w:pPr>
      <w:r>
        <w:rPr>
          <w:bCs/>
          <w:b/>
        </w:rPr>
        <w:t xml:space="preserve">AX.5 Profile-first reporting</w:t>
      </w:r>
    </w:p>
    <w:p>
      <w:pPr>
        <w:pStyle w:val="FirstParagraph"/>
      </w:pPr>
      <w:r>
        <w:t xml:space="preserve">For Tier 2 and Tier 3 runs, the disclosed 7 x 7 profile, subgroup and worst-affected-group slices, uncertainty, evidence maturity, non-maskable findings, sensitivity results, and incomparability or non-decisiveness status MUST be presented before any scalar RLS summary. RLS is an authorized summary of a disclosed profile, not a substitute for that profile.</w:t>
      </w:r>
    </w:p>
    <w:bookmarkEnd w:id="762"/>
    <w:bookmarkEnd w:id="763"/>
    <w:bookmarkStart w:id="764" w:name="final-document-completion-statement"/>
    <w:p>
      <w:pPr>
        <w:pStyle w:val="Heading1"/>
      </w:pPr>
      <w:bookmarkStart w:id="834" w:name="mg_toc_070"/>
      <w:r>
        <w:rPr>
          <w:bCs/>
          <w:b/>
        </w:rPr>
        <w:t xml:space="preserve">FINAL DOCUMENT COMPLETION STATEMENT</w:t>
      </w:r>
      <w:bookmarkEnd w:id="834"/>
    </w:p>
    <w:p>
      <w:pPr>
        <w:pStyle w:val="FirstParagraph"/>
      </w:pPr>
      <w:r>
        <w:t xml:space="preserve">RippleLogic v12.6 is released as a Tier 1-3 public research/source architecture specification. It preserves the canonical cascade</w:t>
      </w:r>
      <w:r>
        <w:t xml:space="preserve"> </w:t>
      </w:r>
      <w:r>
        <w:rPr>
          <w:rStyle w:val="VerbatimChar"/>
        </w:rPr>
        <w:t xml:space="preserve">RG -&gt; RF -&gt; TRC -&gt; CSV -&gt; RLS</w:t>
      </w:r>
      <w:r>
        <w:t xml:space="preserve">, the v12.0 Physical Admissibility boundary, seven operational scopes, SGP binding interface, PLSS/FLGG architecture, RSP/RefStructRecord evidence discipline, refusal logic, audit requirements, and claim-boundary rules.</w:t>
      </w:r>
    </w:p>
    <w:p>
      <w:pPr>
        <w:pStyle w:val="BodyText"/>
      </w:pPr>
      <w:r>
        <w:t xml:space="preserve">The canonical source terminates after Appendix AX and this statement. Appendix labels AS-AW are intentionally unused in this release; Appendix AX is the final normative clarification appendix. This release does not claim empirical validation, Tier 4 readiness, ProofPack readiness, deployment readiness, legal compliance certification, machine-verifiable ecosystem completeness, cross-domain validated UCI, completed biological SGP measurement, a reference calculator, or automated moral truth. Release identity is governed by the repository manifest and verified SHA-256 hashes for the published artifact set.</w:t>
      </w:r>
    </w:p>
    <w:bookmarkEnd w:id="764"/>
    <w:sectPr>
      <w:headerReference r:id="rId9" w:type="default"/>
      <w:headerReference r:id="rId10" w:type="first"/>
      <w:headerReference r:id="rId11" w:type="even"/>
      <w:footerReference r:id="rId12" w:type="default"/>
      <w:footerReference r:id="rId13" w:type="first"/>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widowControl/>
      <w:spacing w:before="0" w:after="0"/>
      <w:jc w:val="center"/>
    </w:pPr>
    <w:r>
      <w:rPr>
        <w:rFonts w:ascii="Arial" w:hAnsi="Arial"/>
        <w:color w:val="666666"/>
        <w:sz w:val="16"/>
      </w:rPr>
      <w:t xml:space="preserve">RippleLogic Canon v12.6 | MathGov Institute for Ethical Systems Design | Page </w:t>
    </w:r>
    <w:fldSimple w:instr="PAGE">
      <w:r>
        <w:rPr>
          <w:rFonts w:ascii="Arial" w:hAnsi="Arial" w:eastAsia="Arial"/>
          <w:color w:val="666666"/>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7">
    <w:nsid w:val="A9942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34">
    <w:nsid w:val="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num w:numId="1000">
    <w:abstractNumId w:val="990"/>
  </w:num>
  <w:num w:numId="1001">
    <w:abstractNumId w:val="991"/>
  </w:num>
  <w:num w:numId="1002">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1"/>
  </w:num>
  <w:num w:numId="1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4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m:mathPr>
    <m:mathFont m:val="Cambria Math"/>
    <m:brkBin m:val="before"/>
    <m:brkBinSub m:val="--"/>
    <m:smallFrac m:val="0"/>
    <m:dispDef/>
    <m:lMargin m:val="0"/>
    <m:rMargin m:val="0"/>
    <m:wrapRight/>
    <m:intLim m:val="subSup"/>
    <m:naryLim m:val="undOvr"/>
  </m:mathPr>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298" Type="http://schemas.openxmlformats.org/officeDocument/2006/relationships/hyperlink" Target="https://doi.org/10.1016/0047-2484(92)90081-J" TargetMode="External"/><Relationship Id="rId299" Type="http://schemas.openxmlformats.org/officeDocument/2006/relationships/hyperlink" Target="https://doi.org/10.1017/S0140525X00032325" TargetMode="External"/><Relationship Id="rId315" Type="http://schemas.openxmlformats.org/officeDocument/2006/relationships/hyperlink" Target="https://doi.org/10.1037/0003-066X.55.1.68" TargetMode="External"/><Relationship Id="rId314" Type="http://schemas.openxmlformats.org/officeDocument/2006/relationships/hyperlink" Target="https://doi.org/10.1038/461472a" TargetMode="External"/><Relationship Id="rId313" Type="http://schemas.openxmlformats.org/officeDocument/2006/relationships/hyperlink" Target="https://doi.org/10.1038/s41586-023-06083-8" TargetMode="External"/><Relationship Id="rId307" Type="http://schemas.openxmlformats.org/officeDocument/2006/relationships/hyperlink" Target="https://doi.org/10.1073/pnas.0705414105" TargetMode="External"/><Relationship Id="rId295" Type="http://schemas.openxmlformats.org/officeDocument/2006/relationships/hyperlink" Target="https://doi.org/10.1111/1467-9965.00068" TargetMode="External"/><Relationship Id="rId310" Type="http://schemas.openxmlformats.org/officeDocument/2006/relationships/hyperlink" Target="https://doi.org/10.1126/science.1133755" TargetMode="External"/><Relationship Id="rId301" Type="http://schemas.openxmlformats.org/officeDocument/2006/relationships/hyperlink" Target="https://doi.org/10.1126/science.1205106" TargetMode="External"/><Relationship Id="rId316" Type="http://schemas.openxmlformats.org/officeDocument/2006/relationships/hyperlink" Target="https://doi.org/10.1126/science.1259855" TargetMode="External"/><Relationship Id="rId296" Type="http://schemas.openxmlformats.org/officeDocument/2006/relationships/hyperlink" Target="https://doi.org/10.1126/science.286.5439.509" TargetMode="External"/><Relationship Id="rId312" Type="http://schemas.openxmlformats.org/officeDocument/2006/relationships/hyperlink" Target="https://doi.org/10.21314/JOR.2000.038" TargetMode="External"/><Relationship Id="rId306" Type="http://schemas.openxmlformats.org/officeDocument/2006/relationships/hyperlink" Target="https://doi.org/10.2307/1914185" TargetMode="External"/><Relationship Id="rId300" Type="http://schemas.openxmlformats.org/officeDocument/2006/relationships/hyperlink" Target="https://doi.org/10.2307/2666999" TargetMode="External"/><Relationship Id="rId294" Type="http://schemas.openxmlformats.org/officeDocument/2006/relationships/hyperlink" Target="https://doi.org/10.48550/arXiv.1606.06565" TargetMode="External"/><Relationship Id="rId308" Type="http://schemas.openxmlformats.org/officeDocument/2006/relationships/hyperlink" Target="https://doi.org/10.48550/arXiv.1803.04585" TargetMode="External"/><Relationship Id="rId303" Type="http://schemas.openxmlformats.org/officeDocument/2006/relationships/hyperlink" Target="https://doi.org/10.59327/IPCC/AR6-9789291691647" TargetMode="External"/><Relationship Id="rId309" Type="http://schemas.openxmlformats.org/officeDocument/2006/relationships/hyperlink" Target="https://doi.org/10.6028/NIST.AI.100-1" TargetMode="External"/><Relationship Id="rId323" Type="http://schemas.openxmlformats.org/officeDocument/2006/relationships/hyperlink" Target="https://iris.who.int/handle/10665/43974" TargetMode="External"/><Relationship Id="rId311" Type="http://schemas.openxmlformats.org/officeDocument/2006/relationships/hyperlink" Target="https://rsf.org/en/index" TargetMode="External"/><Relationship Id="rId317" Type="http://schemas.openxmlformats.org/officeDocument/2006/relationships/hyperlink" Target="https://treaties.un.org/Pages/ViewDetails.aspx?src=TREATY&amp;mtdsg_no=IV-4&amp;chapter=4&amp;clang=" TargetMode="External"/><Relationship Id="rId318" Type="http://schemas.openxmlformats.org/officeDocument/2006/relationships/hyperlink" Target="https://treaties.un.org/Pages/ViewDetails.aspx?src=TREATY&amp;mtdsg_no=IV-4&amp;chapter=4&amp;clang=_en" TargetMode="External"/><Relationship Id="rId319" Type="http://schemas.openxmlformats.org/officeDocument/2006/relationships/hyperlink" Target="https://treaties.un.org/Pages/ViewDetails.aspx?src=TREATY&amp;mtdsg_no=IV-9&amp;chapter=4&amp;clang=" TargetMode="External"/><Relationship Id="rId320" Type="http://schemas.openxmlformats.org/officeDocument/2006/relationships/hyperlink" Target="https://treaties.un.org/Pages/ViewDetails.aspx?src=TREATY&amp;mtdsg_no=IV-9&amp;chapter=4&amp;clang=_en" TargetMode="External"/><Relationship Id="rId321" Type="http://schemas.openxmlformats.org/officeDocument/2006/relationships/hyperlink" Target="https://unhabitat.org/the-challenge-of-slums-global-report-on-human-settlements-2003" TargetMode="External"/><Relationship Id="rId325" Type="http://schemas.openxmlformats.org/officeDocument/2006/relationships/hyperlink" Target="https://worldjusticeproject.org/rule-of-law-index/" TargetMode="External"/><Relationship Id="rId297" Type="http://schemas.openxmlformats.org/officeDocument/2006/relationships/hyperlink" Target="https://www.echr.coe.int/the-convention" TargetMode="External"/><Relationship Id="rId304" Type="http://schemas.openxmlformats.org/officeDocument/2006/relationships/hyperlink" Target="https://www.ilo.org/ilo-declaration-fundamental-principles-and-rights-work/about-declaration/text-declaration-and-its-follow" TargetMode="External"/><Relationship Id="rId305" Type="http://schemas.openxmlformats.org/officeDocument/2006/relationships/hyperlink" Target="https://www.ilo.org/publications/ilo-indicators-forced-labour" TargetMode="External"/><Relationship Id="rId302" Type="http://schemas.openxmlformats.org/officeDocument/2006/relationships/hyperlink" Target="https://www.ipcinfo.org/" TargetMode="External"/><Relationship Id="rId322" Type="http://schemas.openxmlformats.org/officeDocument/2006/relationships/hyperlink" Target="https://www.un.org/en/genocideprevention/publications.shtml" TargetMode="External"/><Relationship Id="rId324" Type="http://schemas.openxmlformats.org/officeDocument/2006/relationships/hyperlink" Target="https://www.who.int/standards/classifications/international-classification-of-functioning-disability-and-health" TargetMode="External"/></Relationships>
</file>

<file path=word/_rels/footnotes.xml.rels><?xml version='1.0' encoding='UTF-8' standalone='yes'?>
<Relationships xmlns="http://schemas.openxmlformats.org/package/2006/relationships"><Relationship Id="rId298" Type="http://schemas.openxmlformats.org/officeDocument/2006/relationships/hyperlink" Target="https://doi.org/10.1016/0047-2484(92)90081-J" TargetMode="External"/><Relationship Id="rId299" Type="http://schemas.openxmlformats.org/officeDocument/2006/relationships/hyperlink" Target="https://doi.org/10.1017/S0140525X00032325" TargetMode="External"/><Relationship Id="rId315" Type="http://schemas.openxmlformats.org/officeDocument/2006/relationships/hyperlink" Target="https://doi.org/10.1037/0003-066X.55.1.68" TargetMode="External"/><Relationship Id="rId314" Type="http://schemas.openxmlformats.org/officeDocument/2006/relationships/hyperlink" Target="https://doi.org/10.1038/461472a" TargetMode="External"/><Relationship Id="rId313" Type="http://schemas.openxmlformats.org/officeDocument/2006/relationships/hyperlink" Target="https://doi.org/10.1038/s41586-023-06083-8" TargetMode="External"/><Relationship Id="rId307" Type="http://schemas.openxmlformats.org/officeDocument/2006/relationships/hyperlink" Target="https://doi.org/10.1073/pnas.0705414105" TargetMode="External"/><Relationship Id="rId295" Type="http://schemas.openxmlformats.org/officeDocument/2006/relationships/hyperlink" Target="https://doi.org/10.1111/1467-9965.00068" TargetMode="External"/><Relationship Id="rId310" Type="http://schemas.openxmlformats.org/officeDocument/2006/relationships/hyperlink" Target="https://doi.org/10.1126/science.1133755" TargetMode="External"/><Relationship Id="rId301" Type="http://schemas.openxmlformats.org/officeDocument/2006/relationships/hyperlink" Target="https://doi.org/10.1126/science.1205106" TargetMode="External"/><Relationship Id="rId316" Type="http://schemas.openxmlformats.org/officeDocument/2006/relationships/hyperlink" Target="https://doi.org/10.1126/science.1259855" TargetMode="External"/><Relationship Id="rId296" Type="http://schemas.openxmlformats.org/officeDocument/2006/relationships/hyperlink" Target="https://doi.org/10.1126/science.286.5439.509" TargetMode="External"/><Relationship Id="rId312" Type="http://schemas.openxmlformats.org/officeDocument/2006/relationships/hyperlink" Target="https://doi.org/10.21314/JOR.2000.038" TargetMode="External"/><Relationship Id="rId306" Type="http://schemas.openxmlformats.org/officeDocument/2006/relationships/hyperlink" Target="https://doi.org/10.2307/1914185" TargetMode="External"/><Relationship Id="rId300" Type="http://schemas.openxmlformats.org/officeDocument/2006/relationships/hyperlink" Target="https://doi.org/10.2307/2666999" TargetMode="External"/><Relationship Id="rId294" Type="http://schemas.openxmlformats.org/officeDocument/2006/relationships/hyperlink" Target="https://doi.org/10.48550/arXiv.1606.06565" TargetMode="External"/><Relationship Id="rId308" Type="http://schemas.openxmlformats.org/officeDocument/2006/relationships/hyperlink" Target="https://doi.org/10.48550/arXiv.1803.04585" TargetMode="External"/><Relationship Id="rId303" Type="http://schemas.openxmlformats.org/officeDocument/2006/relationships/hyperlink" Target="https://doi.org/10.59327/IPCC/AR6-9789291691647" TargetMode="External"/><Relationship Id="rId309" Type="http://schemas.openxmlformats.org/officeDocument/2006/relationships/hyperlink" Target="https://doi.org/10.6028/NIST.AI.100-1" TargetMode="External"/><Relationship Id="rId323" Type="http://schemas.openxmlformats.org/officeDocument/2006/relationships/hyperlink" Target="https://iris.who.int/handle/10665/43974" TargetMode="External"/><Relationship Id="rId311" Type="http://schemas.openxmlformats.org/officeDocument/2006/relationships/hyperlink" Target="https://rsf.org/en/index" TargetMode="External"/><Relationship Id="rId317" Type="http://schemas.openxmlformats.org/officeDocument/2006/relationships/hyperlink" Target="https://treaties.un.org/Pages/ViewDetails.aspx?src=TREATY&amp;mtdsg_no=IV-4&amp;chapter=4&amp;clang=" TargetMode="External"/><Relationship Id="rId318" Type="http://schemas.openxmlformats.org/officeDocument/2006/relationships/hyperlink" Target="https://treaties.un.org/Pages/ViewDetails.aspx?src=TREATY&amp;mtdsg_no=IV-4&amp;chapter=4&amp;clang=_en" TargetMode="External"/><Relationship Id="rId319" Type="http://schemas.openxmlformats.org/officeDocument/2006/relationships/hyperlink" Target="https://treaties.un.org/Pages/ViewDetails.aspx?src=TREATY&amp;mtdsg_no=IV-9&amp;chapter=4&amp;clang=" TargetMode="External"/><Relationship Id="rId320" Type="http://schemas.openxmlformats.org/officeDocument/2006/relationships/hyperlink" Target="https://treaties.un.org/Pages/ViewDetails.aspx?src=TREATY&amp;mtdsg_no=IV-9&amp;chapter=4&amp;clang=_en" TargetMode="External"/><Relationship Id="rId321" Type="http://schemas.openxmlformats.org/officeDocument/2006/relationships/hyperlink" Target="https://unhabitat.org/the-challenge-of-slums-global-report-on-human-settlements-2003" TargetMode="External"/><Relationship Id="rId325" Type="http://schemas.openxmlformats.org/officeDocument/2006/relationships/hyperlink" Target="https://worldjusticeproject.org/rule-of-law-index/" TargetMode="External"/><Relationship Id="rId297" Type="http://schemas.openxmlformats.org/officeDocument/2006/relationships/hyperlink" Target="https://www.echr.coe.int/the-convention" TargetMode="External"/><Relationship Id="rId304" Type="http://schemas.openxmlformats.org/officeDocument/2006/relationships/hyperlink" Target="https://www.ilo.org/ilo-declaration-fundamental-principles-and-rights-work/about-declaration/text-declaration-and-its-follow" TargetMode="External"/><Relationship Id="rId305" Type="http://schemas.openxmlformats.org/officeDocument/2006/relationships/hyperlink" Target="https://www.ilo.org/publications/ilo-indicators-forced-labour" TargetMode="External"/><Relationship Id="rId302" Type="http://schemas.openxmlformats.org/officeDocument/2006/relationships/hyperlink" Target="https://www.ipcinfo.org/" TargetMode="External"/><Relationship Id="rId322" Type="http://schemas.openxmlformats.org/officeDocument/2006/relationships/hyperlink" Target="https://www.un.org/en/genocideprevention/publications.shtml" TargetMode="External"/><Relationship Id="rId324" Type="http://schemas.openxmlformats.org/officeDocument/2006/relationships/hyperlink" Target="https://www.who.int/standards/classifications/international-classification-of-functioning-disability-and-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2026-08-09T16:39:39Z</dcterms:created>
  <dcterms:modified xsi:type="dcterms:W3CDTF">2026-08-09T16:39:39Z</dcterms:modified>
</cp:coreProperties>
</file>

<file path=docProps/custom.xml><?xml version="1.0" encoding="utf-8"?>
<Properties xmlns="http://schemas.openxmlformats.org/officeDocument/2006/custom-properties" xmlns:vt="http://schemas.openxmlformats.org/officeDocument/2006/docPropsVTypes"/>
</file>