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2d95ce7085f8bcab8dc03f2232d0e53ce2db16"/>
    <w:p>
      <w:pPr>
        <w:pStyle w:val="Heading1"/>
        <w:keepNext/>
        <w:keepLines/>
        <w:pageBreakBefore w:val="0"/>
        <w:widowControl/>
      </w:pPr>
      <w:r>
        <w:rPr>
          <w:rFonts w:ascii="Arial" w:hAnsi="Arial" w:eastAsia="Arial"/>
          <w:b/>
          <w:color w:val="1F4E78"/>
        </w:rPr>
        <w:t xml:space="preserve">Methodological Falsifiability and Dependency Integrity Standard v2.2</w:t>
      </w:r>
    </w:p>
    <w:bookmarkStart w:id="20" w:name="v22-current-release-integration"/>
    <w:p>
      <w:pPr>
        <w:pStyle w:val="Heading2"/>
        <w:keepNext/>
        <w:keepLines/>
        <w:pageBreakBefore w:val="0"/>
        <w:widowControl/>
      </w:pPr>
      <w:r>
        <w:rPr>
          <w:rFonts w:ascii="Arial" w:hAnsi="Arial" w:eastAsia="Arial"/>
          <w:b/>
          <w:color w:val="1F4E78"/>
        </w:rPr>
        <w:t xml:space="preserve">v2.2 Current Release Integration</w:t>
      </w:r>
    </w:p>
    <w:p>
      <w:pPr>
        <w:pStyle w:val="FirstParagraph"/>
        <w:widowControl/>
      </w:pPr>
      <w:r>
        <w:rPr>
          <w:b/>
          <w:bCs/>
        </w:rPr>
        <w:t>Release: MathGov Core Release 2026.09 v12.5 / SGP v8.4 - Configuration-Bound Assurance Public Research Source Release</w:t>
      </w:r>
      <w:r/>
      <w:r/>
    </w:p>
    <w:p>
      <w:pPr>
        <w:pStyle w:val="BodyText"/>
        <w:widowControl/>
      </w:pPr>
      <w:r>
        <w:rPr>
          <w:b/>
          <w:bCs/>
        </w:rPr>
        <w:t xml:space="preserve">Exact current companion pins:</w:t>
      </w:r>
      <w:r>
        <w:t xml:space="preserve"> </w:t>
      </w:r>
      <w:r>
        <w:t xml:space="preserve">Canon v12.5; SGP v8.4; ripple.md v5.4; Agent System v12.3; CSV v2.3; Cascade v2.5; Reproducibility v1.3; WDBIP v1.5; RLS Validation v2.5; Primer v4.3; Public Introduction v12.5; PC-AEP/MFDI/Source-Coupling v2.2; Aligners Sheet v5.5.</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Integrity surface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Current requirement</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boundary</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Claim typing</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empirical, causal, formal, operational, normative, and metaphysical-horizon claims declare their evidence and authority boundaries.</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protocol does not make every normative commitment physically falsifiable.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Dependency integrity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Starting assumptions, definitions, models, thresholds, and inherited sources are versioned; material changes trigger re-derivation.</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Silent retrofitting is prohibited.</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Revision trigger</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A claim identifies evidence or conditions that would force revision, narrowing, rerun, or retirement.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Fluency and coherence are not external confirmation.</w:t>
            </w:r>
          </w:p>
        </w:tc>
      </w:tr>
    </w:tbl>
    <w:p>
      <w:pPr>
        <w:pStyle w:val="BodyText"/>
        <w:widowControl/>
      </w:pPr>
      <w:r>
        <w:t xml:space="preserve">Source-boundary rule: If this compact standard conflicts with the RippleLogic Canon, the Canon controls.</w:t>
      </w:r>
    </w:p>
    <w:bookmarkEnd w:id="20"/>
    <w:bookmarkStart w:id="21" w:name="X2ce20b82b4c4f03fa48f721ee6ed33615b579de"/>
    <w:p>
      <w:pPr>
        <w:pStyle w:val="Heading2"/>
        <w:keepNext/>
        <w:keepLines/>
        <w:pageBreakBefore w:val="0"/>
        <w:widowControl/>
      </w:pPr>
      <w:r>
        <w:rPr>
          <w:rFonts w:ascii="Arial" w:hAnsi="Arial" w:eastAsia="Arial"/>
          <w:b/>
          <w:color w:val="1F4E78"/>
        </w:rPr>
        <w:t xml:space="preserve">v2.2 Frozen Evaluation Binding and Milestone Claim Discipline</w:t>
      </w:r>
    </w:p>
    <w:p>
      <w:pPr>
        <w:pStyle w:val="FirstParagraph"/>
        <w:widowControl/>
      </w:pPr>
      <w:r>
        <w:t xml:space="preserve">Before consequential evaluation, the run freezes and versions the decision question, system boundary, configuration, evidence schema, stakeholder scope, rights interpretation, scenario families, thresholds, uncertainty treatment, weighting protocol, control requirements, stopping conditions, and authorization pathway. A material post-result alteration creates a new run or declared revision branch.</w:t>
      </w:r>
    </w:p>
    <w:p>
      <w:pPr>
        <w:pStyle w:val="BodyText"/>
        <w:widowControl/>
      </w:pPr>
      <w:r>
        <w:t xml:space="preserve">Implementation milestones are classified narrowly. Successful formal derivation, compilation, synthesis, simulation, hardware implementation, or integration may defeat a specific impossibility hypothesis, but it does not prove empirical superiority, domain validity, physical safety, ontology, rights compatibility, or deployment readiness. Claims must name the exact falsification criterion tested and the alternatives that remain open.</w:t>
      </w:r>
    </w:p>
    <w:bookmarkEnd w:id="21"/>
    <w:bookmarkStart w:id="22" w:name="purpose"/>
    <w:p>
      <w:pPr>
        <w:pStyle w:val="Heading2"/>
        <w:keepNext/>
        <w:keepLines/>
        <w:pageBreakBefore w:val="0"/>
        <w:widowControl/>
      </w:pPr>
      <w:r>
        <w:rPr>
          <w:rFonts w:ascii="Arial" w:hAnsi="Arial" w:eastAsia="Arial"/>
          <w:b/>
          <w:color w:val="1F4E78"/>
        </w:rPr>
        <w:t xml:space="preserve">Purpose</w:t>
      </w:r>
    </w:p>
    <w:p>
      <w:pPr>
        <w:pStyle w:val="FirstParagraph"/>
        <w:widowControl/>
      </w:pPr>
      <w:r>
        <w:t xml:space="preserve">This compact standard defines the v12-line methodological integrity discipline for MathGov and RippleLogic, introduced at v12.0 and retained in the current v12.5 release. It adopts the bounded principle that claim-bearing elements must not survive merely because they are plausible, fluent, approved, compliant, or locally useful. A material claim must declare what kind of claim it is, what it depends on, what would force revision, what alternatives remain open, and what downstream elements must be rerun if the foundation changes.</w:t>
      </w:r>
    </w:p>
    <w:p>
      <w:pPr>
        <w:pStyle w:val="BodyText"/>
        <w:widowControl/>
      </w:pPr>
      <w:r>
        <w:t xml:space="preserve">It is not a sixth gate. It does not replace Reality Grounding, RF/NCRC, TRC, CSV, SGP, RLS, PC-AEP, domain science, or external validation.</w:t>
      </w:r>
    </w:p>
    <w:bookmarkEnd w:id="22"/>
    <w:bookmarkStart w:id="23" w:name="X84ad2ecfbb6294f8f0ee57c2a8a2d1a12b0041a"/>
    <w:p>
      <w:pPr>
        <w:pStyle w:val="Heading2"/>
        <w:keepNext/>
        <w:keepLines/>
        <w:pageBreakBefore w:val="0"/>
        <w:widowControl/>
      </w:pPr>
      <w:r>
        <w:rPr>
          <w:rFonts w:ascii="Arial" w:hAnsi="Arial" w:eastAsia="Arial"/>
          <w:b/>
          <w:color w:val="1F4E78"/>
        </w:rPr>
        <w:t xml:space="preserve">Adopted principles and bounded non-claims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Item</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MathGov integration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Adopted principle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Material claims need external contact, falsification or revision triggers, explicit dependencies, and no hidden assumption authority.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Adopted principle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If a starting assumption, definition, threshold, operator, or model basis changes, the affected downstream chain must be rerun or claim strength must be narrowed.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Bounded non-claim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Not every normative definition is physically falsifiable. Normative commitments are audited for coherence, rights compatibility, stakeholder challenge, and application integrity.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Bounded non-claim</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Probabilistic evidence is not invalid. It is required where uncertainty is real, but uncertainty must be disclosed and cannot be laundered into certainty.</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Bounded non-claim</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Model revision is not forbidden. Silent retrofitting is forbidden. Revision must be versioned, disclosed, and rechecked.</w:t>
            </w:r>
          </w:p>
        </w:tc>
      </w:tr>
    </w:tbl>
    <w:bookmarkEnd w:id="23"/>
    <w:bookmarkStart w:id="24" w:name="required-methodological-integrity-record"/>
    <w:p>
      <w:pPr>
        <w:pStyle w:val="Heading2"/>
        <w:keepNext/>
        <w:keepLines/>
        <w:pageBreakBefore w:val="0"/>
        <w:widowControl/>
      </w:pPr>
      <w:r>
        <w:rPr>
          <w:rFonts w:ascii="Arial" w:hAnsi="Arial" w:eastAsia="Arial"/>
          <w:b/>
          <w:color w:val="1F4E78"/>
        </w:rPr>
        <w:t xml:space="preserve">Required Methodological Integrity Record</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Field</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Required content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claim_or_component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claim, definition, threshold, operator, indicator, model, SGP interpretation, gate decision, validation result, or public release claim under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claim_type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empirical, causal, formal, operational, normative, or metaphysical_horizon. The display label “metaphysical-horizon” MAY be used in prose; validator-facing records MUST use metaphysical_horizon.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dependency_position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Where the claim sits in the cascade, standard, SGP flow, workbook, validation protocol, or public release surface.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starting_assumptions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Assumptions, definitions, priors, sources, thresholds, scope boundaries, or model premises that carry the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definition_or_operator_used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material definition, operator, threshold, indicator, or procedure being applied.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necessity_or_alternative_check</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Whether necessity is claimed, what alternatives remain plausible, and why the stronger claim is or is not warranted.</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evidence_or_test_surface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observation, measurement, replication, derivation, simulation, formal proof, expert review, stakeholder challenge, or audit surface used.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falsification_or_revision_trigger</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What result, evidence, challenge, failure, or domain change would force revision, narrowing, escalation, or refusal.</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uncertainty_or_confidence_method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How uncertainty, confidence, model limits, disagreement, or unresolved evidence is represented.</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downstream_dependencies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Gates, scores, SGP outputs, claims, controls, authority actions, or release statements affected if this element changes.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re_derivation_scope_if_changed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Local patch, threshold update, gate rerun, TRC reopening, CSV rerun, SGP rerun, RLS recalculation, release versioning, or full refusal.</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reviewer_status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reviewer-visible, contested, independently checked, domain-expert-warranted, or pending.</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required_claim_action</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proceed, narrow, control, redesign, escalate, or refuse.</w:t>
            </w:r>
          </w:p>
        </w:tc>
      </w:tr>
    </w:tbl>
    <w:bookmarkEnd w:id="24"/>
    <w:bookmarkStart w:id="25" w:name="status-values"/>
    <w:p>
      <w:pPr>
        <w:pStyle w:val="Heading2"/>
        <w:keepNext/>
        <w:keepLines/>
        <w:pageBreakBefore w:val="0"/>
        <w:widowControl/>
      </w:pPr>
      <w:r>
        <w:rPr>
          <w:rFonts w:ascii="Arial" w:hAnsi="Arial" w:eastAsia="Arial"/>
          <w:b/>
          <w:color w:val="1F4E78"/>
        </w:rPr>
        <w:t>Dependency-localized failure propagation</w:t>
      </w:r>
    </w:p>
    <w:p>
      <w:pPr>
        <w:pStyle w:val="FirstParagraph"/>
        <w:widowControl/>
      </w:pPr>
      <w:r>
        <w:t>If a premise, primitive, definition, operator, evidence source, control, or inherited dependency fails, every materially dependent gate result, score, SGP output, authorization, validation claim, or public statement must be reopened, narrowed, suspended, rerun, or withdrawn. The record must identify the dependency path and re-derivation scope.</w:t>
      </w:r>
    </w:p>
    <w:p>
      <w:pPr>
        <w:pStyle w:val="BodyText"/>
        <w:widowControl/>
      </w:pPr>
      <w:r>
        <w:t>A component with an independent evidence and derivation path does not fail merely because another part of the framework fails. This rule prevents both monolithic immunity—protecting dependent claims after foundation failure—and indiscriminate whole-framework rejection—discarding independently supported components without testing their actual dependencies.</w:t>
      </w:r>
    </w:p>
    <w:p>
      <w:pPr>
        <w:pStyle w:val="Heading2"/>
        <w:keepNext/>
        <w:keepLines/>
        <w:pageBreakBefore w:val="0"/>
        <w:widowControl/>
      </w:pPr>
      <w:r>
        <w:rPr>
          <w:rFonts w:ascii="Arial" w:hAnsi="Arial" w:eastAsia="Arial"/>
          <w:b/>
          <w:color w:val="1F4E78"/>
        </w:rPr>
        <w:t xml:space="preserve">Status values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Status</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Meaning</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Default action</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METHOD_SUPPORTED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dependency, and revision conditions support the declared claim boundary.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Proceed within boundary.</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ASSUMPTION_BOUND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Claim depends on visible assumptions that could affect strength or gate status.</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Narrow or monitor.</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ALT_EXPLANATION_OPEN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Plausible alternatives can explain the same result.</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Downgrade necessity claim.</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TEST_REQUIRED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Stronger evidence, derivation, replication, simulation, or review is needed.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Escalate before strong claim.</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CONTESTED</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Evidence, interpretation, stakeholder challenge, or expert judgment materially disputes the claim.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Escalate, narrow, or redesign.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REVISION_REQUIRED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A starting assumption, definition, threshold, operator, or model basis has failed or changed.</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Rerun affected chain.</w:t>
            </w:r>
          </w:p>
        </w:tc>
      </w:tr>
      <w:tr>
        <w:trPr/>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REFUSE_STRONGER_CLAIM</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The requested public, deployment, validation, deterministic-selection, or safety claim exceeds support.</w:t>
            </w:r>
          </w:p>
        </w:tc>
        <w:tc>
          <w:tcPr>
            <w:tcMar>
              <w:top w:w="80" w:type="dxa"/>
              <w:start w:w="90" w:type="dxa"/>
              <w:bottom w:w="80" w:type="dxa"/>
              <w:end w:w="90" w:type="dxa"/>
            </w:tcM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shd w:fill="F7FBFF" w:val="clear"/>
            <w:vAlign w:val="center"/>
          </w:tcPr>
          <w:p>
            <w:pPr>
              <w:pStyle w:val="Compact"/>
              <w:widowControl/>
              <w:spacing w:before="0" w:after="40"/>
              <w:jc w:val="left"/>
            </w:pPr>
            <w:r>
              <w:rPr>
                <w:rFonts w:ascii="Arial" w:hAnsi="Arial" w:eastAsia="Arial"/>
                <w:sz w:val="18"/>
              </w:rPr>
              <w:t xml:space="preserve">Refuse the stronger claim.</w:t>
            </w:r>
          </w:p>
        </w:tc>
      </w:tr>
    </w:tbl>
    <w:bookmarkEnd w:id="25"/>
    <w:bookmarkStart w:id="26" w:name="claim-type-rules"/>
    <w:p>
      <w:pPr>
        <w:pStyle w:val="Heading2"/>
        <w:keepNext/>
        <w:keepLines/>
        <w:pageBreakBefore w:val="0"/>
        <w:widowControl/>
      </w:pPr>
      <w:r>
        <w:rPr>
          <w:rFonts w:ascii="Arial" w:hAnsi="Arial" w:eastAsia="Arial"/>
          <w:b/>
          <w:color w:val="1F4E78"/>
        </w:rPr>
        <w:t xml:space="preserve">Claim-type rules</w:t>
      </w:r>
    </w:p>
    <w:tbl>
      <w:tblPr>
        <w:tblStyle w:val="Table"/>
        <w:tblW w:type="pct" w:w="5000"/>
        <w:tblLook w:firstRow="1" w:lastRow="0" w:firstColumn="0" w:lastColumn="0" w:noHBand="0" w:noVBand="0" w:val="0020"/>
        <w:jc w:val="left"/>
        <w:tblInd w:type="dxa" w:w="0"/>
      </w:tblPr>
      <w:tblGrid>
        <w:gridCol w:w="3960"/>
        <w:gridCol w:w="396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Evidence discipline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Empirical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Observation, measurement, replication, current source, or empirical warrant.</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Causal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Mechanism, intervention, counterfactual, domain model, or qualified causal warrant.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Explicit assumptions, definitions, derivation, proof, or formal verification.</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Reproducible procedure, audit trail, role assignment, and reviewable outputs.</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Normative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Declared ethical commitment, rights compatibility, consistency, stakeholder challenge, and auditability of application.</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Metaphysical-horizon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Humility and meaning orientation only; no Tier 1-3 evidence, gate override, or authority by itself.</w:t>
            </w:r>
          </w:p>
        </w:tc>
      </w:tr>
    </w:tbl>
    <w:bookmarkEnd w:id="26"/>
    <w:bookmarkStart w:id="27" w:name="non-retrofitting-rule"/>
    <w:p>
      <w:pPr>
        <w:pStyle w:val="Heading2"/>
        <w:keepNext/>
        <w:keepLines/>
        <w:pageBreakBefore w:val="0"/>
        <w:widowControl/>
      </w:pPr>
      <w:r>
        <w:rPr>
          <w:rFonts w:ascii="Arial" w:hAnsi="Arial" w:eastAsia="Arial"/>
          <w:b/>
          <w:color w:val="1F4E78"/>
        </w:rPr>
        <w:t xml:space="preserve">Non-retrofitting rule</w:t>
      </w:r>
    </w:p>
    <w:p>
      <w:pPr>
        <w:pStyle w:val="FirstParagraph"/>
        <w:widowControl/>
      </w:pPr>
      <w:r>
        <w:t xml:space="preserve">A failed test, falsified prediction, changed foundation, or challenged dependency must not be hidden by silent tuning. The run must version the change, record the affected dependencies, and rerun every materially dependent gate, SGP interpretation, calculation, authority action, or public claim.</w:t>
      </w:r>
    </w:p>
    <w:bookmarkEnd w:id="27"/>
    <w:bookmarkStart w:id="28" w:name="proportionality-rule"/>
    <w:p>
      <w:pPr>
        <w:pStyle w:val="Heading2"/>
        <w:keepNext/>
        <w:keepLines/>
        <w:pageBreakBefore w:val="0"/>
        <w:widowControl/>
      </w:pPr>
      <w:r>
        <w:rPr>
          <w:rFonts w:ascii="Arial" w:hAnsi="Arial" w:eastAsia="Arial"/>
          <w:b/>
          <w:color w:val="1F4E78"/>
        </w:rPr>
        <w:t xml:space="preserve">Proportionality rule</w:t>
      </w:r>
    </w:p>
    <w:p>
      <w:pPr>
        <w:pStyle w:val="FirstParagraph"/>
        <w:widowControl/>
      </w:pPr>
      <w:r>
        <w:t xml:space="preserve">Methodological rigor is proportional to stakes. Tier 1 and low-stakes Tier 2 uses may use lighter records. Tier 3, public conformance, institutional deployment, high-stakes SGP use, validation claims, and physical/causal actions require stronger records.</w:t>
      </w:r>
    </w:p>
    <w:bookmarkEnd w:id="28"/>
    <w:bookmarkStart w:id="29" w:name="physical-admissibility-claim-discipline"/>
    <w:p>
      <w:pPr>
        <w:pStyle w:val="Heading2"/>
        <w:keepNext/>
        <w:keepLines/>
        <w:pageBreakBefore w:val="0"/>
        <w:widowControl/>
      </w:pPr>
      <w:r>
        <w:rPr>
          <w:rFonts w:ascii="Arial" w:hAnsi="Arial" w:eastAsia="Arial"/>
          <w:b/>
          <w:color w:val="1F4E78"/>
        </w:rPr>
        <w:t xml:space="preserve">Physical-admissibility claim discipline</w:t>
      </w:r>
    </w:p>
    <w:p>
      <w:pPr>
        <w:pStyle w:val="FirstParagraph"/>
        <w:widowControl/>
      </w:pPr>
      <w:r>
        <w:t xml:space="preserve">A claim that a physical execution is safe, admissible, stable, reliable, or deployment-ready is a material claim and must name its external evidence surface. Governance permission, compliance status, documentation, certification, monitoring, and authority are not sufficient evidence surfaces by themselves. They may support procedural legitimacy, but they do not compute physics or establish biological, mechanical, medical, infrastructural, or cyber-physical safety.</w:t>
      </w:r>
    </w:p>
    <w:p>
      <w:pPr>
        <w:pStyle w:val="BodyText"/>
        <w:widowControl/>
      </w:pPr>
      <w:r>
        <w:t xml:space="preserve">Computational-source discipline. A material execution claim SHOULD distinguish the source that generated the candidate action from the source that warrants the action. If candidate generation and admissibility warrant are supplied by the same system, the claim record SHOULD state how circular self-confirmation is prevented and what independent check, validity-domain limit, or refusal condition applies.</w:t>
      </w:r>
    </w:p>
    <w:p>
      <w:pPr>
        <w:pStyle w:val="BodyText"/>
        <w:widowControl/>
      </w:pPr>
      <w:r>
        <w:rPr>
          <w:b/>
        </w:rPr>
        <w:t>Formal-conformance layer rule.</w:t>
      </w:r>
      <w:r>
        <w:t xml:space="preserve"> A proof that an implementation satisfies a formal specification supports only the formal-conformance claim established by that proof. A physical or causal claim additionally requires a justified specification-to-reality mapping, declared validity domain, boundary conditions, uncertainty treatment, and domain evidence. Failure at the correspondence layer reopens every downstream claim that relied on the formal model as a physical warrant. Institutionalized-uncertainty boundary. A policy, risk acceptance, certification, or approval process that assigns responsibility without establishing the relevant operating envelope may govern who may test, monitor, stop, or review a system, but it MUST NOT be presented as reducing the underlying epistemic uncertainty unless new evidence actually does so.</w:t>
      </w:r>
    </w:p>
    <w:p>
      <w:pPr>
        <w:pStyle w:val="BodyText"/>
        <w:widowControl/>
      </w:pPr>
      <w:r>
        <w:t xml:space="preserve">If a physical-admissibility claim changes its model, validity domain, threshold, controller envelope, failure-mode account, or monitoring/shutoff assumptions, affected downstream gates must be rerun. Silent tuning may improve wording, but it does not preserve the original claim.</w:t>
      </w:r>
    </w:p>
    <w:bookmarkEnd w:id="29"/>
    <w:bookmarkStart w:id="30" w:name="claim-type-examples"/>
    <w:p>
      <w:pPr>
        <w:pStyle w:val="Heading2"/>
        <w:keepNext/>
        <w:keepLines/>
        <w:pageBreakBefore w:val="0"/>
        <w:widowControl/>
      </w:pPr>
      <w:r>
        <w:rPr>
          <w:rFonts w:ascii="Arial" w:hAnsi="Arial" w:eastAsia="Arial"/>
          <w:b/>
          <w:color w:val="1F4E78"/>
        </w:rPr>
        <w:t xml:space="preserve">Claim-type examples</w:t>
      </w:r>
    </w:p>
    <w:tbl>
      <w:tblPr>
        <w:tblStyle w:val="Table"/>
        <w:tblW w:type="pct" w:w="5000"/>
        <w:tblLook w:firstRow="1" w:lastRow="0" w:firstColumn="0" w:lastColumn="0" w:noHBand="0" w:noVBand="0" w:val="0020"/>
        <w:jc w:val="left"/>
        <w:tblInd w:type="dxa" w:w="0"/>
      </w:tblPr>
      <w:tblGrid>
        <w:gridCol w:w="2640"/>
        <w:gridCol w:w="2640"/>
        <w:gridCol w:w="2640"/>
      </w:tblGrid>
      <w:tr>
        <w:trPr>
          <w:tblHeader w:val="true"/>
        </w:trPr>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Claim type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Example</w:t>
            </w:r>
          </w:p>
        </w:tc>
        <w:tc>
          <w:tcPr>
            <w:shd w:fill="1F4E78" w:val="clear"/>
            <w:tcMar>
              <w:top w:w="80" w:type="dxa"/>
              <w:start w:w="90" w:type="dxa"/>
              <w:bottom w:w="80" w:type="dxa"/>
              <w:end w:w="90" w:type="dxa"/>
            </w:tcM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b/>
                <w:color w:val="FFFFFF"/>
                <w:sz w:val="18"/>
              </w:rPr>
              <w:t xml:space="preserve">Minimum discipline</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Empirical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“Injury rates decreased after the intervention.”</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evidence contact, baseline, uncertainty, and alternative-explanation review.</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Causal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policy caused the decrease.”</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mechanism, counterfactual, intervention logic, or qualified causal warrant.</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Formal</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“CVaR was computed by the declared algorithm.”</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definitions, assumptions, formula, inputs, and reproducible calculation surface.</w:t>
            </w:r>
          </w:p>
        </w:tc>
      </w:tr>
      <w:tr>
        <w:trPr/>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Operational</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“The workflow can be executed by this agency.”</w:t>
            </w:r>
          </w:p>
        </w:tc>
        <w:tc>
          <w:tcPr>
            <w:tcMar>
              <w:top w:w="80" w:type="dxa"/>
              <w:start w:w="90" w:type="dxa"/>
              <w:bottom w:w="80" w:type="dxa"/>
              <w:end w:w="90" w:type="dxa"/>
            </w:tcMar>
            <w:shd w:fill="D9EAF7"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procedure, role owner, resource evidence, audit trail, and failure handling.</w:t>
            </w:r>
          </w:p>
        </w:tc>
      </w:tr>
      <w:tr>
        <w:trPr/>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Normative</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“This rights floor is adopted as non-compensatory.”</w:t>
            </w:r>
          </w:p>
        </w:tc>
        <w:tc>
          <w:tcPr>
            <w:tcMar>
              <w:top w:w="80" w:type="dxa"/>
              <w:start w:w="90" w:type="dxa"/>
              <w:bottom w:w="80" w:type="dxa"/>
              <w:end w:w="90" w:type="dxa"/>
            </w:tcMar>
            <w:shd w:fill="F7FBFF" w:val="clear"/>
            <w:vAlign w:val="center"/>
            <w:tcBorders>
              <w:top w:val="single" w:sz="8" w:space="0" w:color="1F4E78"/>
              <w:left w:val="single" w:sz="8" w:space="0" w:color="1F4E78"/>
              <w:bottom w:val="single" w:sz="8" w:space="0" w:color="1F4E78"/>
              <w:right w:val="single" w:sz="8" w:space="0" w:color="1F4E78"/>
              <w:insideH w:val="single" w:sz="8" w:space="0" w:color="1F4E78"/>
              <w:insideV w:val="single" w:sz="8" w:space="0" w:color="1F4E78"/>
            </w:tcBorders>
          </w:tcPr>
          <w:p>
            <w:pPr>
              <w:pStyle w:val="Compact"/>
              <w:widowControl/>
              <w:spacing w:before="0" w:after="40"/>
              <w:jc w:val="left"/>
            </w:pPr>
            <w:r>
              <w:rPr>
                <w:rFonts w:ascii="Arial" w:hAnsi="Arial" w:eastAsia="Arial"/>
                <w:sz w:val="18"/>
              </w:rPr>
              <w:t xml:space="preserve">Requires declared ethical commitment, consistency check, rights compatibility, and challenge pathway.</w:t>
            </w:r>
          </w:p>
        </w:tc>
      </w:tr>
      <w:tr>
        <w:trPr/>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Metaphysical horizon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“AIU language is used as a humility horizon.”</w:t>
            </w:r>
          </w:p>
        </w:tc>
        <w:tc>
          <w:tcPr>
            <w:tcMar>
              <w:top w:w="80" w:type="dxa"/>
              <w:start w:w="90" w:type="dxa"/>
              <w:bottom w:w="80" w:type="dxa"/>
              <w:end w:w="90" w:type="dxa"/>
            </w:tcMar>
            <w:shd w:fill="D9EAF7" w:val="clear"/>
            <w:tcBorders>
              <w:bottom w:val="single" w:sz="8" w:space="0" w:color="1F4E78"/>
              <w:top w:val="single" w:sz="8" w:space="0" w:color="1F4E78"/>
              <w:left w:val="single" w:sz="8" w:space="0" w:color="1F4E78"/>
              <w:right w:val="single" w:sz="8" w:space="0" w:color="1F4E78"/>
              <w:insideH w:val="single" w:sz="8" w:space="0" w:color="1F4E78"/>
              <w:insideV w:val="single" w:sz="8" w:space="0" w:color="1F4E78"/>
            </w:tcBorders>
            <w:vAlign w:val="center"/>
          </w:tcPr>
          <w:p>
            <w:pPr>
              <w:pStyle w:val="Compact"/>
              <w:widowControl/>
              <w:spacing w:before="0" w:after="40"/>
              <w:jc w:val="left"/>
            </w:pPr>
            <w:r>
              <w:rPr>
                <w:rFonts w:ascii="Arial" w:hAnsi="Arial" w:eastAsia="Arial"/>
                <w:sz w:val="18"/>
              </w:rPr>
              <w:t xml:space="preserve">May guide meaning and restraint, but creates no Tier 1-3 evidence or gate authority.</w:t>
            </w:r>
          </w:p>
        </w:tc>
      </w:tr>
    </w:tbl>
    <w:bookmarkEnd w:id="30"/>
    <w:bookmarkEnd w:id="31"/>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Methodological Falsifiability and Dependency Integrity Standard v2.2</dc:title>
  <dc:creator>James McGaughran | ORCID 0009-0005-3324-7290</dc:creator>
  <cp:keywords>MathGov, RippleLogic, v12.5, SGP v8.4, configuration-bound assurance</cp:keywords>
  <dcterms:created xsi:type="dcterms:W3CDTF">2026-07-23T11:28:27Z</dcterms:created>
  <dcterms:modified xsi:type="dcterms:W3CDTF">2026-07-23T11:28:27Z</dcterms:modified>
  <dc:subject>MathGov Core Release 2026.09 v12.5 / SGP v8.4 - Configuration-Bound Assurance Public Research Source Release</dc:subject>
  <dc:description>Open public research source; table-integrity and current-pin hardening.</dc:description>
</cp:coreProperties>
</file>

<file path=docProps/custom.xml><?xml version="1.0" encoding="utf-8"?>
<Properties xmlns="http://schemas.openxmlformats.org/officeDocument/2006/custom-properties" xmlns:vt="http://schemas.openxmlformats.org/officeDocument/2006/docPropsVTypes"/>
</file>