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3D9" w:rsidRDefault="001043D9" w:rsidP="001043D9">
      <w:pPr>
        <w:jc w:val="center"/>
        <w:rPr>
          <w:sz w:val="28"/>
          <w:szCs w:val="28"/>
        </w:rPr>
      </w:pPr>
      <w:r w:rsidRPr="001043D9">
        <w:rPr>
          <w:sz w:val="28"/>
          <w:szCs w:val="28"/>
        </w:rPr>
        <w:t>Documentação de Interação Humano Computador</w:t>
      </w:r>
    </w:p>
    <w:p w:rsidR="001043D9" w:rsidRDefault="001043D9" w:rsidP="001043D9">
      <w:pPr>
        <w:jc w:val="center"/>
        <w:rPr>
          <w:sz w:val="28"/>
          <w:szCs w:val="28"/>
        </w:rPr>
      </w:pPr>
    </w:p>
    <w:p w:rsidR="001043D9" w:rsidRPr="001043D9" w:rsidRDefault="001043D9" w:rsidP="001043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SaneaSP</w:t>
      </w:r>
      <w:proofErr w:type="spellEnd"/>
    </w:p>
    <w:p w:rsidR="001043D9" w:rsidRDefault="001043D9" w:rsidP="001043D9">
      <w:pPr>
        <w:jc w:val="center"/>
      </w:pPr>
      <w:r>
        <w:t xml:space="preserve">Davy Oliveira Ribeiro </w:t>
      </w:r>
    </w:p>
    <w:p w:rsidR="001043D9" w:rsidRDefault="001043D9" w:rsidP="001043D9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1043D9" w:rsidRDefault="001043D9" w:rsidP="001043D9">
      <w:pPr>
        <w:jc w:val="center"/>
      </w:pPr>
      <w:r>
        <w:t>Pedro Silva Martins</w:t>
      </w:r>
    </w:p>
    <w:p w:rsidR="001043D9" w:rsidRDefault="001043D9" w:rsidP="001043D9">
      <w:pPr>
        <w:jc w:val="center"/>
      </w:pPr>
      <w:r>
        <w:t>Ryan Carlo Negretti Pereira</w:t>
      </w:r>
    </w:p>
    <w:p w:rsidR="001043D9" w:rsidRDefault="001043D9" w:rsidP="001043D9">
      <w:pPr>
        <w:jc w:val="center"/>
      </w:pPr>
    </w:p>
    <w:p w:rsidR="001043D9" w:rsidRDefault="001043D9" w:rsidP="001043D9">
      <w:pPr>
        <w:jc w:val="center"/>
      </w:pPr>
    </w:p>
    <w:p w:rsidR="001043D9" w:rsidRDefault="001043D9" w:rsidP="001043D9">
      <w:pPr>
        <w:spacing w:before="0"/>
        <w:ind w:firstLine="0"/>
      </w:pPr>
      <w:r>
        <w:br w:type="page"/>
      </w:r>
    </w:p>
    <w:sdt>
      <w:sdtPr>
        <w:id w:val="-1405759229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4"/>
          <w:szCs w:val="24"/>
        </w:rPr>
      </w:sdtEndPr>
      <w:sdtContent>
        <w:p w:rsidR="001043D9" w:rsidRDefault="001043D9" w:rsidP="001043D9">
          <w:pPr>
            <w:pStyle w:val="CabealhodoSumrio"/>
            <w:spacing w:line="360" w:lineRule="auto"/>
          </w:pPr>
          <w:r>
            <w:t>Sumário</w:t>
          </w:r>
        </w:p>
        <w:p w:rsidR="001043D9" w:rsidRDefault="001043D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23724" w:history="1">
            <w:r w:rsidRPr="00240061">
              <w:rPr>
                <w:rStyle w:val="Hyperlink"/>
                <w:noProof/>
              </w:rPr>
              <w:t>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25" w:history="1">
            <w:r w:rsidRPr="00240061">
              <w:rPr>
                <w:rStyle w:val="Hyperlink"/>
                <w:noProof/>
              </w:rPr>
              <w:t>Técnicas para identificação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26" w:history="1">
            <w:r w:rsidRPr="00240061">
              <w:rPr>
                <w:rStyle w:val="Hyperlink"/>
                <w:noProof/>
              </w:rPr>
              <w:t>Definição das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27" w:history="1">
            <w:r w:rsidRPr="00240061">
              <w:rPr>
                <w:rStyle w:val="Hyperlink"/>
                <w:noProof/>
              </w:rPr>
              <w:t>Definição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1223728" w:history="1">
            <w:r w:rsidRPr="00240061">
              <w:rPr>
                <w:rStyle w:val="Hyperlink"/>
                <w:noProof/>
              </w:rPr>
              <w:t>Desenvolvimento da tarefa de arquitetura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29" w:history="1">
            <w:r w:rsidRPr="00240061">
              <w:rPr>
                <w:rStyle w:val="Hyperlink"/>
                <w:noProof/>
              </w:rPr>
              <w:t>Estrutura da informação (card sorting)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0" w:history="1">
            <w:r w:rsidRPr="00240061">
              <w:rPr>
                <w:rStyle w:val="Hyperlink"/>
                <w:noProof/>
              </w:rPr>
              <w:t>Menus 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1" w:history="1">
            <w:r w:rsidRPr="00240061">
              <w:rPr>
                <w:rStyle w:val="Hyperlink"/>
                <w:noProof/>
              </w:rPr>
              <w:t>Protótipo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2" w:history="1">
            <w:r w:rsidRPr="00240061">
              <w:rPr>
                <w:rStyle w:val="Hyperlink"/>
                <w:noProof/>
              </w:rPr>
              <w:t>Definição dos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3" w:history="1">
            <w:r w:rsidRPr="00240061">
              <w:rPr>
                <w:rStyle w:val="Hyperlink"/>
                <w:noProof/>
              </w:rPr>
              <w:t>Definição das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4" w:history="1">
            <w:r w:rsidRPr="00240061">
              <w:rPr>
                <w:rStyle w:val="Hyperlink"/>
                <w:noProof/>
              </w:rPr>
              <w:t>Definição dos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1223735" w:history="1">
            <w:r w:rsidRPr="00240061">
              <w:rPr>
                <w:rStyle w:val="Hyperlink"/>
                <w:noProof/>
              </w:rPr>
              <w:t>Prototipação, usabilidade e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6" w:history="1">
            <w:r w:rsidRPr="00240061">
              <w:rPr>
                <w:rStyle w:val="Hyperlink"/>
                <w:noProof/>
              </w:rPr>
              <w:t>Protótipo de alta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1223737" w:history="1">
            <w:r w:rsidRPr="00240061">
              <w:rPr>
                <w:rStyle w:val="Hyperlink"/>
                <w:noProof/>
              </w:rPr>
              <w:t>Avaliação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D9" w:rsidRDefault="001043D9" w:rsidP="001043D9">
          <w:r>
            <w:rPr>
              <w:b/>
              <w:bCs/>
            </w:rPr>
            <w:fldChar w:fldCharType="end"/>
          </w:r>
        </w:p>
      </w:sdtContent>
    </w:sdt>
    <w:p w:rsidR="001043D9" w:rsidRDefault="001043D9" w:rsidP="001043D9"/>
    <w:p w:rsidR="001043D9" w:rsidRDefault="001043D9" w:rsidP="001043D9">
      <w:pPr>
        <w:spacing w:before="0"/>
        <w:ind w:firstLine="0"/>
      </w:pPr>
      <w:r>
        <w:br w:type="page"/>
      </w:r>
    </w:p>
    <w:p w:rsidR="001043D9" w:rsidRDefault="001043D9" w:rsidP="001043D9">
      <w:pPr>
        <w:pStyle w:val="Ttulo1"/>
      </w:pPr>
      <w:bookmarkStart w:id="0" w:name="_Toc201223724"/>
      <w:r>
        <w:lastRenderedPageBreak/>
        <w:t>Discovery</w:t>
      </w:r>
      <w:bookmarkEnd w:id="0"/>
    </w:p>
    <w:p w:rsidR="001043D9" w:rsidRDefault="001043D9" w:rsidP="001043D9">
      <w:pPr>
        <w:pStyle w:val="Ttulo2"/>
      </w:pPr>
      <w:bookmarkStart w:id="1" w:name="_Toc201223725"/>
      <w:r>
        <w:t>Técnicas para identificação de usuários</w:t>
      </w:r>
      <w:bookmarkEnd w:id="1"/>
    </w:p>
    <w:p w:rsidR="001043D9" w:rsidRDefault="001043D9" w:rsidP="001043D9"/>
    <w:p w:rsidR="001043D9" w:rsidRDefault="001043D9" w:rsidP="001043D9">
      <w:pPr>
        <w:pStyle w:val="Ttulo2"/>
      </w:pPr>
      <w:bookmarkStart w:id="2" w:name="_Toc201223726"/>
      <w:r>
        <w:t>Definição das personas</w:t>
      </w:r>
      <w:bookmarkEnd w:id="2"/>
    </w:p>
    <w:p w:rsidR="001043D9" w:rsidRDefault="001043D9" w:rsidP="001043D9"/>
    <w:p w:rsidR="001043D9" w:rsidRDefault="001043D9" w:rsidP="001043D9">
      <w:pPr>
        <w:pStyle w:val="Ttulo2"/>
      </w:pPr>
      <w:bookmarkStart w:id="3" w:name="_Toc201223727"/>
      <w:r>
        <w:t>Definição dos cenários</w:t>
      </w:r>
      <w:bookmarkEnd w:id="3"/>
    </w:p>
    <w:p w:rsidR="001043D9" w:rsidRDefault="001043D9" w:rsidP="001043D9">
      <w:pPr>
        <w:pStyle w:val="Ttulo1"/>
      </w:pPr>
      <w:bookmarkStart w:id="4" w:name="_Toc201223728"/>
      <w:r>
        <w:t>Desenvolvimento da tarefa de arquitetura da informação:</w:t>
      </w:r>
      <w:bookmarkEnd w:id="4"/>
      <w:r>
        <w:t xml:space="preserve"> </w:t>
      </w:r>
    </w:p>
    <w:p w:rsidR="001043D9" w:rsidRDefault="001043D9" w:rsidP="001043D9"/>
    <w:p w:rsidR="001043D9" w:rsidRDefault="001043D9" w:rsidP="001043D9">
      <w:pPr>
        <w:pStyle w:val="Ttulo2"/>
      </w:pPr>
      <w:bookmarkStart w:id="5" w:name="_Toc201223729"/>
      <w:r>
        <w:t xml:space="preserve">Estrutura da informação (card </w:t>
      </w:r>
      <w:proofErr w:type="spellStart"/>
      <w:r>
        <w:t>sorting</w:t>
      </w:r>
      <w:proofErr w:type="spellEnd"/>
      <w:r>
        <w:t>)</w:t>
      </w:r>
      <w:bookmarkEnd w:id="5"/>
    </w:p>
    <w:p w:rsidR="001043D9" w:rsidRDefault="001043D9" w:rsidP="001043D9"/>
    <w:p w:rsidR="001043D9" w:rsidRDefault="001043D9" w:rsidP="001043D9">
      <w:pPr>
        <w:pStyle w:val="Ttulo2"/>
      </w:pPr>
      <w:bookmarkStart w:id="6" w:name="_Toc201223730"/>
      <w:r>
        <w:t>Menus e navegação</w:t>
      </w:r>
      <w:bookmarkEnd w:id="6"/>
      <w:r>
        <w:br/>
      </w:r>
      <w:r>
        <w:br/>
      </w:r>
    </w:p>
    <w:p w:rsidR="006E0A5A" w:rsidRDefault="001043D9" w:rsidP="001043D9">
      <w:pPr>
        <w:pStyle w:val="Ttulo2"/>
      </w:pPr>
      <w:bookmarkStart w:id="7" w:name="_Toc201223731"/>
      <w:r>
        <w:t>Protótipo de baixa fidelidade</w:t>
      </w:r>
      <w:bookmarkEnd w:id="7"/>
    </w:p>
    <w:p w:rsidR="001043D9" w:rsidRDefault="001043D9" w:rsidP="001043D9"/>
    <w:p w:rsidR="001043D9" w:rsidRDefault="001043D9" w:rsidP="001043D9">
      <w:pPr>
        <w:pStyle w:val="Ttulo2"/>
      </w:pPr>
      <w:bookmarkStart w:id="8" w:name="_Toc201223732"/>
      <w:r>
        <w:t>Definição dos símbolos</w:t>
      </w:r>
      <w:bookmarkEnd w:id="8"/>
    </w:p>
    <w:p w:rsidR="001043D9" w:rsidRDefault="001043D9" w:rsidP="001043D9"/>
    <w:p w:rsidR="001043D9" w:rsidRDefault="001043D9" w:rsidP="001043D9">
      <w:pPr>
        <w:pStyle w:val="Ttulo2"/>
      </w:pPr>
      <w:bookmarkStart w:id="9" w:name="_Toc201223733"/>
      <w:r>
        <w:t>Definição das cores</w:t>
      </w:r>
      <w:bookmarkEnd w:id="9"/>
    </w:p>
    <w:p w:rsidR="001043D9" w:rsidRDefault="001043D9" w:rsidP="001043D9"/>
    <w:p w:rsidR="001043D9" w:rsidRDefault="001043D9" w:rsidP="001043D9">
      <w:pPr>
        <w:pStyle w:val="Ttulo2"/>
      </w:pPr>
      <w:bookmarkStart w:id="10" w:name="_Toc201223734"/>
      <w:r>
        <w:t>Definição dos padrões</w:t>
      </w:r>
      <w:bookmarkEnd w:id="10"/>
    </w:p>
    <w:p w:rsidR="001043D9" w:rsidRDefault="001043D9" w:rsidP="001043D9"/>
    <w:p w:rsidR="001043D9" w:rsidRDefault="001043D9" w:rsidP="001043D9">
      <w:pPr>
        <w:pStyle w:val="Ttulo1"/>
      </w:pPr>
      <w:bookmarkStart w:id="11" w:name="_Toc201223735"/>
      <w:r w:rsidRPr="001043D9">
        <w:t>Prototipação, usabilidade e acessibilidade</w:t>
      </w:r>
      <w:bookmarkEnd w:id="11"/>
    </w:p>
    <w:p w:rsidR="001043D9" w:rsidRDefault="001043D9" w:rsidP="001043D9">
      <w:pPr>
        <w:pStyle w:val="Ttulo2"/>
      </w:pPr>
      <w:bookmarkStart w:id="12" w:name="_Toc201223736"/>
      <w:r>
        <w:t>Protótipo de alta fidelidade</w:t>
      </w:r>
      <w:bookmarkEnd w:id="12"/>
    </w:p>
    <w:p w:rsidR="001043D9" w:rsidRDefault="001043D9" w:rsidP="001043D9">
      <w:pPr>
        <w:pStyle w:val="Ttulo2"/>
      </w:pPr>
      <w:bookmarkStart w:id="13" w:name="_Toc201223737"/>
      <w:r>
        <w:t>Avaliação Heurística</w:t>
      </w:r>
      <w:bookmarkEnd w:id="13"/>
    </w:p>
    <w:p w:rsidR="001043D9" w:rsidRDefault="001043D9" w:rsidP="001043D9"/>
    <w:sectPr w:rsidR="00104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D6C02"/>
    <w:multiLevelType w:val="multilevel"/>
    <w:tmpl w:val="C226D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7419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D9"/>
    <w:rsid w:val="001043D9"/>
    <w:rsid w:val="00630B29"/>
    <w:rsid w:val="006E0A5A"/>
    <w:rsid w:val="007A10A3"/>
    <w:rsid w:val="00996037"/>
    <w:rsid w:val="00C33C88"/>
    <w:rsid w:val="00E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B124"/>
  <w15:chartTrackingRefBased/>
  <w15:docId w15:val="{0BA113BA-CEE0-4E18-BF04-E876C4C2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D9"/>
    <w:pPr>
      <w:spacing w:before="120"/>
      <w:ind w:firstLine="360"/>
    </w:pPr>
    <w:rPr>
      <w:rFonts w:eastAsia="Arial" w:cs="Arial"/>
      <w:kern w:val="0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043D9"/>
    <w:pPr>
      <w:keepNext/>
      <w:keepLines/>
      <w:spacing w:before="0" w:after="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43D9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43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43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43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43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43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43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43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43D9"/>
    <w:rPr>
      <w:rFonts w:eastAsiaTheme="majorEastAsia" w:cstheme="majorBidi"/>
      <w:b/>
      <w:kern w:val="0"/>
      <w:sz w:val="28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043D9"/>
    <w:rPr>
      <w:rFonts w:eastAsiaTheme="majorEastAsia" w:cstheme="majorBidi"/>
      <w:b/>
      <w:kern w:val="0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43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43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43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43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43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43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43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43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43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4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4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43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43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43D9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43D9"/>
    <w:pPr>
      <w:spacing w:before="240" w:line="259" w:lineRule="auto"/>
      <w:jc w:val="left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43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43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04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32B3-E6A9-4567-B77E-B9BEF41D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1</cp:revision>
  <dcterms:created xsi:type="dcterms:W3CDTF">2025-06-19T13:56:00Z</dcterms:created>
  <dcterms:modified xsi:type="dcterms:W3CDTF">2025-06-19T14:09:00Z</dcterms:modified>
</cp:coreProperties>
</file>