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1B2F5E"/>
          <w:spacing w:val="80"/>
          <w:sz w:val="28"/>
          <w:szCs w:val="28"/>
        </w:rPr>
        <w:t xml:space="preserve">MATHLEDX</w:t>
      </w:r>
    </w:p>
    <w:p>
      <w:pPr>
        <w:pBdr>
          <w:bottom w:val="single" w:color="1a6a8a" w:sz="6" w:space="1"/>
        </w:pBdr>
        <w:spacing w:after="60"/>
      </w:pPr>
      <w:r>
        <w:rPr>
          <w:rFonts w:ascii="Arial" w:cs="Arial" w:eastAsia="Arial" w:hAnsi="Arial"/>
          <w:caps/>
          <w:color w:val="1a6a8a"/>
          <w:spacing w:val="60"/>
          <w:sz w:val="18"/>
          <w:szCs w:val="18"/>
        </w:rPr>
        <w:t xml:space="preserve">Blog Draft — For Parents &amp; Teachers</w:t>
      </w:r>
    </w:p>
    <w:p>
      <w:pPr>
        <w:spacing w:after="80"/>
      </w:pPr>
    </w:p>
    <w:p>
      <w:pPr>
        <w:spacing w:after="80"/>
      </w:pPr>
      <w:r>
        <w:rPr>
          <w:rFonts w:ascii="Arial" w:cs="Arial" w:eastAsia="Arial" w:hAnsi="Arial"/>
          <w:color w:val="888888"/>
          <w:sz w:val="18"/>
          <w:szCs w:val="18"/>
        </w:rPr>
        <w:t xml:space="preserve">CATEGORY: For Parents &amp; Teachers   ·   April 2026   ·   Draft 1</w:t>
      </w:r>
    </w:p>
    <w:p>
      <w:pPr>
        <w:pStyle w:val="Heading1"/>
        <w:spacing w:after="240" w:before="120"/>
      </w:pPr>
      <w:r>
        <w:rPr>
          <w:rFonts w:ascii="Arial" w:cs="Arial" w:eastAsia="Arial" w:hAnsi="Arial"/>
          <w:b/>
          <w:bCs/>
          <w:color w:val="1B2F5E"/>
          <w:sz w:val="44"/>
          <w:szCs w:val="44"/>
        </w:rPr>
        <w:t xml:space="preserve">You Can’t Force a Kid to Care — But You Can Do This Instead</w:t>
      </w:r>
    </w:p>
    <w:p>
      <w:pPr>
        <w:shd w:fill="FFF8DC" w:val="clear"/>
        <w:spacing w:after="80"/>
      </w:pPr>
      <w:r>
        <w:rPr>
          <w:rFonts w:ascii="Arial" w:cs="Arial" w:eastAsia="Arial" w:hAnsi="Arial"/>
          <w:b/>
          <w:bCs/>
          <w:color w:val="856404"/>
          <w:sz w:val="18"/>
          <w:szCs w:val="18"/>
        </w:rPr>
        <w:t xml:space="preserve">SEO NOTE: </w:t>
      </w:r>
      <w:r>
        <w:rPr>
          <w:rFonts w:ascii="Arial" w:cs="Arial" w:eastAsia="Arial" w:hAnsi="Arial"/>
          <w:color w:val="856404"/>
          <w:sz w:val="18"/>
          <w:szCs w:val="18"/>
        </w:rPr>
        <w:t xml:space="preserve">Target keyword: "how to motivate a disengaged student" / "student doesn't care about school" — Meta description: Forcing a checked-out kid to care doesn’t work. Shaming them doesn’t work. Banging your head against the wall doesn’t work. Here’s what actually does — and why it’s harder than it sounds.</w:t>
      </w:r>
    </w:p>
    <w:p>
      <w:pPr>
        <w:spacing w:after="200"/>
      </w:pPr>
    </w:p>
    <w:p>
      <w:pPr>
        <w:pBdr>
          <w:left w:val="single" w:color="1a6a8a" w:sz="18" w:space="12"/>
        </w:pBdr>
        <w:spacing w:after="200"/>
        <w:ind w:left="360"/>
      </w:pPr>
      <w:r>
        <w:rPr>
          <w:rFonts w:ascii="Georgia" w:cs="Georgia" w:eastAsia="Georgia" w:hAnsi="Georgia"/>
          <w:sz w:val="26"/>
          <w:szCs w:val="26"/>
        </w:rPr>
        <w:t xml:space="preserve">I have a student — I’ll call him Marcus — who already knows he’s going to fail my class. He figured it out somewhere around October and made a quiet decision: summer school. He’s not angry about it. He’s not fighting it. He’s just checked out, waiting for the year to end, spending class time on his phone or staring at the ceiling. I could fight him on this every single day. I tried that. It doesn’t work. So I stopped fighting him and started doing something different.</w:t>
      </w:r>
    </w:p>
    <w:p>
      <w:pPr>
        <w:pStyle w:val="Heading2"/>
      </w:pPr>
      <w:r>
        <w:rPr>
          <w:rFonts w:ascii="Arial" w:cs="Arial" w:eastAsia="Arial" w:hAnsi="Arial"/>
          <w:b/>
          <w:bCs/>
          <w:color w:val="1B2F5E"/>
          <w:sz w:val="30"/>
          <w:szCs w:val="30"/>
        </w:rPr>
        <w:t xml:space="preserve">Why Forcing Doesn’t Work</w:t>
      </w:r>
    </w:p>
    <w:p>
      <w:pPr>
        <w:spacing w:after="160"/>
      </w:pPr>
      <w:r>
        <w:rPr>
          <w:rFonts w:ascii="Georgia" w:cs="Georgia" w:eastAsia="Georgia" w:hAnsi="Georgia"/>
          <w:sz w:val="24"/>
          <w:szCs w:val="24"/>
        </w:rPr>
        <w:t xml:space="preserve">The instinct when a student checks out is to pull them back in by force. More consequences. More pressure. More emails home. More detentions. And none of it works — not because those tools are wrong, but because they’re addressing the wrong problem.</w:t>
      </w:r>
    </w:p>
    <w:p>
      <w:pPr>
        <w:spacing w:after="160"/>
      </w:pPr>
      <w:r>
        <w:rPr>
          <w:rFonts w:ascii="Georgia" w:cs="Georgia" w:eastAsia="Georgia" w:hAnsi="Georgia"/>
          <w:sz w:val="24"/>
          <w:szCs w:val="24"/>
        </w:rPr>
        <w:t xml:space="preserve">A checked-out student isn’t lazy. They’re hopeless. There’s a difference. Laziness responds to accountability. Hopelessness doesn’t. When a kid has decided — consciously or not — that they cannot do the material, that they have no chance, that it has no relevance to them, adding pressure doesn’t create motivation. It creates resistance.</w:t>
      </w:r>
    </w:p>
    <w:p>
      <w:pPr>
        <w:spacing w:after="160"/>
      </w:pPr>
      <w:r>
        <w:rPr>
          <w:rFonts w:ascii="Georgia" w:cs="Georgia" w:eastAsia="Georgia" w:hAnsi="Georgia"/>
          <w:sz w:val="24"/>
          <w:szCs w:val="24"/>
        </w:rPr>
        <w:t xml:space="preserve">You cannot shame a student into caring. You cannot punish them into engagement. And you cannot want their success more than they do and make that work on its own.</w:t>
      </w:r>
    </w:p>
    <w:p>
      <w:pPr>
        <w:pBdr>
          <w:left w:val="single" w:color="1a6a8a" w:sz="18" w:space="12"/>
        </w:pBdr>
        <w:spacing w:after="240" w:before="240"/>
        <w:ind w:left="720" w:right="720"/>
      </w:pPr>
      <w:r>
        <w:rPr>
          <w:rFonts w:ascii="Georgia" w:cs="Georgia" w:eastAsia="Georgia" w:hAnsi="Georgia"/>
          <w:i/>
          <w:iCs/>
          <w:color w:val="1B2F5E"/>
          <w:sz w:val="26"/>
          <w:szCs w:val="26"/>
        </w:rPr>
        <w:t xml:space="preserve">A checked-out student isn’t making a choice about effort. They’re making a calculation about hope. If they don’t believe they can succeed, no consequence in the world changes that math.</w:t>
      </w:r>
    </w:p>
    <w:p>
      <w:pPr>
        <w:spacing w:after="160"/>
      </w:pPr>
      <w:r>
        <w:rPr>
          <w:rFonts w:ascii="Georgia" w:cs="Georgia" w:eastAsia="Georgia" w:hAnsi="Georgia"/>
          <w:sz w:val="24"/>
          <w:szCs w:val="24"/>
        </w:rPr>
        <w:t xml:space="preserve">Behavioral psychologist BF Skinner’s foundational research on reinforcement showed something teachers often forget: punishment suppresses behavior, but it doesn’t replace it with anything better. You can get a kid to put their phone away. You cannot get them to actually engage by threatening consequences alone. Engagement requires something positive to move toward, not just something negative to move away from.</w:t>
      </w:r>
    </w:p>
    <w:p>
      <w:pPr>
        <w:pStyle w:val="Heading2"/>
      </w:pPr>
      <w:r>
        <w:rPr>
          <w:rFonts w:ascii="Arial" w:cs="Arial" w:eastAsia="Arial" w:hAnsi="Arial"/>
          <w:b/>
          <w:bCs/>
          <w:color w:val="1B2F5E"/>
          <w:sz w:val="30"/>
          <w:szCs w:val="30"/>
        </w:rPr>
        <w:t xml:space="preserve">The Two Things You Have to Hold at Once</w:t>
      </w:r>
    </w:p>
    <w:p>
      <w:pPr>
        <w:spacing w:after="160"/>
      </w:pPr>
      <w:r>
        <w:rPr>
          <w:rFonts w:ascii="Georgia" w:cs="Georgia" w:eastAsia="Georgia" w:hAnsi="Georgia"/>
          <w:sz w:val="24"/>
          <w:szCs w:val="24"/>
        </w:rPr>
        <w:t xml:space="preserve">Here’s where it gets complicated. Because the answer isn’t to abandon structure and just let students do whatever they want. That doesn’t work either. Kids — especially teenagers who are testing everything — need boundaries. They need authority. They need someone in the room who is clearly in charge and clearly has standards that aren’t going to bend.</w:t>
      </w:r>
    </w:p>
    <w:p>
      <w:pPr>
        <w:spacing w:after="160"/>
      </w:pPr>
      <w:r>
        <w:rPr>
          <w:rFonts w:ascii="Georgia" w:cs="Georgia" w:eastAsia="Georgia" w:hAnsi="Georgia"/>
          <w:sz w:val="24"/>
          <w:szCs w:val="24"/>
        </w:rPr>
        <w:t xml:space="preserve">But they also need a door. A way in that fits who they actually are.</w:t>
      </w:r>
    </w:p>
    <w:p>
      <w:pPr>
        <w:spacing w:after="160"/>
      </w:pPr>
      <w:r>
        <w:rPr>
          <w:rFonts w:ascii="Georgia" w:cs="Georgia" w:eastAsia="Georgia" w:hAnsi="Georgia"/>
          <w:sz w:val="24"/>
          <w:szCs w:val="24"/>
        </w:rPr>
        <w:t xml:space="preserve">Think of it this way: the authority is the container. The alternative pathway is what you put inside it. You need both. The container without the pathway is a prison. The pathway without the container is chaos. The most effective teachers I’ve watched — and the most effective approach I’ve found in my own classroom — hold both simultaneously.</w:t>
      </w:r>
    </w:p>
    <w:p>
      <w:pPr>
        <w:shd w:fill="1B2F5E" w:val="clear"/>
        <w:spacing w:after="80" w:before="240"/>
      </w:pPr>
      <w:r>
        <w:rPr>
          <w:rFonts w:ascii="Arial" w:cs="Arial" w:eastAsia="Arial" w:hAnsi="Arial"/>
          <w:b/>
          <w:bCs/>
          <w:caps/>
          <w:color w:val="5eb8e0"/>
          <w:sz w:val="18"/>
          <w:szCs w:val="18"/>
        </w:rPr>
        <w:t xml:space="preserve">THE REAL MOVE</w:t>
      </w:r>
    </w:p>
    <w:p>
      <w:pPr>
        <w:shd w:fill="1B2F5E" w:val="clear"/>
        <w:spacing w:after="240"/>
      </w:pPr>
      <w:r>
        <w:rPr>
          <w:rFonts w:ascii="Georgia" w:cs="Georgia" w:eastAsia="Georgia" w:hAnsi="Georgia"/>
          <w:color w:val="FFFFFF"/>
          <w:sz w:val="22"/>
          <w:szCs w:val="22"/>
        </w:rPr>
        <w:t xml:space="preserve">You maintain the boundary. You enforce the standard. And within that structure, you create a pathway that meets the student where they actually are — not where you wish they were. That’s not giving up. That’s teaching.</w:t>
      </w:r>
    </w:p>
    <w:p>
      <w:pPr>
        <w:spacing w:after="160"/>
      </w:pPr>
      <w:r>
        <w:rPr>
          <w:rFonts w:ascii="Georgia" w:cs="Georgia" w:eastAsia="Georgia" w:hAnsi="Georgia"/>
          <w:sz w:val="24"/>
          <w:szCs w:val="24"/>
        </w:rPr>
        <w:t xml:space="preserve">Researcher Mel Robbins describes a principle she calls “Let Them” — the idea that you cannot change another person’s behavior by force. What you can do is control your own response, consistently show up with positive regard, and create the conditions where change becomes possible over time. She notes that meaningful behavioral shifts typically require sustained positive reinforcement over months, not days. The teacher’s job isn’t to force the change. It’s to keep the door open until the student is ready to walk through it.</w:t>
      </w:r>
    </w:p>
    <w:p>
      <w:pPr>
        <w:pStyle w:val="Heading2"/>
      </w:pPr>
      <w:r>
        <w:rPr>
          <w:rFonts w:ascii="Arial" w:cs="Arial" w:eastAsia="Arial" w:hAnsi="Arial"/>
          <w:b/>
          <w:bCs/>
          <w:color w:val="1B2F5E"/>
          <w:sz w:val="30"/>
          <w:szCs w:val="30"/>
        </w:rPr>
        <w:t xml:space="preserve">What This Actually Looks Like</w:t>
      </w:r>
    </w:p>
    <w:p>
      <w:pPr>
        <w:spacing w:after="160"/>
      </w:pPr>
      <w:r>
        <w:rPr>
          <w:rFonts w:ascii="Georgia" w:cs="Georgia" w:eastAsia="Georgia" w:hAnsi="Georgia"/>
          <w:sz w:val="24"/>
          <w:szCs w:val="24"/>
        </w:rPr>
        <w:t xml:space="preserve">Back to Marcus. He’s into anime. He knows more about AI tools than most adults I know. So instead of fighting him to take notes he’ll never use, I showed him how to build an anime-themed study guide for the class using AI. The math is still the math. The standards are still the standards. But the entry point is his.</w:t>
      </w:r>
    </w:p>
    <w:p>
      <w:pPr>
        <w:spacing w:after="160"/>
      </w:pPr>
      <w:r>
        <w:rPr>
          <w:rFonts w:ascii="Georgia" w:cs="Georgia" w:eastAsia="Georgia" w:hAnsi="Georgia"/>
          <w:sz w:val="24"/>
          <w:szCs w:val="24"/>
        </w:rPr>
        <w:t xml:space="preserve">Is Marcus going to pass geometry this year? Probably not. But here’s what he might walk away with instead: the experience of engaging with hard material through something he actually cares about. The knowledge that there’s a version of school that doesn’t feel completely foreign to who he is. A slightly better relationship with learning than he had in September.</w:t>
      </w:r>
    </w:p>
    <w:p>
      <w:pPr>
        <w:spacing w:after="160"/>
      </w:pPr>
      <w:r>
        <w:rPr>
          <w:rFonts w:ascii="Georgia" w:cs="Georgia" w:eastAsia="Georgia" w:hAnsi="Georgia"/>
          <w:sz w:val="24"/>
          <w:szCs w:val="24"/>
        </w:rPr>
        <w:t xml:space="preserve">That’s not nothing. In fact for a kid who had fully checked out, that might be everything.</w:t>
      </w:r>
    </w:p>
    <w:p>
      <w:pPr>
        <w:pBdr>
          <w:left w:val="single" w:color="1a6a8a" w:sz="18" w:space="12"/>
        </w:pBdr>
        <w:spacing w:after="240" w:before="240"/>
        <w:ind w:left="720" w:right="720"/>
      </w:pPr>
      <w:r>
        <w:rPr>
          <w:rFonts w:ascii="Georgia" w:cs="Georgia" w:eastAsia="Georgia" w:hAnsi="Georgia"/>
          <w:i/>
          <w:iCs/>
          <w:color w:val="1B2F5E"/>
          <w:sz w:val="26"/>
          <w:szCs w:val="26"/>
        </w:rPr>
        <w:t xml:space="preserve">You’re not trying to make every checked-out student love math. You’re trying to keep a door open long enough that someday — maybe not in your class, maybe not this year — they walk through it.</w:t>
      </w:r>
    </w:p>
    <w:p>
      <w:pPr>
        <w:pStyle w:val="Heading2"/>
      </w:pPr>
      <w:r>
        <w:rPr>
          <w:rFonts w:ascii="Arial" w:cs="Arial" w:eastAsia="Arial" w:hAnsi="Arial"/>
          <w:b/>
          <w:bCs/>
          <w:color w:val="1B2F5E"/>
          <w:sz w:val="30"/>
          <w:szCs w:val="30"/>
        </w:rPr>
        <w:t xml:space="preserve">The Skill That Actually Transfers</w:t>
      </w:r>
    </w:p>
    <w:p>
      <w:pPr>
        <w:spacing w:after="160"/>
      </w:pPr>
      <w:r>
        <w:rPr>
          <w:rFonts w:ascii="Georgia" w:cs="Georgia" w:eastAsia="Georgia" w:hAnsi="Georgia"/>
          <w:sz w:val="24"/>
          <w:szCs w:val="24"/>
        </w:rPr>
        <w:t xml:space="preserve">Here’s the thing about school that most people don’t talk about: the Pythagorean theorem is not the point. Whether a student can find the hypotenuse of a right triangle has very little bearing on most of what they’ll face in life.</w:t>
      </w:r>
    </w:p>
    <w:p>
      <w:pPr>
        <w:spacing w:after="160"/>
      </w:pPr>
      <w:r>
        <w:rPr>
          <w:rFonts w:ascii="Georgia" w:cs="Georgia" w:eastAsia="Georgia" w:hAnsi="Georgia"/>
          <w:sz w:val="24"/>
          <w:szCs w:val="24"/>
        </w:rPr>
        <w:t xml:space="preserve">What does transfer is this: the understanding that you can change. That when a first approach isn’t working, you can find a different one. That hard things become possible when you find the right entry point. That showing up matters even when you’re not sure it’s working.</w:t>
      </w:r>
    </w:p>
    <w:p>
      <w:pPr>
        <w:spacing w:after="160"/>
      </w:pPr>
      <w:r>
        <w:rPr>
          <w:rFonts w:ascii="Georgia" w:cs="Georgia" w:eastAsia="Georgia" w:hAnsi="Georgia"/>
          <w:sz w:val="24"/>
          <w:szCs w:val="24"/>
        </w:rPr>
        <w:t xml:space="preserve">People don’t succeed in jobs they hate. They don’t thrive in environments that feel completely misaligned with who they are. And the kids who figure out — in school or after it — how to find the version of a hard thing that fits them are the ones who compound over time.</w:t>
      </w:r>
    </w:p>
    <w:p>
      <w:pPr>
        <w:spacing w:after="160"/>
      </w:pPr>
      <w:r>
        <w:rPr>
          <w:rFonts w:ascii="Georgia" w:cs="Georgia" w:eastAsia="Georgia" w:hAnsi="Georgia"/>
          <w:sz w:val="24"/>
          <w:szCs w:val="24"/>
        </w:rPr>
        <w:t xml:space="preserve">Marcus learning to build an anime study guide with AI is not Marcus learning geometry. It’s Marcus learning that hard material becomes approachable when you find your own way in. That lesson is worth more than the geometry. And it doesn’t show up anywhere on the report card.</w:t>
      </w:r>
    </w:p>
    <w:p>
      <w:pPr>
        <w:pStyle w:val="Heading2"/>
      </w:pPr>
      <w:r>
        <w:rPr>
          <w:rFonts w:ascii="Arial" w:cs="Arial" w:eastAsia="Arial" w:hAnsi="Arial"/>
          <w:b/>
          <w:bCs/>
          <w:color w:val="1B2F5E"/>
          <w:sz w:val="30"/>
          <w:szCs w:val="30"/>
        </w:rPr>
        <w:t xml:space="preserve">What Parents Can Do With This</w:t>
      </w:r>
    </w:p>
    <w:p>
      <w:pPr>
        <w:spacing w:after="160"/>
      </w:pPr>
      <w:r>
        <w:rPr>
          <w:rFonts w:ascii="Georgia" w:cs="Georgia" w:eastAsia="Georgia" w:hAnsi="Georgia"/>
          <w:sz w:val="24"/>
          <w:szCs w:val="24"/>
        </w:rPr>
        <w:t xml:space="preserve">If your kid is checked out — at school, in math, in whatever subject — the first question to ask is not “what are the consequences” but “what have they lost hope about” and “what do they actually care about.” Those two answers together point toward the side door.</w:t>
      </w:r>
    </w:p>
    <w:p>
      <w:pPr>
        <w:spacing w:after="160"/>
      </w:pPr>
      <w:r>
        <w:rPr>
          <w:rFonts w:ascii="Georgia" w:cs="Georgia" w:eastAsia="Georgia" w:hAnsi="Georgia"/>
          <w:sz w:val="24"/>
          <w:szCs w:val="24"/>
        </w:rPr>
        <w:t xml:space="preserve">Keep the boundaries. Keep the standards. Don’t pretend the class doesn’t matter or that the grade doesn’t exist. But look for the entry point that connects the material to something real for your kid. It might be sports statistics. It might be music. It might be video games or cooking or cars.</w:t>
      </w:r>
    </w:p>
    <w:p>
      <w:pPr>
        <w:spacing w:after="160"/>
      </w:pPr>
      <w:r>
        <w:rPr>
          <w:rFonts w:ascii="Georgia" w:cs="Georgia" w:eastAsia="Georgia" w:hAnsi="Georgia"/>
          <w:sz w:val="24"/>
          <w:szCs w:val="24"/>
        </w:rPr>
        <w:t xml:space="preserve">The goal isn’t to make math feel like their favorite thing. The goal is to make it feel possible. That’s a much lower bar — and it’s the one that actually gets crossed.</w:t>
      </w:r>
    </w:p>
    <w:p>
      <w:pPr>
        <w:spacing w:after="160"/>
      </w:pPr>
    </w:p>
    <w:p>
      <w:pPr>
        <w:pBdr>
          <w:top w:val="single" w:color="1a6a8a" w:sz="6" w:space="4"/>
        </w:pBdr>
        <w:spacing w:after="120" w:before="240"/>
      </w:pPr>
      <w:r>
        <w:rPr>
          <w:rFonts w:ascii="Arial" w:cs="Arial" w:eastAsia="Arial" w:hAnsi="Arial"/>
          <w:b/>
          <w:bCs/>
          <w:caps/>
          <w:color w:val="1B2F5E"/>
          <w:spacing w:val="40"/>
          <w:sz w:val="20"/>
          <w:szCs w:val="20"/>
        </w:rPr>
        <w:t xml:space="preserve">WANT THE NEXT POST IN YOUR INBOX?</w:t>
      </w:r>
    </w:p>
    <w:p>
      <w:pPr>
        <w:spacing w:after="160"/>
      </w:pPr>
      <w:r>
        <w:rPr>
          <w:rFonts w:ascii="Georgia" w:cs="Georgia" w:eastAsia="Georgia" w:hAnsi="Georgia"/>
          <w:sz w:val="24"/>
          <w:szCs w:val="24"/>
        </w:rPr>
        <w:t xml:space="preserve">I write about what actually moves the needle for students who have checked out — and what parents and teachers can do about it. Sign up at mathledx.com.</w:t>
      </w:r>
    </w:p>
    <w:p>
      <w:pPr>
        <w:spacing w:after="160"/>
      </w:pPr>
    </w:p>
    <w:p>
      <w:pPr>
        <w:pBdr>
          <w:top w:val="single" w:color="CCCCCC" w:sz="4" w:space="4"/>
        </w:pBdr>
        <w:spacing w:after="80" w:before="200"/>
      </w:pPr>
      <w:r>
        <w:rPr>
          <w:rFonts w:ascii="Arial" w:cs="Arial" w:eastAsia="Arial" w:hAnsi="Arial"/>
          <w:b/>
          <w:bCs/>
          <w:caps/>
          <w:color w:val="856404"/>
          <w:sz w:val="18"/>
          <w:szCs w:val="18"/>
        </w:rPr>
        <w:t xml:space="preserve">GEMINI IMAGE PROMPT</w:t>
      </w:r>
    </w:p>
    <w:p>
      <w:pPr>
        <w:shd w:fill="FFF8DC" w:val="clear"/>
        <w:spacing w:after="200"/>
      </w:pPr>
      <w:r>
        <w:rPr>
          <w:rFonts w:ascii="Georgia" w:cs="Georgia" w:eastAsia="Georgia" w:hAnsi="Georgia"/>
          <w:i/>
          <w:iCs/>
          <w:color w:val="856404"/>
          <w:sz w:val="22"/>
          <w:szCs w:val="22"/>
        </w:rPr>
        <w:t xml:space="preserve">A single door left slightly ajar in a long empty hallway, soft natural light spilling through the gap, cool muted tones, concrete walls, minimal and atmospheric, no text or people, horizontal format.</w:t>
      </w:r>
    </w:p>
    <w:p>
      <w:pPr>
        <w:spacing w:after="200"/>
      </w:pPr>
    </w:p>
    <w:p>
      <w:pPr>
        <w:pBdr>
          <w:top w:val="single" w:color="CCCCCC" w:sz="4" w:space="4"/>
        </w:pBdr>
        <w:spacing w:before="160"/>
      </w:pPr>
      <w:r>
        <w:rPr>
          <w:rFonts w:ascii="Arial" w:cs="Arial" w:eastAsia="Arial" w:hAnsi="Arial"/>
          <w:color w:val="888888"/>
          <w:sz w:val="18"/>
          <w:szCs w:val="18"/>
        </w:rPr>
        <w:t xml:space="preserve">MathLedX  ·  mathledx.com  ·  © 2026 Rich Hollinger.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F5E"/>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B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2026-04-05T22:10:18.644Z</dcterms:created>
  <dcterms:modified xsi:type="dcterms:W3CDTF">2026-04-05T22:10:18.644Z</dcterms:modified>
</cp:coreProperties>
</file>

<file path=docProps/custom.xml><?xml version="1.0" encoding="utf-8"?>
<Properties xmlns="http://schemas.openxmlformats.org/officeDocument/2006/custom-properties" xmlns:vt="http://schemas.openxmlformats.org/officeDocument/2006/docPropsVTypes"/>
</file>