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3EBD" w14:textId="77777777" w:rsidR="000B1E1C" w:rsidRDefault="00000000">
      <w:pPr>
        <w:spacing w:after="160"/>
        <w:jc w:val="center"/>
      </w:pPr>
      <w:r>
        <w:rPr>
          <w:b/>
          <w:bCs/>
          <w:sz w:val="32"/>
          <w:szCs w:val="32"/>
        </w:rPr>
        <w:t>Estado del Arte en Ingeniería de Datos: Arquitecturas, Herramientas y Tendencias Emergentes (2021–2026)</w:t>
      </w:r>
    </w:p>
    <w:p w14:paraId="2AB2B067" w14:textId="0E594496" w:rsidR="000B1E1C" w:rsidRDefault="007D6238">
      <w:pPr>
        <w:spacing w:after="40"/>
        <w:jc w:val="center"/>
      </w:pPr>
      <w:r>
        <w:rPr>
          <w:i/>
          <w:iCs/>
          <w:sz w:val="22"/>
          <w:szCs w:val="22"/>
        </w:rPr>
        <w:t>Mateo Leonardo Yaguache Plaza</w:t>
      </w:r>
    </w:p>
    <w:p w14:paraId="24262DCC" w14:textId="6BD0BAF7" w:rsidR="000B1E1C" w:rsidRDefault="007D6238">
      <w:pPr>
        <w:spacing w:after="40"/>
        <w:jc w:val="center"/>
      </w:pPr>
      <w:r>
        <w:rPr>
          <w:i/>
          <w:iCs/>
        </w:rPr>
        <w:t>Computación</w:t>
      </w:r>
    </w:p>
    <w:p w14:paraId="67B79E6F" w14:textId="77777777" w:rsidR="000B1E1C" w:rsidRDefault="00000000">
      <w:pPr>
        <w:spacing w:after="40"/>
        <w:jc w:val="center"/>
      </w:pPr>
      <w:r>
        <w:rPr>
          <w:i/>
          <w:iCs/>
        </w:rPr>
        <w:t>Universidad Técnica Particular de Loja (UTPL)</w:t>
      </w:r>
    </w:p>
    <w:p w14:paraId="0A45F26D" w14:textId="41A188D2" w:rsidR="000B1E1C" w:rsidRDefault="00000000">
      <w:pPr>
        <w:spacing w:after="200"/>
        <w:jc w:val="center"/>
      </w:pPr>
      <w:r>
        <w:rPr>
          <w:i/>
          <w:iCs/>
        </w:rPr>
        <w:t xml:space="preserve">Loja, Ecuador </w:t>
      </w:r>
    </w:p>
    <w:p w14:paraId="3871FADE" w14:textId="77777777" w:rsidR="000B1E1C" w:rsidRDefault="000B1E1C">
      <w:pPr>
        <w:sectPr w:rsidR="000B1E1C">
          <w:type w:val="continuous"/>
          <w:pgSz w:w="12240" w:h="15840"/>
          <w:pgMar w:top="1080" w:right="1080" w:bottom="1080" w:left="1080" w:header="708" w:footer="708" w:gutter="0"/>
          <w:cols w:space="720"/>
          <w:docGrid w:linePitch="360"/>
        </w:sectPr>
      </w:pPr>
    </w:p>
    <w:p w14:paraId="07B1E421" w14:textId="77777777" w:rsidR="000B1E1C" w:rsidRDefault="00000000">
      <w:pPr>
        <w:spacing w:after="100"/>
      </w:pPr>
      <w:r>
        <w:rPr>
          <w:b/>
          <w:bCs/>
          <w:i/>
          <w:iCs/>
        </w:rPr>
        <w:lastRenderedPageBreak/>
        <w:t>Resumen—</w:t>
      </w:r>
      <w:r>
        <w:t xml:space="preserve">Este artículo presenta un estado del arte sobre ingeniería de datos, entendida como la disciplina encargada del diseño, construcción y mantenimiento de los sistemas que permiten recolectar, transformar, almacenar y disponer los datos de una organización de forma confiable y escalable. Se sintetiza literatura académica indexada (IEEE </w:t>
      </w:r>
      <w:proofErr w:type="spellStart"/>
      <w:r>
        <w:t>Xplore</w:t>
      </w:r>
      <w:proofErr w:type="spellEnd"/>
      <w:r>
        <w:t xml:space="preserve">, ACM Digital Library, Springer, </w:t>
      </w:r>
      <w:proofErr w:type="spellStart"/>
      <w:r>
        <w:t>Frontiers</w:t>
      </w:r>
      <w:proofErr w:type="spellEnd"/>
      <w:r>
        <w:t xml:space="preserve"> y </w:t>
      </w:r>
      <w:proofErr w:type="spellStart"/>
      <w:r>
        <w:t>arXiv</w:t>
      </w:r>
      <w:proofErr w:type="spellEnd"/>
      <w:r>
        <w:t xml:space="preserve">) junto con informes de industria, en el período 2021–2026, incluyendo trabajos anteriores cuando resultan fundacionales. Se analizan cuatro ejes: arquitecturas de datos (de almacenes centralizados a arquitecturas descentralizadas tipo data </w:t>
      </w:r>
      <w:proofErr w:type="spellStart"/>
      <w:r>
        <w:t>mesh</w:t>
      </w:r>
      <w:proofErr w:type="spellEnd"/>
      <w:r>
        <w:t xml:space="preserve">), actores académicos e industriales, el </w:t>
      </w:r>
      <w:proofErr w:type="spellStart"/>
      <w:r>
        <w:t>stack</w:t>
      </w:r>
      <w:proofErr w:type="spellEnd"/>
      <w:r>
        <w:t xml:space="preserve"> tecnológico dominante y las tendencias emergentes, en particular la integración de modelos de lenguaje de gran escala (LLM) en tareas de ingeniería de datos. Se identifican limitaciones de la evidencia disponible y oportunidades de investigación aplicada para instituciones de educación superior.</w:t>
      </w:r>
    </w:p>
    <w:p w14:paraId="4E89726C" w14:textId="77777777" w:rsidR="000B1E1C" w:rsidRDefault="00000000">
      <w:pPr>
        <w:spacing w:after="160"/>
      </w:pPr>
      <w:r>
        <w:rPr>
          <w:b/>
          <w:bCs/>
          <w:i/>
          <w:iCs/>
        </w:rPr>
        <w:t>Términos clave—</w:t>
      </w:r>
      <w:r>
        <w:rPr>
          <w:i/>
          <w:iCs/>
        </w:rPr>
        <w:t xml:space="preserve">ingeniería de datos; data </w:t>
      </w:r>
      <w:proofErr w:type="spellStart"/>
      <w:r>
        <w:rPr>
          <w:i/>
          <w:iCs/>
        </w:rPr>
        <w:t>mesh</w:t>
      </w:r>
      <w:proofErr w:type="spellEnd"/>
      <w:r>
        <w:rPr>
          <w:i/>
          <w:iCs/>
        </w:rPr>
        <w:t xml:space="preserve">; data </w:t>
      </w:r>
      <w:proofErr w:type="spellStart"/>
      <w:r>
        <w:rPr>
          <w:i/>
          <w:iCs/>
        </w:rPr>
        <w:t>lakehouse</w:t>
      </w:r>
      <w:proofErr w:type="spellEnd"/>
      <w:r>
        <w:rPr>
          <w:i/>
          <w:iCs/>
        </w:rPr>
        <w:t xml:space="preserve">; </w:t>
      </w:r>
      <w:proofErr w:type="spellStart"/>
      <w:r>
        <w:rPr>
          <w:i/>
          <w:iCs/>
        </w:rPr>
        <w:t>DataOps</w:t>
      </w:r>
      <w:proofErr w:type="spellEnd"/>
      <w:r>
        <w:rPr>
          <w:i/>
          <w:iCs/>
        </w:rPr>
        <w:t xml:space="preserve">; </w:t>
      </w:r>
      <w:proofErr w:type="spellStart"/>
      <w:r>
        <w:rPr>
          <w:i/>
          <w:iCs/>
        </w:rPr>
        <w:t>MLOps</w:t>
      </w:r>
      <w:proofErr w:type="spellEnd"/>
      <w:r>
        <w:rPr>
          <w:i/>
          <w:iCs/>
        </w:rPr>
        <w:t xml:space="preserve">; modelos de lenguaje de gran escala; </w:t>
      </w:r>
      <w:proofErr w:type="spellStart"/>
      <w:r>
        <w:rPr>
          <w:i/>
          <w:iCs/>
        </w:rPr>
        <w:t>text</w:t>
      </w:r>
      <w:proofErr w:type="spellEnd"/>
      <w:r>
        <w:rPr>
          <w:i/>
          <w:iCs/>
        </w:rPr>
        <w:t>-</w:t>
      </w:r>
      <w:proofErr w:type="spellStart"/>
      <w:r>
        <w:rPr>
          <w:i/>
          <w:iCs/>
        </w:rPr>
        <w:t>to</w:t>
      </w:r>
      <w:proofErr w:type="spellEnd"/>
      <w:r>
        <w:rPr>
          <w:i/>
          <w:iCs/>
        </w:rPr>
        <w:t>-SQL; gobierno de datos.</w:t>
      </w:r>
    </w:p>
    <w:p w14:paraId="09F76810" w14:textId="77777777" w:rsidR="000B1E1C" w:rsidRDefault="00000000">
      <w:pPr>
        <w:spacing w:before="200" w:after="120"/>
        <w:jc w:val="center"/>
      </w:pPr>
      <w:r>
        <w:rPr>
          <w:b/>
          <w:bCs/>
        </w:rPr>
        <w:t>I. INTRODUCCIÓN</w:t>
      </w:r>
    </w:p>
    <w:p w14:paraId="735FE495" w14:textId="77777777" w:rsidR="000B1E1C" w:rsidRDefault="00000000">
      <w:pPr>
        <w:spacing w:after="120" w:line="252" w:lineRule="auto"/>
        <w:ind w:firstLine="240"/>
        <w:jc w:val="both"/>
      </w:pPr>
      <w:r>
        <w:t xml:space="preserve">El volumen, la velocidad y la variedad de los datos generados por los procesos académicos, administrativos y de investigación de una institución de educación superior han convertido a la ingeniería de datos en una función crítica para la toma de decisiones. Según estimaciones de la International Data </w:t>
      </w:r>
      <w:proofErr w:type="spellStart"/>
      <w:r>
        <w:t>Corporation</w:t>
      </w:r>
      <w:proofErr w:type="spellEnd"/>
      <w:r>
        <w:t xml:space="preserve"> citadas en [1], el volumen de datos generados por empresas e individuos crecerá un 61% hasta alcanzar 175 </w:t>
      </w:r>
      <w:proofErr w:type="spellStart"/>
      <w:r>
        <w:t>zettabytes</w:t>
      </w:r>
      <w:proofErr w:type="spellEnd"/>
      <w:r>
        <w:t xml:space="preserve"> en 2025, lo que evidencia la magnitud del reto de integración, calidad y gobierno que enfrentan las organizaciones de datos intensivas.</w:t>
      </w:r>
    </w:p>
    <w:p w14:paraId="40D11FDD" w14:textId="77777777" w:rsidR="000B1E1C" w:rsidRDefault="00000000">
      <w:pPr>
        <w:spacing w:after="120" w:line="252" w:lineRule="auto"/>
        <w:ind w:firstLine="240"/>
        <w:jc w:val="both"/>
      </w:pPr>
      <w:r>
        <w:t>Antes de diseñar o implementar una solución concreta, es necesario comprender qué se ha desarrollado ya en este campo, qué patrones arquitectónicos han demostrado madurez, qué herramientas concentran la adopción de la industria y hacia dónde se dirige la disciplina en el corto y mediano plazo. Este artículo responde a cuatro preguntas de investigación: (i) qué se está implementando actualmente en ingeniería de datos; (</w:t>
      </w:r>
      <w:proofErr w:type="spellStart"/>
      <w:r>
        <w:t>ii</w:t>
      </w:r>
      <w:proofErr w:type="spellEnd"/>
      <w:r>
        <w:t>) qué universidades e industrias trabajan en problemas iguales o adyacentes; (</w:t>
      </w:r>
      <w:proofErr w:type="spellStart"/>
      <w:r>
        <w:t>iii</w:t>
      </w:r>
      <w:proofErr w:type="spellEnd"/>
      <w:r>
        <w:t xml:space="preserve">) con qué herramientas se construye el </w:t>
      </w:r>
      <w:proofErr w:type="spellStart"/>
      <w:r>
        <w:t>stack</w:t>
      </w:r>
      <w:proofErr w:type="spellEnd"/>
      <w:r>
        <w:t xml:space="preserve"> moderno de datos; y (</w:t>
      </w:r>
      <w:proofErr w:type="spellStart"/>
      <w:r>
        <w:t>iv</w:t>
      </w:r>
      <w:proofErr w:type="spellEnd"/>
      <w:r>
        <w:t>) hacia dónde evoluciona el campo en un horizonte de uno a tres años.</w:t>
      </w:r>
    </w:p>
    <w:p w14:paraId="31C04551" w14:textId="77777777" w:rsidR="000B1E1C" w:rsidRDefault="00000000">
      <w:pPr>
        <w:spacing w:after="120" w:line="252" w:lineRule="auto"/>
        <w:ind w:firstLine="240"/>
        <w:jc w:val="both"/>
      </w:pPr>
      <w:r>
        <w:t xml:space="preserve">El resto del artículo se organiza como sigue. La Sección II introduce el marco conceptual. La Sección III revisa los trabajos relacionados en industria, academia e instituciones de educación superior. La Sección IV describe el ecosistema de herramientas </w:t>
      </w:r>
      <w:r>
        <w:t>dominante. La Sección V discute tendencias y líneas abiertas de investigación. La Sección VI concluye el artículo.</w:t>
      </w:r>
    </w:p>
    <w:p w14:paraId="382FFAB6" w14:textId="77777777" w:rsidR="000B1E1C" w:rsidRDefault="00000000">
      <w:pPr>
        <w:spacing w:before="200" w:after="120"/>
        <w:jc w:val="center"/>
      </w:pPr>
      <w:r>
        <w:rPr>
          <w:b/>
          <w:bCs/>
        </w:rPr>
        <w:t>II. MARCO CONCEPTUAL</w:t>
      </w:r>
    </w:p>
    <w:p w14:paraId="23B1DA22" w14:textId="77777777" w:rsidR="000B1E1C" w:rsidRDefault="00000000">
      <w:pPr>
        <w:spacing w:before="120" w:after="80"/>
      </w:pPr>
      <w:r>
        <w:rPr>
          <w:b/>
          <w:bCs/>
          <w:i/>
          <w:iCs/>
        </w:rPr>
        <w:t xml:space="preserve">A. Arquitecturas de datos: </w:t>
      </w:r>
      <w:proofErr w:type="spellStart"/>
      <w:r>
        <w:rPr>
          <w:b/>
          <w:bCs/>
          <w:i/>
          <w:iCs/>
        </w:rPr>
        <w:t>warehouse</w:t>
      </w:r>
      <w:proofErr w:type="spellEnd"/>
      <w:r>
        <w:rPr>
          <w:b/>
          <w:bCs/>
          <w:i/>
          <w:iCs/>
        </w:rPr>
        <w:t xml:space="preserve">, </w:t>
      </w:r>
      <w:proofErr w:type="spellStart"/>
      <w:r>
        <w:rPr>
          <w:b/>
          <w:bCs/>
          <w:i/>
          <w:iCs/>
        </w:rPr>
        <w:t>lake</w:t>
      </w:r>
      <w:proofErr w:type="spellEnd"/>
      <w:r>
        <w:rPr>
          <w:b/>
          <w:bCs/>
          <w:i/>
          <w:iCs/>
        </w:rPr>
        <w:t xml:space="preserve">, </w:t>
      </w:r>
      <w:proofErr w:type="spellStart"/>
      <w:r>
        <w:rPr>
          <w:b/>
          <w:bCs/>
          <w:i/>
          <w:iCs/>
        </w:rPr>
        <w:t>lakehouse</w:t>
      </w:r>
      <w:proofErr w:type="spellEnd"/>
      <w:r>
        <w:rPr>
          <w:b/>
          <w:bCs/>
          <w:i/>
          <w:iCs/>
        </w:rPr>
        <w:t xml:space="preserve"> y </w:t>
      </w:r>
      <w:proofErr w:type="spellStart"/>
      <w:r>
        <w:rPr>
          <w:b/>
          <w:bCs/>
          <w:i/>
          <w:iCs/>
        </w:rPr>
        <w:t>mesh</w:t>
      </w:r>
      <w:proofErr w:type="spellEnd"/>
    </w:p>
    <w:p w14:paraId="7909FECC" w14:textId="77777777" w:rsidR="000B1E1C" w:rsidRDefault="00000000">
      <w:pPr>
        <w:spacing w:after="120" w:line="252" w:lineRule="auto"/>
        <w:ind w:firstLine="240"/>
        <w:jc w:val="both"/>
      </w:pPr>
      <w:r>
        <w:t xml:space="preserve">El almacén de datos (data </w:t>
      </w:r>
      <w:proofErr w:type="spellStart"/>
      <w:r>
        <w:t>warehouse</w:t>
      </w:r>
      <w:proofErr w:type="spellEnd"/>
      <w:r>
        <w:t xml:space="preserve">) es una arquitectura centralizada y estructurada, optimizada para consultas analíticas sobre datos ya transformados. El lago de datos (data </w:t>
      </w:r>
      <w:proofErr w:type="spellStart"/>
      <w:r>
        <w:t>lake</w:t>
      </w:r>
      <w:proofErr w:type="spellEnd"/>
      <w:r>
        <w:t xml:space="preserve">) almacena datos crudos de cualquier formato a bajo costo, lo que en ausencia de gobierno adecuado deriva en el problema conocido como "pantano de datos" [2]. El </w:t>
      </w:r>
      <w:proofErr w:type="spellStart"/>
      <w:r>
        <w:t>lakehouse</w:t>
      </w:r>
      <w:proofErr w:type="spellEnd"/>
      <w:r>
        <w:t xml:space="preserve"> combina ambas aproximaciones aplicando control transaccional tipo ACID sobre almacenamiento de bajo costo [3], arquitectura que ha sido aplicada incluso en dominios no tecnológicos, como la investigación biomédica a gran escala [4]. Una revisión más amplia de sistemas de lagos de datos es ofrecida en [5].</w:t>
      </w:r>
    </w:p>
    <w:p w14:paraId="0F80DE02" w14:textId="77777777" w:rsidR="000B1E1C" w:rsidRDefault="00000000">
      <w:pPr>
        <w:spacing w:after="120" w:line="252" w:lineRule="auto"/>
        <w:ind w:firstLine="240"/>
        <w:jc w:val="both"/>
      </w:pPr>
      <w:r>
        <w:t xml:space="preserve">El data </w:t>
      </w:r>
      <w:proofErr w:type="spellStart"/>
      <w:r>
        <w:t>mesh</w:t>
      </w:r>
      <w:proofErr w:type="spellEnd"/>
      <w:r>
        <w:t xml:space="preserve"> propone un cambio organizacional más que puramente tecnológico: descentraliza la propiedad de los datos hacia equipos de dominio, tratando cada conjunto de datos como un "producto de datos" sostenido por una plataforma de autoservicio y un modelo de gobierno federado y computacional [1]. Esta arquitectura constituye, según la revisión sistemática de literatura gris más reciente, un campo todavía escaso en literatura académica formal a pesar de su fuerte tracción práctica.</w:t>
      </w:r>
    </w:p>
    <w:p w14:paraId="5DD1BCFB" w14:textId="77777777" w:rsidR="000B1E1C" w:rsidRDefault="00000000">
      <w:pPr>
        <w:spacing w:before="120" w:after="80"/>
      </w:pPr>
      <w:r>
        <w:rPr>
          <w:b/>
          <w:bCs/>
          <w:i/>
          <w:iCs/>
        </w:rPr>
        <w:t>B. Procesamiento por lotes y en tiempo real</w:t>
      </w:r>
    </w:p>
    <w:p w14:paraId="524BC33F" w14:textId="77777777" w:rsidR="000B1E1C" w:rsidRDefault="00000000">
      <w:pPr>
        <w:spacing w:after="120" w:line="252" w:lineRule="auto"/>
        <w:ind w:firstLine="240"/>
        <w:jc w:val="both"/>
      </w:pPr>
      <w:r>
        <w:t>El procesamiento de flujos ha evolucionado en generaciones sucesivas, desde sistemas pioneros de baja latencia hasta motores de tercera generación que unifican semánticas de procesamiento por lotes y en tiempo real bajo un mismo modelo de flujo de datos [6]. Apache Flink se ha consolidado como motor de referencia en esta unificación [7], mientras que Apache Kafka, originalmente diseñado como sistema de mensajería para el procesamiento de bitácoras [8], es el estándar de facto para la ingesta de eventos.</w:t>
      </w:r>
    </w:p>
    <w:p w14:paraId="3F8E2E77" w14:textId="77777777" w:rsidR="000B1E1C" w:rsidRDefault="00000000">
      <w:pPr>
        <w:spacing w:before="120" w:after="80"/>
      </w:pPr>
      <w:r>
        <w:rPr>
          <w:b/>
          <w:bCs/>
          <w:i/>
          <w:iCs/>
        </w:rPr>
        <w:t xml:space="preserve">C. </w:t>
      </w:r>
      <w:proofErr w:type="spellStart"/>
      <w:r>
        <w:rPr>
          <w:b/>
          <w:bCs/>
          <w:i/>
          <w:iCs/>
        </w:rPr>
        <w:t>DataOps</w:t>
      </w:r>
      <w:proofErr w:type="spellEnd"/>
      <w:r>
        <w:rPr>
          <w:b/>
          <w:bCs/>
          <w:i/>
          <w:iCs/>
        </w:rPr>
        <w:t xml:space="preserve"> y </w:t>
      </w:r>
      <w:proofErr w:type="spellStart"/>
      <w:r>
        <w:rPr>
          <w:b/>
          <w:bCs/>
          <w:i/>
          <w:iCs/>
        </w:rPr>
        <w:t>MLOps</w:t>
      </w:r>
      <w:proofErr w:type="spellEnd"/>
    </w:p>
    <w:p w14:paraId="4C995842" w14:textId="77777777" w:rsidR="000B1E1C" w:rsidRDefault="00000000">
      <w:pPr>
        <w:spacing w:after="120" w:line="252" w:lineRule="auto"/>
        <w:ind w:firstLine="240"/>
        <w:jc w:val="both"/>
      </w:pPr>
      <w:proofErr w:type="spellStart"/>
      <w:r>
        <w:t>DataOps</w:t>
      </w:r>
      <w:proofErr w:type="spellEnd"/>
      <w:r>
        <w:t xml:space="preserve"> aplica principios de integración y entrega continua propios de DevOps a los flujos de datos, con el objetivo de reducir el tiempo entre la generación de un dato y su disponibilidad confiable para el consumo, tal como fue definido originalmente en [9]. </w:t>
      </w:r>
      <w:proofErr w:type="spellStart"/>
      <w:r>
        <w:t>MLOps</w:t>
      </w:r>
      <w:proofErr w:type="spellEnd"/>
      <w:r>
        <w:t xml:space="preserve"> extiende esta lógica al ciclo de vida de modelos de aprendizaje automático mediante marcos de madurez organizacional [10] y la incorporación de repositorios de variables o "</w:t>
      </w:r>
      <w:proofErr w:type="spellStart"/>
      <w:r>
        <w:t>feature</w:t>
      </w:r>
      <w:proofErr w:type="spellEnd"/>
      <w:r>
        <w:t xml:space="preserve"> </w:t>
      </w:r>
      <w:proofErr w:type="spellStart"/>
      <w:r>
        <w:t>stores</w:t>
      </w:r>
      <w:proofErr w:type="spellEnd"/>
      <w:r>
        <w:t>", cuya adopción se documenta incluso en dominios de estadística oficial [11].</w:t>
      </w:r>
    </w:p>
    <w:p w14:paraId="31DBAB54" w14:textId="77777777" w:rsidR="000B1E1C" w:rsidRDefault="00000000">
      <w:pPr>
        <w:spacing w:before="120" w:after="80"/>
      </w:pPr>
      <w:r>
        <w:rPr>
          <w:b/>
          <w:bCs/>
          <w:i/>
          <w:iCs/>
        </w:rPr>
        <w:t>D. Calidad y gobierno de datos</w:t>
      </w:r>
    </w:p>
    <w:p w14:paraId="534876B4" w14:textId="77777777" w:rsidR="000B1E1C" w:rsidRDefault="00000000">
      <w:pPr>
        <w:spacing w:after="120" w:line="252" w:lineRule="auto"/>
        <w:ind w:firstLine="240"/>
        <w:jc w:val="both"/>
      </w:pPr>
      <w:r>
        <w:lastRenderedPageBreak/>
        <w:t xml:space="preserve">La calidad de datos se evalúa mediante dimensiones como completitud, exactitud, consistencia y oportunidad [12]. Su evaluación se ha vuelto más compleja en entornos de </w:t>
      </w:r>
      <w:proofErr w:type="spellStart"/>
      <w:r>
        <w:t>big</w:t>
      </w:r>
      <w:proofErr w:type="spellEnd"/>
      <w:r>
        <w:t xml:space="preserve"> data, donde el contexto de uso condiciona qué se considera una anomalía [13], lo que ha impulsado el desarrollo de catálogos de herramientas de monitoreo automatizado [14]. El gobierno de datos, por su parte, se define como el conjunto de políticas, roles y procesos que determinan la disponibilidad, integridad, seguridad y usabilidad de los datos institucionales [15].</w:t>
      </w:r>
    </w:p>
    <w:p w14:paraId="1DFEB248" w14:textId="77777777" w:rsidR="000B1E1C" w:rsidRDefault="00000000">
      <w:pPr>
        <w:spacing w:before="200" w:after="120"/>
        <w:jc w:val="center"/>
      </w:pPr>
      <w:r>
        <w:rPr>
          <w:b/>
          <w:bCs/>
        </w:rPr>
        <w:t>III. TRABAJOS RELACIONADOS</w:t>
      </w:r>
    </w:p>
    <w:p w14:paraId="4F0A344B" w14:textId="77777777" w:rsidR="000B1E1C" w:rsidRDefault="00000000">
      <w:pPr>
        <w:spacing w:before="120" w:after="80"/>
      </w:pPr>
      <w:r>
        <w:rPr>
          <w:b/>
          <w:bCs/>
          <w:i/>
          <w:iCs/>
        </w:rPr>
        <w:t>A. Industria</w:t>
      </w:r>
    </w:p>
    <w:p w14:paraId="55850DAB" w14:textId="77777777" w:rsidR="000B1E1C" w:rsidRDefault="00000000">
      <w:pPr>
        <w:spacing w:after="120" w:line="252" w:lineRule="auto"/>
        <w:ind w:firstLine="240"/>
        <w:jc w:val="both"/>
      </w:pPr>
      <w:r>
        <w:t>Una encuesta con 1101 profesionales de seis continentes reporta que el 82% utiliza herramientas de inteligencia artificial a diario en sus flujos de trabajo de datos [16]. En la misma línea, un informe con 456 respuestas identifica la calidad de datos como el desafío predominante para el 57% de los encuestados [17]. Casos documentados muestran a empresas como Uber y Pinterest desplegando interfaces de lenguaje natural a SQL en producción, y a Expedia construyendo plataformas de monitoreo de calidad casi en tiempo real sobre Kafka [18].</w:t>
      </w:r>
    </w:p>
    <w:p w14:paraId="6C6A2C97" w14:textId="77777777" w:rsidR="000B1E1C" w:rsidRDefault="00000000">
      <w:pPr>
        <w:spacing w:before="120" w:after="80"/>
      </w:pPr>
      <w:r>
        <w:rPr>
          <w:b/>
          <w:bCs/>
          <w:i/>
          <w:iCs/>
        </w:rPr>
        <w:t>B. Academia</w:t>
      </w:r>
    </w:p>
    <w:p w14:paraId="403D8408" w14:textId="77777777" w:rsidR="000B1E1C" w:rsidRDefault="00000000">
      <w:pPr>
        <w:spacing w:after="120" w:line="252" w:lineRule="auto"/>
        <w:ind w:firstLine="240"/>
        <w:jc w:val="both"/>
      </w:pPr>
      <w:r>
        <w:t xml:space="preserve">Sobre data </w:t>
      </w:r>
      <w:proofErr w:type="spellStart"/>
      <w:r>
        <w:t>mesh</w:t>
      </w:r>
      <w:proofErr w:type="spellEnd"/>
      <w:r>
        <w:t xml:space="preserve">, [1] sintetiza 114 fuentes industriales ante la escasez de estudios primarios formales. Sobre arquitecturas </w:t>
      </w:r>
      <w:proofErr w:type="spellStart"/>
      <w:r>
        <w:t>lakehouse</w:t>
      </w:r>
      <w:proofErr w:type="spellEnd"/>
      <w:r>
        <w:t xml:space="preserve">, [3] compara formalmente almacenes, lagos y </w:t>
      </w:r>
      <w:proofErr w:type="spellStart"/>
      <w:r>
        <w:t>lakehouses</w:t>
      </w:r>
      <w:proofErr w:type="spellEnd"/>
      <w:r>
        <w:t xml:space="preserve">, mientras que [4] documenta una implementación biomédica a gran escala. En procesamiento de flujos, [6] ofrece la revisión más completa disponible. Respecto a inteligencia artificial aplicada, [19] y [20] examinan de forma sistemática los métodos basados en LLM para </w:t>
      </w:r>
      <w:r>
        <w:t xml:space="preserve">la tarea de texto-a-SQL, y [11] revisa la adopción de </w:t>
      </w:r>
      <w:proofErr w:type="spellStart"/>
      <w:r>
        <w:t>feature</w:t>
      </w:r>
      <w:proofErr w:type="spellEnd"/>
      <w:r>
        <w:t xml:space="preserve"> </w:t>
      </w:r>
      <w:proofErr w:type="spellStart"/>
      <w:r>
        <w:t>stores</w:t>
      </w:r>
      <w:proofErr w:type="spellEnd"/>
      <w:r>
        <w:t xml:space="preserve"> en estadística oficial.</w:t>
      </w:r>
    </w:p>
    <w:p w14:paraId="12FF0565" w14:textId="77777777" w:rsidR="000B1E1C" w:rsidRDefault="00000000">
      <w:pPr>
        <w:spacing w:before="120" w:after="80"/>
      </w:pPr>
      <w:r>
        <w:rPr>
          <w:b/>
          <w:bCs/>
          <w:i/>
          <w:iCs/>
        </w:rPr>
        <w:t>C. Instituciones de educación superior</w:t>
      </w:r>
    </w:p>
    <w:p w14:paraId="5C7EA90A" w14:textId="77777777" w:rsidR="000B1E1C" w:rsidRDefault="00000000">
      <w:pPr>
        <w:spacing w:after="120" w:line="252" w:lineRule="auto"/>
        <w:ind w:firstLine="240"/>
        <w:jc w:val="both"/>
      </w:pPr>
      <w:r>
        <w:t>En Indonesia, [21] identifica los factores que influyen en la implementación de gobierno de datos en una universidad pública, mientras que [22] documenta los desafíos de construir una base de datos nacional de educación superior. En Estados Unidos, [23] delinea una visión a diez años para el gobierno de datos institucional. En el contexto ecuatoriano, la Universidad Nacional de Chimborazo documenta un estudio de pertinencia que sustenta su oferta académica en ciencia de datos e inteligencia artificial [24], y la propia UTPL forma profesionales orientados al diseño de ecosistemas digitales a través de su carrera de Ingeniería en Tecnologías de la Información [25]. No se encontró evidencia suficiente en bases de datos indexadas de estudios de caso sobre implementación de arquitecturas modernas de ingeniería de datos en universidades ecuatorianas, lo que constituye una limitación relevante de este estado del arte.</w:t>
      </w:r>
    </w:p>
    <w:p w14:paraId="0227CB10" w14:textId="77777777" w:rsidR="000B1E1C" w:rsidRDefault="00000000">
      <w:pPr>
        <w:spacing w:before="200" w:after="120"/>
        <w:jc w:val="center"/>
      </w:pPr>
      <w:r>
        <w:rPr>
          <w:b/>
          <w:bCs/>
        </w:rPr>
        <w:t>IV. HERRAMIENTAS Y TECNOLOGÍAS</w:t>
      </w:r>
    </w:p>
    <w:p w14:paraId="4BA5E3E7" w14:textId="77777777" w:rsidR="000B1E1C" w:rsidRDefault="00000000">
      <w:pPr>
        <w:spacing w:after="120" w:line="252" w:lineRule="auto"/>
        <w:ind w:firstLine="240"/>
        <w:jc w:val="both"/>
      </w:pPr>
      <w:r>
        <w:t>El "</w:t>
      </w:r>
      <w:proofErr w:type="spellStart"/>
      <w:r>
        <w:t>stack</w:t>
      </w:r>
      <w:proofErr w:type="spellEnd"/>
      <w:r>
        <w:t xml:space="preserve"> moderno de datos" se organiza en capas funcionales relativamente estables. Apache Kafka continúa siendo el estándar de facto para la ingesta de eventos, con más de 150 000 organizaciones reportadas como usuarias [26]. Para transformación, </w:t>
      </w:r>
      <w:proofErr w:type="spellStart"/>
      <w:r>
        <w:t>dbt</w:t>
      </w:r>
      <w:proofErr w:type="spellEnd"/>
      <w:r>
        <w:t xml:space="preserve"> se ha convertido en el estándar siguiendo prácticas de ingeniería de software [17], mientras que Apache </w:t>
      </w:r>
      <w:proofErr w:type="spellStart"/>
      <w:r>
        <w:t>Airflow</w:t>
      </w:r>
      <w:proofErr w:type="spellEnd"/>
      <w:r>
        <w:t xml:space="preserve"> es el orquestador más adoptado. En almacenamiento analítico, los formatos Apache Iceberg, Apache Hudi y Delta Lake compiten por convertirse en el estándar para </w:t>
      </w:r>
      <w:proofErr w:type="spellStart"/>
      <w:r>
        <w:t>lakehouses</w:t>
      </w:r>
      <w:proofErr w:type="spellEnd"/>
      <w:r>
        <w:t xml:space="preserve"> [18]. La Tabla I resume las diferencias principales entre las cuatro arquitecturas discutidas en la Sección II-A.</w:t>
      </w:r>
    </w:p>
    <w:p w14:paraId="3624EC83" w14:textId="77777777" w:rsidR="000B1E1C" w:rsidRDefault="000B1E1C">
      <w:pPr>
        <w:sectPr w:rsidR="000B1E1C">
          <w:type w:val="continuous"/>
          <w:pgSz w:w="11906" w:h="16838"/>
          <w:pgMar w:top="1440" w:right="1440" w:bottom="1440" w:left="1440" w:header="708" w:footer="708" w:gutter="0"/>
          <w:cols w:num="2" w:space="360"/>
          <w:docGrid w:linePitch="360"/>
        </w:sectPr>
      </w:pPr>
    </w:p>
    <w:p w14:paraId="41923508" w14:textId="77777777" w:rsidR="000B1E1C" w:rsidRDefault="00000000">
      <w:pPr>
        <w:spacing w:before="100" w:after="40"/>
        <w:jc w:val="center"/>
      </w:pPr>
      <w:r>
        <w:rPr>
          <w:b/>
          <w:bCs/>
          <w:sz w:val="18"/>
          <w:szCs w:val="18"/>
        </w:rPr>
        <w:t>TABLA I</w:t>
      </w:r>
    </w:p>
    <w:p w14:paraId="21094CC6" w14:textId="77777777" w:rsidR="000B1E1C" w:rsidRDefault="00000000">
      <w:pPr>
        <w:spacing w:after="100"/>
        <w:jc w:val="center"/>
      </w:pPr>
      <w:r>
        <w:rPr>
          <w:sz w:val="18"/>
          <w:szCs w:val="18"/>
        </w:rPr>
        <w:t>COMPARACIÓN DE ARQUITECTURAS DE ALMACENAMIENTO DE DATOS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50"/>
        <w:gridCol w:w="1750"/>
        <w:gridCol w:w="1900"/>
        <w:gridCol w:w="1900"/>
      </w:tblGrid>
      <w:tr w:rsidR="000B1E1C" w14:paraId="4D140DE4" w14:textId="77777777">
        <w:tblPrEx>
          <w:tblCellMar>
            <w:top w:w="0" w:type="dxa"/>
            <w:bottom w:w="0" w:type="dxa"/>
          </w:tblCellMar>
        </w:tblPrEx>
        <w:tc>
          <w:tcPr>
            <w:tcW w:w="1300" w:type="dxa"/>
            <w:shd w:val="clear" w:color="auto" w:fill="000000"/>
            <w:tcMar>
              <w:top w:w="60" w:type="dxa"/>
              <w:left w:w="80" w:type="dxa"/>
              <w:bottom w:w="60" w:type="dxa"/>
              <w:right w:w="80" w:type="dxa"/>
            </w:tcMar>
          </w:tcPr>
          <w:p w14:paraId="7CD30BBD" w14:textId="77777777" w:rsidR="000B1E1C" w:rsidRDefault="00000000">
            <w:pPr>
              <w:jc w:val="center"/>
            </w:pPr>
            <w:r>
              <w:rPr>
                <w:b/>
                <w:bCs/>
                <w:color w:val="FFFFFF"/>
                <w:sz w:val="16"/>
                <w:szCs w:val="16"/>
              </w:rPr>
              <w:t>Criterio</w:t>
            </w:r>
          </w:p>
        </w:tc>
        <w:tc>
          <w:tcPr>
            <w:tcW w:w="1750" w:type="dxa"/>
            <w:shd w:val="clear" w:color="auto" w:fill="000000"/>
            <w:tcMar>
              <w:top w:w="60" w:type="dxa"/>
              <w:left w:w="80" w:type="dxa"/>
              <w:bottom w:w="60" w:type="dxa"/>
              <w:right w:w="80" w:type="dxa"/>
            </w:tcMar>
          </w:tcPr>
          <w:p w14:paraId="47763A43" w14:textId="77777777" w:rsidR="000B1E1C" w:rsidRDefault="00000000">
            <w:pPr>
              <w:jc w:val="center"/>
            </w:pPr>
            <w:proofErr w:type="spellStart"/>
            <w:r>
              <w:rPr>
                <w:b/>
                <w:bCs/>
                <w:color w:val="FFFFFF"/>
                <w:sz w:val="16"/>
                <w:szCs w:val="16"/>
              </w:rPr>
              <w:t>Warehouse</w:t>
            </w:r>
            <w:proofErr w:type="spellEnd"/>
          </w:p>
        </w:tc>
        <w:tc>
          <w:tcPr>
            <w:tcW w:w="1750" w:type="dxa"/>
            <w:shd w:val="clear" w:color="auto" w:fill="000000"/>
            <w:tcMar>
              <w:top w:w="60" w:type="dxa"/>
              <w:left w:w="80" w:type="dxa"/>
              <w:bottom w:w="60" w:type="dxa"/>
              <w:right w:w="80" w:type="dxa"/>
            </w:tcMar>
          </w:tcPr>
          <w:p w14:paraId="1DA5E5B2" w14:textId="77777777" w:rsidR="000B1E1C" w:rsidRDefault="00000000">
            <w:pPr>
              <w:jc w:val="center"/>
            </w:pPr>
            <w:r>
              <w:rPr>
                <w:b/>
                <w:bCs/>
                <w:color w:val="FFFFFF"/>
                <w:sz w:val="16"/>
                <w:szCs w:val="16"/>
              </w:rPr>
              <w:t>Data Lake</w:t>
            </w:r>
          </w:p>
        </w:tc>
        <w:tc>
          <w:tcPr>
            <w:tcW w:w="1900" w:type="dxa"/>
            <w:shd w:val="clear" w:color="auto" w:fill="000000"/>
            <w:tcMar>
              <w:top w:w="60" w:type="dxa"/>
              <w:left w:w="80" w:type="dxa"/>
              <w:bottom w:w="60" w:type="dxa"/>
              <w:right w:w="80" w:type="dxa"/>
            </w:tcMar>
          </w:tcPr>
          <w:p w14:paraId="0069B0D7" w14:textId="77777777" w:rsidR="000B1E1C" w:rsidRDefault="00000000">
            <w:pPr>
              <w:jc w:val="center"/>
            </w:pPr>
            <w:proofErr w:type="spellStart"/>
            <w:r>
              <w:rPr>
                <w:b/>
                <w:bCs/>
                <w:color w:val="FFFFFF"/>
                <w:sz w:val="16"/>
                <w:szCs w:val="16"/>
              </w:rPr>
              <w:t>Lakehouse</w:t>
            </w:r>
            <w:proofErr w:type="spellEnd"/>
          </w:p>
        </w:tc>
        <w:tc>
          <w:tcPr>
            <w:tcW w:w="1900" w:type="dxa"/>
            <w:shd w:val="clear" w:color="auto" w:fill="000000"/>
            <w:tcMar>
              <w:top w:w="60" w:type="dxa"/>
              <w:left w:w="80" w:type="dxa"/>
              <w:bottom w:w="60" w:type="dxa"/>
              <w:right w:w="80" w:type="dxa"/>
            </w:tcMar>
          </w:tcPr>
          <w:p w14:paraId="71B1CD0B" w14:textId="77777777" w:rsidR="000B1E1C" w:rsidRDefault="00000000">
            <w:pPr>
              <w:jc w:val="center"/>
            </w:pPr>
            <w:r>
              <w:rPr>
                <w:b/>
                <w:bCs/>
                <w:color w:val="FFFFFF"/>
                <w:sz w:val="16"/>
                <w:szCs w:val="16"/>
              </w:rPr>
              <w:t>Data Mesh</w:t>
            </w:r>
          </w:p>
        </w:tc>
      </w:tr>
      <w:tr w:rsidR="000B1E1C" w14:paraId="10E1B87A" w14:textId="77777777">
        <w:tblPrEx>
          <w:tblCellMar>
            <w:top w:w="0" w:type="dxa"/>
            <w:bottom w:w="0" w:type="dxa"/>
          </w:tblCellMar>
        </w:tblPrEx>
        <w:tc>
          <w:tcPr>
            <w:tcW w:w="1300" w:type="dxa"/>
            <w:tcMar>
              <w:top w:w="60" w:type="dxa"/>
              <w:left w:w="80" w:type="dxa"/>
              <w:bottom w:w="60" w:type="dxa"/>
              <w:right w:w="80" w:type="dxa"/>
            </w:tcMar>
          </w:tcPr>
          <w:p w14:paraId="1565C576" w14:textId="77777777" w:rsidR="000B1E1C" w:rsidRDefault="00000000">
            <w:pPr>
              <w:jc w:val="center"/>
            </w:pPr>
            <w:r>
              <w:rPr>
                <w:color w:val="000000"/>
                <w:sz w:val="16"/>
                <w:szCs w:val="16"/>
              </w:rPr>
              <w:t>Dato</w:t>
            </w:r>
          </w:p>
        </w:tc>
        <w:tc>
          <w:tcPr>
            <w:tcW w:w="1750" w:type="dxa"/>
            <w:tcMar>
              <w:top w:w="60" w:type="dxa"/>
              <w:left w:w="80" w:type="dxa"/>
              <w:bottom w:w="60" w:type="dxa"/>
              <w:right w:w="80" w:type="dxa"/>
            </w:tcMar>
          </w:tcPr>
          <w:p w14:paraId="7C550D57" w14:textId="77777777" w:rsidR="000B1E1C" w:rsidRDefault="00000000">
            <w:pPr>
              <w:jc w:val="center"/>
            </w:pPr>
            <w:r>
              <w:rPr>
                <w:color w:val="000000"/>
                <w:sz w:val="16"/>
                <w:szCs w:val="16"/>
              </w:rPr>
              <w:t>Estructurado</w:t>
            </w:r>
          </w:p>
        </w:tc>
        <w:tc>
          <w:tcPr>
            <w:tcW w:w="1750" w:type="dxa"/>
            <w:tcMar>
              <w:top w:w="60" w:type="dxa"/>
              <w:left w:w="80" w:type="dxa"/>
              <w:bottom w:w="60" w:type="dxa"/>
              <w:right w:w="80" w:type="dxa"/>
            </w:tcMar>
          </w:tcPr>
          <w:p w14:paraId="65EDBBC3" w14:textId="77777777" w:rsidR="000B1E1C" w:rsidRDefault="00000000">
            <w:pPr>
              <w:jc w:val="center"/>
            </w:pPr>
            <w:r>
              <w:rPr>
                <w:color w:val="000000"/>
                <w:sz w:val="16"/>
                <w:szCs w:val="16"/>
              </w:rPr>
              <w:t>Cualquier formato</w:t>
            </w:r>
          </w:p>
        </w:tc>
        <w:tc>
          <w:tcPr>
            <w:tcW w:w="1900" w:type="dxa"/>
            <w:tcMar>
              <w:top w:w="60" w:type="dxa"/>
              <w:left w:w="80" w:type="dxa"/>
              <w:bottom w:w="60" w:type="dxa"/>
              <w:right w:w="80" w:type="dxa"/>
            </w:tcMar>
          </w:tcPr>
          <w:p w14:paraId="6C491D1A" w14:textId="77777777" w:rsidR="000B1E1C" w:rsidRDefault="00000000">
            <w:pPr>
              <w:jc w:val="center"/>
            </w:pPr>
            <w:r>
              <w:rPr>
                <w:color w:val="000000"/>
                <w:sz w:val="16"/>
                <w:szCs w:val="16"/>
              </w:rPr>
              <w:t>Todos + metadatos</w:t>
            </w:r>
          </w:p>
        </w:tc>
        <w:tc>
          <w:tcPr>
            <w:tcW w:w="1900" w:type="dxa"/>
            <w:tcMar>
              <w:top w:w="60" w:type="dxa"/>
              <w:left w:w="80" w:type="dxa"/>
              <w:bottom w:w="60" w:type="dxa"/>
              <w:right w:w="80" w:type="dxa"/>
            </w:tcMar>
          </w:tcPr>
          <w:p w14:paraId="4BEE528D" w14:textId="77777777" w:rsidR="000B1E1C" w:rsidRDefault="00000000">
            <w:pPr>
              <w:jc w:val="center"/>
            </w:pPr>
            <w:r>
              <w:rPr>
                <w:color w:val="000000"/>
                <w:sz w:val="16"/>
                <w:szCs w:val="16"/>
              </w:rPr>
              <w:t>Independiente</w:t>
            </w:r>
          </w:p>
        </w:tc>
      </w:tr>
      <w:tr w:rsidR="000B1E1C" w14:paraId="1DAE2CDD" w14:textId="77777777">
        <w:tblPrEx>
          <w:tblCellMar>
            <w:top w:w="0" w:type="dxa"/>
            <w:bottom w:w="0" w:type="dxa"/>
          </w:tblCellMar>
        </w:tblPrEx>
        <w:tc>
          <w:tcPr>
            <w:tcW w:w="1300" w:type="dxa"/>
            <w:tcMar>
              <w:top w:w="60" w:type="dxa"/>
              <w:left w:w="80" w:type="dxa"/>
              <w:bottom w:w="60" w:type="dxa"/>
              <w:right w:w="80" w:type="dxa"/>
            </w:tcMar>
          </w:tcPr>
          <w:p w14:paraId="3E6EDE36" w14:textId="77777777" w:rsidR="000B1E1C" w:rsidRDefault="00000000">
            <w:pPr>
              <w:jc w:val="center"/>
            </w:pPr>
            <w:r>
              <w:rPr>
                <w:color w:val="000000"/>
                <w:sz w:val="16"/>
                <w:szCs w:val="16"/>
              </w:rPr>
              <w:t>Gobierno</w:t>
            </w:r>
          </w:p>
        </w:tc>
        <w:tc>
          <w:tcPr>
            <w:tcW w:w="1750" w:type="dxa"/>
            <w:tcMar>
              <w:top w:w="60" w:type="dxa"/>
              <w:left w:w="80" w:type="dxa"/>
              <w:bottom w:w="60" w:type="dxa"/>
              <w:right w:w="80" w:type="dxa"/>
            </w:tcMar>
          </w:tcPr>
          <w:p w14:paraId="3E4F98CE" w14:textId="77777777" w:rsidR="000B1E1C" w:rsidRDefault="00000000">
            <w:pPr>
              <w:jc w:val="center"/>
            </w:pPr>
            <w:r>
              <w:rPr>
                <w:color w:val="000000"/>
                <w:sz w:val="16"/>
                <w:szCs w:val="16"/>
              </w:rPr>
              <w:t>Centralizado</w:t>
            </w:r>
          </w:p>
        </w:tc>
        <w:tc>
          <w:tcPr>
            <w:tcW w:w="1750" w:type="dxa"/>
            <w:tcMar>
              <w:top w:w="60" w:type="dxa"/>
              <w:left w:w="80" w:type="dxa"/>
              <w:bottom w:w="60" w:type="dxa"/>
              <w:right w:w="80" w:type="dxa"/>
            </w:tcMar>
          </w:tcPr>
          <w:p w14:paraId="0EA5F2DA" w14:textId="77777777" w:rsidR="000B1E1C" w:rsidRDefault="00000000">
            <w:pPr>
              <w:jc w:val="center"/>
            </w:pPr>
            <w:r>
              <w:rPr>
                <w:color w:val="000000"/>
                <w:sz w:val="16"/>
                <w:szCs w:val="16"/>
              </w:rPr>
              <w:t xml:space="preserve">Débil / </w:t>
            </w:r>
            <w:proofErr w:type="spellStart"/>
            <w:r>
              <w:rPr>
                <w:color w:val="000000"/>
                <w:sz w:val="16"/>
                <w:szCs w:val="16"/>
              </w:rPr>
              <w:t>swamp</w:t>
            </w:r>
            <w:proofErr w:type="spellEnd"/>
          </w:p>
        </w:tc>
        <w:tc>
          <w:tcPr>
            <w:tcW w:w="1900" w:type="dxa"/>
            <w:tcMar>
              <w:top w:w="60" w:type="dxa"/>
              <w:left w:w="80" w:type="dxa"/>
              <w:bottom w:w="60" w:type="dxa"/>
              <w:right w:w="80" w:type="dxa"/>
            </w:tcMar>
          </w:tcPr>
          <w:p w14:paraId="0F624AC6" w14:textId="77777777" w:rsidR="000B1E1C" w:rsidRDefault="00000000">
            <w:pPr>
              <w:jc w:val="center"/>
            </w:pPr>
            <w:r>
              <w:rPr>
                <w:color w:val="000000"/>
                <w:sz w:val="16"/>
                <w:szCs w:val="16"/>
              </w:rPr>
              <w:t>Centralizado ACID</w:t>
            </w:r>
          </w:p>
        </w:tc>
        <w:tc>
          <w:tcPr>
            <w:tcW w:w="1900" w:type="dxa"/>
            <w:tcMar>
              <w:top w:w="60" w:type="dxa"/>
              <w:left w:w="80" w:type="dxa"/>
              <w:bottom w:w="60" w:type="dxa"/>
              <w:right w:w="80" w:type="dxa"/>
            </w:tcMar>
          </w:tcPr>
          <w:p w14:paraId="48DB3C89" w14:textId="77777777" w:rsidR="000B1E1C" w:rsidRDefault="00000000">
            <w:pPr>
              <w:jc w:val="center"/>
            </w:pPr>
            <w:r>
              <w:rPr>
                <w:color w:val="000000"/>
                <w:sz w:val="16"/>
                <w:szCs w:val="16"/>
              </w:rPr>
              <w:t>Federado</w:t>
            </w:r>
          </w:p>
        </w:tc>
      </w:tr>
      <w:tr w:rsidR="000B1E1C" w14:paraId="26AD8EB8" w14:textId="77777777">
        <w:tblPrEx>
          <w:tblCellMar>
            <w:top w:w="0" w:type="dxa"/>
            <w:bottom w:w="0" w:type="dxa"/>
          </w:tblCellMar>
        </w:tblPrEx>
        <w:tc>
          <w:tcPr>
            <w:tcW w:w="1300" w:type="dxa"/>
            <w:tcMar>
              <w:top w:w="60" w:type="dxa"/>
              <w:left w:w="80" w:type="dxa"/>
              <w:bottom w:w="60" w:type="dxa"/>
              <w:right w:w="80" w:type="dxa"/>
            </w:tcMar>
          </w:tcPr>
          <w:p w14:paraId="3DFBCCA3" w14:textId="77777777" w:rsidR="000B1E1C" w:rsidRDefault="00000000">
            <w:pPr>
              <w:jc w:val="center"/>
            </w:pPr>
            <w:r>
              <w:rPr>
                <w:color w:val="000000"/>
                <w:sz w:val="16"/>
                <w:szCs w:val="16"/>
              </w:rPr>
              <w:t>Propiedad</w:t>
            </w:r>
          </w:p>
        </w:tc>
        <w:tc>
          <w:tcPr>
            <w:tcW w:w="1750" w:type="dxa"/>
            <w:tcMar>
              <w:top w:w="60" w:type="dxa"/>
              <w:left w:w="80" w:type="dxa"/>
              <w:bottom w:w="60" w:type="dxa"/>
              <w:right w:w="80" w:type="dxa"/>
            </w:tcMar>
          </w:tcPr>
          <w:p w14:paraId="7FE66573" w14:textId="77777777" w:rsidR="000B1E1C" w:rsidRDefault="00000000">
            <w:pPr>
              <w:jc w:val="center"/>
            </w:pPr>
            <w:r>
              <w:rPr>
                <w:color w:val="000000"/>
                <w:sz w:val="16"/>
                <w:szCs w:val="16"/>
              </w:rPr>
              <w:t>Equipo TI/BI</w:t>
            </w:r>
          </w:p>
        </w:tc>
        <w:tc>
          <w:tcPr>
            <w:tcW w:w="1750" w:type="dxa"/>
            <w:tcMar>
              <w:top w:w="60" w:type="dxa"/>
              <w:left w:w="80" w:type="dxa"/>
              <w:bottom w:w="60" w:type="dxa"/>
              <w:right w:w="80" w:type="dxa"/>
            </w:tcMar>
          </w:tcPr>
          <w:p w14:paraId="44CEDD9F" w14:textId="77777777" w:rsidR="000B1E1C" w:rsidRDefault="00000000">
            <w:pPr>
              <w:jc w:val="center"/>
            </w:pPr>
            <w:r>
              <w:rPr>
                <w:color w:val="000000"/>
                <w:sz w:val="16"/>
                <w:szCs w:val="16"/>
              </w:rPr>
              <w:t>Equipo de datos</w:t>
            </w:r>
          </w:p>
        </w:tc>
        <w:tc>
          <w:tcPr>
            <w:tcW w:w="1900" w:type="dxa"/>
            <w:tcMar>
              <w:top w:w="60" w:type="dxa"/>
              <w:left w:w="80" w:type="dxa"/>
              <w:bottom w:w="60" w:type="dxa"/>
              <w:right w:w="80" w:type="dxa"/>
            </w:tcMar>
          </w:tcPr>
          <w:p w14:paraId="4F18E584" w14:textId="77777777" w:rsidR="000B1E1C" w:rsidRDefault="00000000">
            <w:pPr>
              <w:jc w:val="center"/>
            </w:pPr>
            <w:r>
              <w:rPr>
                <w:color w:val="000000"/>
                <w:sz w:val="16"/>
                <w:szCs w:val="16"/>
              </w:rPr>
              <w:t>Equipo plataforma</w:t>
            </w:r>
          </w:p>
        </w:tc>
        <w:tc>
          <w:tcPr>
            <w:tcW w:w="1900" w:type="dxa"/>
            <w:tcMar>
              <w:top w:w="60" w:type="dxa"/>
              <w:left w:w="80" w:type="dxa"/>
              <w:bottom w:w="60" w:type="dxa"/>
              <w:right w:w="80" w:type="dxa"/>
            </w:tcMar>
          </w:tcPr>
          <w:p w14:paraId="0929E11B" w14:textId="77777777" w:rsidR="000B1E1C" w:rsidRDefault="00000000">
            <w:pPr>
              <w:jc w:val="center"/>
            </w:pPr>
            <w:r>
              <w:rPr>
                <w:color w:val="000000"/>
                <w:sz w:val="16"/>
                <w:szCs w:val="16"/>
              </w:rPr>
              <w:t>Dominios de negocio</w:t>
            </w:r>
          </w:p>
        </w:tc>
      </w:tr>
      <w:tr w:rsidR="000B1E1C" w14:paraId="6EE97192" w14:textId="77777777">
        <w:tblPrEx>
          <w:tblCellMar>
            <w:top w:w="0" w:type="dxa"/>
            <w:bottom w:w="0" w:type="dxa"/>
          </w:tblCellMar>
        </w:tblPrEx>
        <w:tc>
          <w:tcPr>
            <w:tcW w:w="1300" w:type="dxa"/>
            <w:tcMar>
              <w:top w:w="60" w:type="dxa"/>
              <w:left w:w="80" w:type="dxa"/>
              <w:bottom w:w="60" w:type="dxa"/>
              <w:right w:w="80" w:type="dxa"/>
            </w:tcMar>
          </w:tcPr>
          <w:p w14:paraId="6B48EE60" w14:textId="77777777" w:rsidR="000B1E1C" w:rsidRDefault="00000000">
            <w:pPr>
              <w:jc w:val="center"/>
            </w:pPr>
            <w:r>
              <w:rPr>
                <w:color w:val="000000"/>
                <w:sz w:val="16"/>
                <w:szCs w:val="16"/>
              </w:rPr>
              <w:t>Tecnologías</w:t>
            </w:r>
          </w:p>
        </w:tc>
        <w:tc>
          <w:tcPr>
            <w:tcW w:w="1750" w:type="dxa"/>
            <w:tcMar>
              <w:top w:w="60" w:type="dxa"/>
              <w:left w:w="80" w:type="dxa"/>
              <w:bottom w:w="60" w:type="dxa"/>
              <w:right w:w="80" w:type="dxa"/>
            </w:tcMar>
          </w:tcPr>
          <w:p w14:paraId="67EDC84B" w14:textId="77777777" w:rsidR="000B1E1C" w:rsidRDefault="00000000">
            <w:pPr>
              <w:jc w:val="center"/>
            </w:pPr>
            <w:r>
              <w:rPr>
                <w:color w:val="000000"/>
                <w:sz w:val="16"/>
                <w:szCs w:val="16"/>
              </w:rPr>
              <w:t xml:space="preserve">Teradata, </w:t>
            </w:r>
            <w:proofErr w:type="spellStart"/>
            <w:r>
              <w:rPr>
                <w:color w:val="000000"/>
                <w:sz w:val="16"/>
                <w:szCs w:val="16"/>
              </w:rPr>
              <w:t>Snowflake</w:t>
            </w:r>
            <w:proofErr w:type="spellEnd"/>
          </w:p>
        </w:tc>
        <w:tc>
          <w:tcPr>
            <w:tcW w:w="1750" w:type="dxa"/>
            <w:tcMar>
              <w:top w:w="60" w:type="dxa"/>
              <w:left w:w="80" w:type="dxa"/>
              <w:bottom w:w="60" w:type="dxa"/>
              <w:right w:w="80" w:type="dxa"/>
            </w:tcMar>
          </w:tcPr>
          <w:p w14:paraId="2829C2FC" w14:textId="77777777" w:rsidR="000B1E1C" w:rsidRDefault="00000000">
            <w:pPr>
              <w:jc w:val="center"/>
            </w:pPr>
            <w:r>
              <w:rPr>
                <w:color w:val="000000"/>
                <w:sz w:val="16"/>
                <w:szCs w:val="16"/>
              </w:rPr>
              <w:t>HDFS, S3, ADLS</w:t>
            </w:r>
          </w:p>
        </w:tc>
        <w:tc>
          <w:tcPr>
            <w:tcW w:w="1900" w:type="dxa"/>
            <w:tcMar>
              <w:top w:w="60" w:type="dxa"/>
              <w:left w:w="80" w:type="dxa"/>
              <w:bottom w:w="60" w:type="dxa"/>
              <w:right w:w="80" w:type="dxa"/>
            </w:tcMar>
          </w:tcPr>
          <w:p w14:paraId="6529F9F0" w14:textId="77777777" w:rsidR="000B1E1C" w:rsidRDefault="00000000">
            <w:pPr>
              <w:jc w:val="center"/>
            </w:pPr>
            <w:proofErr w:type="spellStart"/>
            <w:r>
              <w:rPr>
                <w:color w:val="000000"/>
                <w:sz w:val="16"/>
                <w:szCs w:val="16"/>
              </w:rPr>
              <w:t>Databricks</w:t>
            </w:r>
            <w:proofErr w:type="spellEnd"/>
            <w:r>
              <w:rPr>
                <w:color w:val="000000"/>
                <w:sz w:val="16"/>
                <w:szCs w:val="16"/>
              </w:rPr>
              <w:t>, Iceberg, Hudi</w:t>
            </w:r>
          </w:p>
        </w:tc>
        <w:tc>
          <w:tcPr>
            <w:tcW w:w="1900" w:type="dxa"/>
            <w:tcMar>
              <w:top w:w="60" w:type="dxa"/>
              <w:left w:w="80" w:type="dxa"/>
              <w:bottom w:w="60" w:type="dxa"/>
              <w:right w:w="80" w:type="dxa"/>
            </w:tcMar>
          </w:tcPr>
          <w:p w14:paraId="16665577" w14:textId="77777777" w:rsidR="000B1E1C" w:rsidRDefault="00000000">
            <w:pPr>
              <w:jc w:val="center"/>
            </w:pPr>
            <w:r>
              <w:rPr>
                <w:color w:val="000000"/>
                <w:sz w:val="16"/>
                <w:szCs w:val="16"/>
              </w:rPr>
              <w:t xml:space="preserve">Kafka, </w:t>
            </w:r>
            <w:proofErr w:type="spellStart"/>
            <w:r>
              <w:rPr>
                <w:color w:val="000000"/>
                <w:sz w:val="16"/>
                <w:szCs w:val="16"/>
              </w:rPr>
              <w:t>dbt</w:t>
            </w:r>
            <w:proofErr w:type="spellEnd"/>
            <w:r>
              <w:rPr>
                <w:color w:val="000000"/>
                <w:sz w:val="16"/>
                <w:szCs w:val="16"/>
              </w:rPr>
              <w:t>, catálogos</w:t>
            </w:r>
          </w:p>
        </w:tc>
      </w:tr>
    </w:tbl>
    <w:p w14:paraId="0CB6E8DA" w14:textId="77777777" w:rsidR="000B1E1C" w:rsidRDefault="00000000">
      <w:pPr>
        <w:spacing w:before="60" w:after="100"/>
        <w:jc w:val="center"/>
      </w:pPr>
      <w:r>
        <w:rPr>
          <w:i/>
          <w:iCs/>
          <w:sz w:val="16"/>
          <w:szCs w:val="16"/>
        </w:rPr>
        <w:t>Elaboración propia a partir de [3], [4] y [1].</w:t>
      </w:r>
    </w:p>
    <w:p w14:paraId="600F9B94" w14:textId="77777777" w:rsidR="000B1E1C" w:rsidRDefault="000B1E1C">
      <w:pPr>
        <w:sectPr w:rsidR="000B1E1C">
          <w:type w:val="continuous"/>
          <w:pgSz w:w="11906" w:h="16838"/>
          <w:pgMar w:top="1440" w:right="1440" w:bottom="1440" w:left="1440" w:header="708" w:footer="708" w:gutter="0"/>
          <w:cols w:space="720"/>
          <w:docGrid w:linePitch="360"/>
        </w:sectPr>
      </w:pPr>
    </w:p>
    <w:p w14:paraId="51D0794C" w14:textId="77777777" w:rsidR="000B1E1C" w:rsidRDefault="00000000">
      <w:pPr>
        <w:spacing w:before="200" w:after="120"/>
        <w:jc w:val="center"/>
      </w:pPr>
      <w:r>
        <w:rPr>
          <w:b/>
          <w:bCs/>
        </w:rPr>
        <w:t>V. TENDENCIAS Y LÍNEAS FUTURAS</w:t>
      </w:r>
    </w:p>
    <w:p w14:paraId="45CA2E1A" w14:textId="77777777" w:rsidR="000B1E1C" w:rsidRDefault="00000000">
      <w:pPr>
        <w:spacing w:before="120" w:after="80"/>
      </w:pPr>
      <w:r>
        <w:rPr>
          <w:b/>
          <w:bCs/>
          <w:i/>
          <w:iCs/>
        </w:rPr>
        <w:t>A. Integración de LLM en ingeniería de datos</w:t>
      </w:r>
    </w:p>
    <w:p w14:paraId="78577EF2" w14:textId="77777777" w:rsidR="000B1E1C" w:rsidRDefault="00000000">
      <w:pPr>
        <w:spacing w:after="120" w:line="252" w:lineRule="auto"/>
        <w:ind w:firstLine="240"/>
        <w:jc w:val="both"/>
      </w:pPr>
      <w:r>
        <w:t xml:space="preserve">La tendencia más documentada en 2024–2026 es la incorporación de modelos de lenguaje de gran escala en tareas de traducción de lenguaje natural a SQL. Los estudios [19] y [20] documentan una rápida evolución desde el aprendizaje en contexto hasta técnicas de </w:t>
      </w:r>
      <w:r>
        <w:t xml:space="preserve">razonamiento paso a paso, capacidad que ya se integra en productos internos como </w:t>
      </w:r>
      <w:proofErr w:type="spellStart"/>
      <w:r>
        <w:t>QueryGPT</w:t>
      </w:r>
      <w:proofErr w:type="spellEnd"/>
      <w:r>
        <w:t xml:space="preserve"> de Uber [18].</w:t>
      </w:r>
    </w:p>
    <w:p w14:paraId="4FAE1282" w14:textId="77777777" w:rsidR="000B1E1C" w:rsidRDefault="00000000">
      <w:pPr>
        <w:spacing w:before="120" w:after="80"/>
      </w:pPr>
      <w:r>
        <w:rPr>
          <w:b/>
          <w:bCs/>
          <w:i/>
          <w:iCs/>
        </w:rPr>
        <w:t xml:space="preserve">B. Automatización de calidad y </w:t>
      </w:r>
      <w:proofErr w:type="spellStart"/>
      <w:r>
        <w:rPr>
          <w:b/>
          <w:bCs/>
          <w:i/>
          <w:iCs/>
        </w:rPr>
        <w:t>observabilidad</w:t>
      </w:r>
      <w:proofErr w:type="spellEnd"/>
    </w:p>
    <w:p w14:paraId="6408E429" w14:textId="77777777" w:rsidR="000B1E1C" w:rsidRDefault="00000000">
      <w:pPr>
        <w:spacing w:after="120" w:line="252" w:lineRule="auto"/>
        <w:ind w:firstLine="240"/>
        <w:jc w:val="both"/>
      </w:pPr>
      <w:r>
        <w:t xml:space="preserve">Las encuestas de industria señalan que la calidad de datos sigue siendo el problema más crítico [16], en línea con la literatura académica que aboga por enfoques sensibles al contexto y monitoreo continuo </w:t>
      </w:r>
      <w:r>
        <w:lastRenderedPageBreak/>
        <w:t xml:space="preserve">[13], [14], lo que anticipa mayor adopción de </w:t>
      </w:r>
      <w:proofErr w:type="spellStart"/>
      <w:r>
        <w:t>observabilidad</w:t>
      </w:r>
      <w:proofErr w:type="spellEnd"/>
      <w:r>
        <w:t xml:space="preserve"> asistida por aprendizaje automático.</w:t>
      </w:r>
    </w:p>
    <w:p w14:paraId="4425D80E" w14:textId="77777777" w:rsidR="000B1E1C" w:rsidRDefault="00000000">
      <w:pPr>
        <w:spacing w:before="120" w:after="80"/>
      </w:pPr>
      <w:r>
        <w:rPr>
          <w:b/>
          <w:bCs/>
          <w:i/>
          <w:iCs/>
        </w:rPr>
        <w:t xml:space="preserve">C. Consolidación y cuestionamiento del data </w:t>
      </w:r>
      <w:proofErr w:type="spellStart"/>
      <w:r>
        <w:rPr>
          <w:b/>
          <w:bCs/>
          <w:i/>
          <w:iCs/>
        </w:rPr>
        <w:t>mesh</w:t>
      </w:r>
      <w:proofErr w:type="spellEnd"/>
    </w:p>
    <w:p w14:paraId="7ADE5EC9" w14:textId="77777777" w:rsidR="000B1E1C" w:rsidRDefault="00000000">
      <w:pPr>
        <w:spacing w:after="120" w:line="252" w:lineRule="auto"/>
        <w:ind w:firstLine="240"/>
        <w:jc w:val="both"/>
      </w:pPr>
      <w:r>
        <w:t xml:space="preserve">Si bien el data </w:t>
      </w:r>
      <w:proofErr w:type="spellStart"/>
      <w:r>
        <w:t>mesh</w:t>
      </w:r>
      <w:proofErr w:type="spellEnd"/>
      <w:r>
        <w:t xml:space="preserve"> mantiene fuerte interés práctico, [1] advierte sobre la falta de consenso académico en torno a su definición operativa y la ausencia de estudios longitudinales que midan sus beneficios frente a su complejidad organizacional.</w:t>
      </w:r>
    </w:p>
    <w:p w14:paraId="3FE72CB8" w14:textId="77777777" w:rsidR="000B1E1C" w:rsidRDefault="00000000">
      <w:pPr>
        <w:spacing w:before="120" w:after="80"/>
      </w:pPr>
      <w:r>
        <w:rPr>
          <w:b/>
          <w:bCs/>
          <w:i/>
          <w:iCs/>
        </w:rPr>
        <w:t xml:space="preserve">D. </w:t>
      </w:r>
      <w:proofErr w:type="spellStart"/>
      <w:r>
        <w:rPr>
          <w:b/>
          <w:bCs/>
          <w:i/>
          <w:iCs/>
        </w:rPr>
        <w:t>MLOps</w:t>
      </w:r>
      <w:proofErr w:type="spellEnd"/>
      <w:r>
        <w:rPr>
          <w:b/>
          <w:bCs/>
          <w:i/>
          <w:iCs/>
        </w:rPr>
        <w:t xml:space="preserve"> como puente hacia la IA aplicada</w:t>
      </w:r>
    </w:p>
    <w:p w14:paraId="22AB77AC" w14:textId="77777777" w:rsidR="000B1E1C" w:rsidRDefault="00000000">
      <w:pPr>
        <w:spacing w:after="120" w:line="252" w:lineRule="auto"/>
        <w:ind w:firstLine="240"/>
        <w:jc w:val="both"/>
      </w:pPr>
      <w:r>
        <w:t xml:space="preserve">La adopción de </w:t>
      </w:r>
      <w:proofErr w:type="spellStart"/>
      <w:r>
        <w:t>feature</w:t>
      </w:r>
      <w:proofErr w:type="spellEnd"/>
      <w:r>
        <w:t xml:space="preserve"> </w:t>
      </w:r>
      <w:proofErr w:type="spellStart"/>
      <w:r>
        <w:t>stores</w:t>
      </w:r>
      <w:proofErr w:type="spellEnd"/>
      <w:r>
        <w:t xml:space="preserve"> y prácticas de </w:t>
      </w:r>
      <w:proofErr w:type="spellStart"/>
      <w:r>
        <w:t>MLOps</w:t>
      </w:r>
      <w:proofErr w:type="spellEnd"/>
      <w:r>
        <w:t xml:space="preserve"> [10], [11] se expande más allá de las grandes tecnológicas hacia sectores públicos, lo que sugiere una trayectoria similar en instituciones de educación superior a medida que incrementen su uso de modelos predictivos.</w:t>
      </w:r>
    </w:p>
    <w:p w14:paraId="271AB962" w14:textId="77777777" w:rsidR="000B1E1C" w:rsidRDefault="00000000">
      <w:pPr>
        <w:spacing w:before="120" w:after="80"/>
      </w:pPr>
      <w:r>
        <w:rPr>
          <w:b/>
          <w:bCs/>
          <w:i/>
          <w:iCs/>
        </w:rPr>
        <w:t>E. Líneas de investigación abiertas</w:t>
      </w:r>
    </w:p>
    <w:p w14:paraId="4746AB69" w14:textId="77777777" w:rsidR="000B1E1C" w:rsidRDefault="00000000">
      <w:pPr>
        <w:spacing w:after="120" w:line="252" w:lineRule="auto"/>
        <w:ind w:firstLine="240"/>
        <w:jc w:val="both"/>
      </w:pPr>
      <w:r>
        <w:t xml:space="preserve">Se identifican como líneas abiertas: (1) evaluación empírica comparativa del costo-beneficio del data </w:t>
      </w:r>
      <w:proofErr w:type="spellStart"/>
      <w:r>
        <w:t>mesh</w:t>
      </w:r>
      <w:proofErr w:type="spellEnd"/>
      <w:r>
        <w:t xml:space="preserve"> frente a arquitecturas centralizadas [1]; (2) marcos de gobierno de datos adaptados a instituciones de educación superior latinoamericanas; (3) confiabilidad de sistemas </w:t>
      </w:r>
      <w:proofErr w:type="spellStart"/>
      <w:r>
        <w:t>text</w:t>
      </w:r>
      <w:proofErr w:type="spellEnd"/>
      <w:r>
        <w:t>-</w:t>
      </w:r>
      <w:proofErr w:type="spellStart"/>
      <w:r>
        <w:t>to</w:t>
      </w:r>
      <w:proofErr w:type="spellEnd"/>
      <w:r>
        <w:t xml:space="preserve">-SQL basados en LLM sobre datos institucionales sensibles [19]; y (4) </w:t>
      </w:r>
      <w:proofErr w:type="spellStart"/>
      <w:r>
        <w:t>observabilidad</w:t>
      </w:r>
      <w:proofErr w:type="spellEnd"/>
      <w:r>
        <w:t xml:space="preserve"> de datos dirigida por aprendizaje automático como mecanismo de gobierno continuo [13].</w:t>
      </w:r>
    </w:p>
    <w:p w14:paraId="7D2AA791" w14:textId="77777777" w:rsidR="000B1E1C" w:rsidRDefault="00000000">
      <w:pPr>
        <w:spacing w:before="200" w:after="120"/>
        <w:jc w:val="center"/>
      </w:pPr>
      <w:r>
        <w:rPr>
          <w:b/>
          <w:bCs/>
        </w:rPr>
        <w:t>VI. CONCLUSIÓN</w:t>
      </w:r>
    </w:p>
    <w:p w14:paraId="686B705E" w14:textId="77777777" w:rsidR="000B1E1C" w:rsidRDefault="00000000">
      <w:pPr>
        <w:spacing w:after="120" w:line="252" w:lineRule="auto"/>
        <w:ind w:firstLine="240"/>
        <w:jc w:val="both"/>
      </w:pPr>
      <w:r>
        <w:t xml:space="preserve">La revisión confirma que la ingeniería de datos ha transitado de arquitecturas centralizadas hacia modelos híbridos y descentralizados, impulsados por la necesidad de escalar el volumen de datos y el número de equipos que los consumen. El </w:t>
      </w:r>
      <w:proofErr w:type="spellStart"/>
      <w:r>
        <w:t>stack</w:t>
      </w:r>
      <w:proofErr w:type="spellEnd"/>
      <w:r>
        <w:t xml:space="preserve"> tecnológico dominante muestra una consolidación relativamente estable a nivel de capas funcionales, mientras que la integración de LLM en tareas de acceso a datos reduce la barrera técnica de entrada pero introduce nuevos riesgos de confiabilidad aún poco documentados.</w:t>
      </w:r>
    </w:p>
    <w:p w14:paraId="7CC2A860" w14:textId="77777777" w:rsidR="000B1E1C" w:rsidRDefault="00000000">
      <w:pPr>
        <w:spacing w:after="120" w:line="252" w:lineRule="auto"/>
        <w:ind w:firstLine="240"/>
        <w:jc w:val="both"/>
      </w:pPr>
      <w:r>
        <w:t xml:space="preserve">Para el reto de la DGTITD, estos hallazgos sugieren evaluar si la escala institucional justifica una arquitectura descentralizada tipo data </w:t>
      </w:r>
      <w:proofErr w:type="spellStart"/>
      <w:r>
        <w:t>mesh</w:t>
      </w:r>
      <w:proofErr w:type="spellEnd"/>
      <w:r>
        <w:t xml:space="preserve"> o si un </w:t>
      </w:r>
      <w:proofErr w:type="spellStart"/>
      <w:r>
        <w:t>lakehouse</w:t>
      </w:r>
      <w:proofErr w:type="spellEnd"/>
      <w:r>
        <w:t xml:space="preserve"> centralizado bien gobernado resulta más adecuado, dado que la literatura no ofrece evidencia concluyente sobre superioridad entre ambas opciones en organizaciones de tamaño mediano [1]. Asimismo, se recomienda incorporar desde el diseño mecanismos de calidad y </w:t>
      </w:r>
      <w:proofErr w:type="spellStart"/>
      <w:r>
        <w:t>observabilidad</w:t>
      </w:r>
      <w:proofErr w:type="spellEnd"/>
      <w:r>
        <w:t xml:space="preserve"> [14], y tratar el gobierno de datos como un problema organizacional siguiendo la evidencia de casos universitarios internacionales [23], [21]. Se reconoce como limitación la escasez de literatura indexada sobre implementaciones concretas en universidades ecuatorianas, lo que representa una </w:t>
      </w:r>
      <w:r>
        <w:t>oportunidad de investigación original para el desarrollo posterior de este reto.</w:t>
      </w:r>
    </w:p>
    <w:p w14:paraId="52C27019" w14:textId="77777777" w:rsidR="000B1E1C" w:rsidRDefault="00000000">
      <w:pPr>
        <w:spacing w:before="160" w:after="80"/>
        <w:jc w:val="center"/>
      </w:pPr>
      <w:r>
        <w:rPr>
          <w:b/>
          <w:bCs/>
        </w:rPr>
        <w:t>AGRADECIMIENTOS</w:t>
      </w:r>
    </w:p>
    <w:p w14:paraId="0853476D" w14:textId="77777777" w:rsidR="000B1E1C" w:rsidRDefault="00000000">
      <w:pPr>
        <w:spacing w:after="120" w:line="252" w:lineRule="auto"/>
        <w:jc w:val="both"/>
      </w:pPr>
      <w:r>
        <w:t>Este trabajo se enmarca en la Fase 1 de investigación previa al desarrollo de un reto técnico propuesto por la Dirección General de Tecnologías de Información, Telecomunicaciones y Docencia (DGTITD) de la Universidad Técnica Particular de Loja.</w:t>
      </w:r>
    </w:p>
    <w:p w14:paraId="7DE7D9FD" w14:textId="77777777" w:rsidR="000B1E1C" w:rsidRPr="007D6238" w:rsidRDefault="00000000">
      <w:pPr>
        <w:spacing w:before="160" w:after="100"/>
        <w:jc w:val="center"/>
        <w:rPr>
          <w:lang w:val="en-US"/>
        </w:rPr>
      </w:pPr>
      <w:r w:rsidRPr="007D6238">
        <w:rPr>
          <w:b/>
          <w:bCs/>
          <w:lang w:val="en-US"/>
        </w:rPr>
        <w:t>REFERENCIAS</w:t>
      </w:r>
    </w:p>
    <w:p w14:paraId="42A2C45C" w14:textId="77777777" w:rsidR="000B1E1C" w:rsidRPr="007D6238" w:rsidRDefault="00000000">
      <w:pPr>
        <w:spacing w:after="100"/>
        <w:ind w:left="260" w:hanging="260"/>
        <w:jc w:val="both"/>
        <w:rPr>
          <w:lang w:val="en-US"/>
        </w:rPr>
      </w:pPr>
      <w:r w:rsidRPr="007D6238">
        <w:rPr>
          <w:sz w:val="18"/>
          <w:szCs w:val="18"/>
          <w:lang w:val="en-US"/>
        </w:rPr>
        <w:t xml:space="preserve">[1] A. </w:t>
      </w:r>
      <w:proofErr w:type="spellStart"/>
      <w:r w:rsidRPr="007D6238">
        <w:rPr>
          <w:sz w:val="18"/>
          <w:szCs w:val="18"/>
          <w:lang w:val="en-US"/>
        </w:rPr>
        <w:t>Goedegebuure</w:t>
      </w:r>
      <w:proofErr w:type="spellEnd"/>
      <w:r w:rsidRPr="007D6238">
        <w:rPr>
          <w:sz w:val="18"/>
          <w:szCs w:val="18"/>
          <w:lang w:val="en-US"/>
        </w:rPr>
        <w:t xml:space="preserve">, I. Kumara, S. Driessen, W. J. van den Heuvel, G. Monsieur, D. A. Tamburri, and D. Di Nucci, "Data mesh: A systematic gray literature review," ACM </w:t>
      </w:r>
      <w:proofErr w:type="spellStart"/>
      <w:r w:rsidRPr="007D6238">
        <w:rPr>
          <w:sz w:val="18"/>
          <w:szCs w:val="18"/>
          <w:lang w:val="en-US"/>
        </w:rPr>
        <w:t>Comput</w:t>
      </w:r>
      <w:proofErr w:type="spellEnd"/>
      <w:r w:rsidRPr="007D6238">
        <w:rPr>
          <w:sz w:val="18"/>
          <w:szCs w:val="18"/>
          <w:lang w:val="en-US"/>
        </w:rPr>
        <w:t xml:space="preserve">. </w:t>
      </w:r>
      <w:proofErr w:type="spellStart"/>
      <w:r w:rsidRPr="007D6238">
        <w:rPr>
          <w:sz w:val="18"/>
          <w:szCs w:val="18"/>
          <w:lang w:val="en-US"/>
        </w:rPr>
        <w:t>Surv</w:t>
      </w:r>
      <w:proofErr w:type="spellEnd"/>
      <w:r w:rsidRPr="007D6238">
        <w:rPr>
          <w:sz w:val="18"/>
          <w:szCs w:val="18"/>
          <w:lang w:val="en-US"/>
        </w:rPr>
        <w:t>., vol. 57, no. 1, Art. no. 11, pp. 1–36, 2024.</w:t>
      </w:r>
    </w:p>
    <w:p w14:paraId="7953C43A" w14:textId="77777777" w:rsidR="000B1E1C" w:rsidRPr="007D6238" w:rsidRDefault="00000000">
      <w:pPr>
        <w:spacing w:after="100"/>
        <w:ind w:left="260" w:hanging="260"/>
        <w:jc w:val="both"/>
        <w:rPr>
          <w:lang w:val="en-US"/>
        </w:rPr>
      </w:pPr>
      <w:r w:rsidRPr="007D6238">
        <w:rPr>
          <w:sz w:val="18"/>
          <w:szCs w:val="18"/>
          <w:lang w:val="en-US"/>
        </w:rPr>
        <w:t xml:space="preserve">[2] A. Nambiar and D. Mundra, "An overview of data warehouse and data lake in modern enterprise data management," Big Data </w:t>
      </w:r>
      <w:proofErr w:type="spellStart"/>
      <w:r w:rsidRPr="007D6238">
        <w:rPr>
          <w:sz w:val="18"/>
          <w:szCs w:val="18"/>
          <w:lang w:val="en-US"/>
        </w:rPr>
        <w:t>Cogn</w:t>
      </w:r>
      <w:proofErr w:type="spellEnd"/>
      <w:r w:rsidRPr="007D6238">
        <w:rPr>
          <w:sz w:val="18"/>
          <w:szCs w:val="18"/>
          <w:lang w:val="en-US"/>
        </w:rPr>
        <w:t xml:space="preserve">. </w:t>
      </w:r>
      <w:proofErr w:type="spellStart"/>
      <w:r w:rsidRPr="007D6238">
        <w:rPr>
          <w:sz w:val="18"/>
          <w:szCs w:val="18"/>
          <w:lang w:val="en-US"/>
        </w:rPr>
        <w:t>Comput</w:t>
      </w:r>
      <w:proofErr w:type="spellEnd"/>
      <w:r w:rsidRPr="007D6238">
        <w:rPr>
          <w:sz w:val="18"/>
          <w:szCs w:val="18"/>
          <w:lang w:val="en-US"/>
        </w:rPr>
        <w:t>., vol. 6, no. 4, Art. no. 132, 2022.</w:t>
      </w:r>
    </w:p>
    <w:p w14:paraId="1D9BD7DD" w14:textId="77777777" w:rsidR="000B1E1C" w:rsidRPr="007D6238" w:rsidRDefault="00000000">
      <w:pPr>
        <w:spacing w:after="100"/>
        <w:ind w:left="260" w:hanging="260"/>
        <w:jc w:val="both"/>
        <w:rPr>
          <w:lang w:val="en-US"/>
        </w:rPr>
      </w:pPr>
      <w:r w:rsidRPr="007D6238">
        <w:rPr>
          <w:sz w:val="18"/>
          <w:szCs w:val="18"/>
          <w:lang w:val="en-US"/>
        </w:rPr>
        <w:t xml:space="preserve">[3] A. A. Harby and F. </w:t>
      </w:r>
      <w:proofErr w:type="spellStart"/>
      <w:r w:rsidRPr="007D6238">
        <w:rPr>
          <w:sz w:val="18"/>
          <w:szCs w:val="18"/>
          <w:lang w:val="en-US"/>
        </w:rPr>
        <w:t>Zulkernine</w:t>
      </w:r>
      <w:proofErr w:type="spellEnd"/>
      <w:r w:rsidRPr="007D6238">
        <w:rPr>
          <w:sz w:val="18"/>
          <w:szCs w:val="18"/>
          <w:lang w:val="en-US"/>
        </w:rPr>
        <w:t xml:space="preserve">, "From data warehouse to </w:t>
      </w:r>
      <w:proofErr w:type="spellStart"/>
      <w:r w:rsidRPr="007D6238">
        <w:rPr>
          <w:sz w:val="18"/>
          <w:szCs w:val="18"/>
          <w:lang w:val="en-US"/>
        </w:rPr>
        <w:t>lakehouse</w:t>
      </w:r>
      <w:proofErr w:type="spellEnd"/>
      <w:r w:rsidRPr="007D6238">
        <w:rPr>
          <w:sz w:val="18"/>
          <w:szCs w:val="18"/>
          <w:lang w:val="en-US"/>
        </w:rPr>
        <w:t>: A comparative review," in Proc. IEEE Int. Conf. Big Data (Big Data), Osaka, Japan, 2022, pp. 389–395.</w:t>
      </w:r>
    </w:p>
    <w:p w14:paraId="7EB4F73F" w14:textId="77777777" w:rsidR="000B1E1C" w:rsidRDefault="00000000">
      <w:pPr>
        <w:spacing w:after="100"/>
        <w:ind w:left="260" w:hanging="260"/>
        <w:jc w:val="both"/>
      </w:pPr>
      <w:r w:rsidRPr="007D6238">
        <w:rPr>
          <w:sz w:val="18"/>
          <w:szCs w:val="18"/>
          <w:lang w:val="en-US"/>
        </w:rPr>
        <w:t xml:space="preserve">[4] E. </w:t>
      </w:r>
      <w:proofErr w:type="spellStart"/>
      <w:r w:rsidRPr="007D6238">
        <w:rPr>
          <w:sz w:val="18"/>
          <w:szCs w:val="18"/>
          <w:lang w:val="en-US"/>
        </w:rPr>
        <w:t>Begoli</w:t>
      </w:r>
      <w:proofErr w:type="spellEnd"/>
      <w:r w:rsidRPr="007D6238">
        <w:rPr>
          <w:sz w:val="18"/>
          <w:szCs w:val="18"/>
          <w:lang w:val="en-US"/>
        </w:rPr>
        <w:t xml:space="preserve">, I. Goethert, and K. Knight, "A </w:t>
      </w:r>
      <w:proofErr w:type="spellStart"/>
      <w:r w:rsidRPr="007D6238">
        <w:rPr>
          <w:sz w:val="18"/>
          <w:szCs w:val="18"/>
          <w:lang w:val="en-US"/>
        </w:rPr>
        <w:t>lakehouse</w:t>
      </w:r>
      <w:proofErr w:type="spellEnd"/>
      <w:r w:rsidRPr="007D6238">
        <w:rPr>
          <w:sz w:val="18"/>
          <w:szCs w:val="18"/>
          <w:lang w:val="en-US"/>
        </w:rPr>
        <w:t xml:space="preserve"> architecture for the management and analysis of heterogeneous data for biomedical research and mega-biobanks," in Proc. </w:t>
      </w:r>
      <w:r>
        <w:rPr>
          <w:sz w:val="18"/>
          <w:szCs w:val="18"/>
        </w:rPr>
        <w:t xml:space="preserve">IEEE </w:t>
      </w:r>
      <w:proofErr w:type="spellStart"/>
      <w:r>
        <w:rPr>
          <w:sz w:val="18"/>
          <w:szCs w:val="18"/>
        </w:rPr>
        <w:t>Int</w:t>
      </w:r>
      <w:proofErr w:type="spellEnd"/>
      <w:r>
        <w:rPr>
          <w:sz w:val="18"/>
          <w:szCs w:val="18"/>
        </w:rPr>
        <w:t>. Conf. Big Data (Big Data), 2021, pp. 4643–4651.</w:t>
      </w:r>
    </w:p>
    <w:p w14:paraId="7F7E3467" w14:textId="77777777" w:rsidR="000B1E1C" w:rsidRPr="007D6238" w:rsidRDefault="00000000">
      <w:pPr>
        <w:spacing w:after="100"/>
        <w:ind w:left="260" w:hanging="260"/>
        <w:jc w:val="both"/>
        <w:rPr>
          <w:lang w:val="en-US"/>
        </w:rPr>
      </w:pPr>
      <w:r w:rsidRPr="007D6238">
        <w:rPr>
          <w:sz w:val="18"/>
          <w:szCs w:val="18"/>
          <w:lang w:val="en-US"/>
        </w:rPr>
        <w:t xml:space="preserve">[5] R. Hai, C. Koutras, C. Quix, and M. Jarke, "Data lakes: A survey of functions and systems," IEEE Trans. </w:t>
      </w:r>
      <w:proofErr w:type="spellStart"/>
      <w:r>
        <w:rPr>
          <w:sz w:val="18"/>
          <w:szCs w:val="18"/>
        </w:rPr>
        <w:t>Knowl</w:t>
      </w:r>
      <w:proofErr w:type="spellEnd"/>
      <w:r>
        <w:rPr>
          <w:sz w:val="18"/>
          <w:szCs w:val="18"/>
        </w:rPr>
        <w:t xml:space="preserve">. </w:t>
      </w:r>
      <w:r w:rsidRPr="007D6238">
        <w:rPr>
          <w:sz w:val="18"/>
          <w:szCs w:val="18"/>
          <w:lang w:val="en-US"/>
        </w:rPr>
        <w:t>Data Eng., vol. 35, no. 12, pp. 12502–12522, Dec. 2023.</w:t>
      </w:r>
    </w:p>
    <w:p w14:paraId="27AD51D3" w14:textId="77777777" w:rsidR="000B1E1C" w:rsidRPr="007D6238" w:rsidRDefault="00000000">
      <w:pPr>
        <w:spacing w:after="100"/>
        <w:ind w:left="260" w:hanging="260"/>
        <w:jc w:val="both"/>
        <w:rPr>
          <w:lang w:val="en-US"/>
        </w:rPr>
      </w:pPr>
      <w:r w:rsidRPr="007D6238">
        <w:rPr>
          <w:sz w:val="18"/>
          <w:szCs w:val="18"/>
          <w:lang w:val="en-US"/>
        </w:rPr>
        <w:t xml:space="preserve">[6] M. Fragkoulis, P. Carbone, V. </w:t>
      </w:r>
      <w:proofErr w:type="spellStart"/>
      <w:r w:rsidRPr="007D6238">
        <w:rPr>
          <w:sz w:val="18"/>
          <w:szCs w:val="18"/>
          <w:lang w:val="en-US"/>
        </w:rPr>
        <w:t>Kalavri</w:t>
      </w:r>
      <w:proofErr w:type="spellEnd"/>
      <w:r w:rsidRPr="007D6238">
        <w:rPr>
          <w:sz w:val="18"/>
          <w:szCs w:val="18"/>
          <w:lang w:val="en-US"/>
        </w:rPr>
        <w:t xml:space="preserve">, and A. </w:t>
      </w:r>
      <w:proofErr w:type="spellStart"/>
      <w:r w:rsidRPr="007D6238">
        <w:rPr>
          <w:sz w:val="18"/>
          <w:szCs w:val="18"/>
          <w:lang w:val="en-US"/>
        </w:rPr>
        <w:t>Katsifodimos</w:t>
      </w:r>
      <w:proofErr w:type="spellEnd"/>
      <w:r w:rsidRPr="007D6238">
        <w:rPr>
          <w:sz w:val="18"/>
          <w:szCs w:val="18"/>
          <w:lang w:val="en-US"/>
        </w:rPr>
        <w:t>, "A survey on the evolution of stream processing systems," VLDB J., vol. 33, no. 2, pp. 507–541, 2024.</w:t>
      </w:r>
    </w:p>
    <w:p w14:paraId="3F28CF9D" w14:textId="77777777" w:rsidR="000B1E1C" w:rsidRDefault="00000000">
      <w:pPr>
        <w:spacing w:after="100"/>
        <w:ind w:left="260" w:hanging="260"/>
        <w:jc w:val="both"/>
      </w:pPr>
      <w:r w:rsidRPr="007D6238">
        <w:rPr>
          <w:sz w:val="18"/>
          <w:szCs w:val="18"/>
          <w:lang w:val="en-US"/>
        </w:rPr>
        <w:t xml:space="preserve">[7] P. Carbone, S. Ewen, V. Markl, S. Haridi, and K. </w:t>
      </w:r>
      <w:proofErr w:type="spellStart"/>
      <w:r w:rsidRPr="007D6238">
        <w:rPr>
          <w:sz w:val="18"/>
          <w:szCs w:val="18"/>
          <w:lang w:val="en-US"/>
        </w:rPr>
        <w:t>Tzoumas</w:t>
      </w:r>
      <w:proofErr w:type="spellEnd"/>
      <w:r w:rsidRPr="007D6238">
        <w:rPr>
          <w:sz w:val="18"/>
          <w:szCs w:val="18"/>
          <w:lang w:val="en-US"/>
        </w:rPr>
        <w:t xml:space="preserve">, "Apache Flink: Stream and batch processing in a single engine," IEEE Data Eng. </w:t>
      </w:r>
      <w:r>
        <w:rPr>
          <w:sz w:val="18"/>
          <w:szCs w:val="18"/>
        </w:rPr>
        <w:t>Bull., vol. 38, no. 4, pp. 28–38, 2015.</w:t>
      </w:r>
    </w:p>
    <w:p w14:paraId="1BB18A36" w14:textId="77777777" w:rsidR="000B1E1C" w:rsidRDefault="00000000">
      <w:pPr>
        <w:spacing w:after="100"/>
        <w:ind w:left="260" w:hanging="260"/>
        <w:jc w:val="both"/>
      </w:pPr>
      <w:r w:rsidRPr="007D6238">
        <w:rPr>
          <w:sz w:val="18"/>
          <w:szCs w:val="18"/>
          <w:lang w:val="en-US"/>
        </w:rPr>
        <w:t xml:space="preserve">[8] J. Kreps, N. Narkhede, and J. Rao, "Kafka: A distributed messaging system for log processing," in Proc. </w:t>
      </w:r>
      <w:proofErr w:type="spellStart"/>
      <w:r>
        <w:rPr>
          <w:sz w:val="18"/>
          <w:szCs w:val="18"/>
        </w:rPr>
        <w:t>NetDB</w:t>
      </w:r>
      <w:proofErr w:type="spellEnd"/>
      <w:r>
        <w:rPr>
          <w:sz w:val="18"/>
          <w:szCs w:val="18"/>
        </w:rPr>
        <w:t xml:space="preserve"> Workshop, 2011, pp. 1–7.</w:t>
      </w:r>
    </w:p>
    <w:p w14:paraId="050FFABC" w14:textId="77777777" w:rsidR="000B1E1C" w:rsidRDefault="00000000">
      <w:pPr>
        <w:spacing w:after="100"/>
        <w:ind w:left="260" w:hanging="260"/>
        <w:jc w:val="both"/>
      </w:pPr>
      <w:r w:rsidRPr="007D6238">
        <w:rPr>
          <w:sz w:val="18"/>
          <w:szCs w:val="18"/>
          <w:lang w:val="en-US"/>
        </w:rPr>
        <w:t>[9] J. Ereth, "</w:t>
      </w:r>
      <w:proofErr w:type="spellStart"/>
      <w:r w:rsidRPr="007D6238">
        <w:rPr>
          <w:sz w:val="18"/>
          <w:szCs w:val="18"/>
          <w:lang w:val="en-US"/>
        </w:rPr>
        <w:t>DataOps</w:t>
      </w:r>
      <w:proofErr w:type="spellEnd"/>
      <w:r w:rsidRPr="007D6238">
        <w:rPr>
          <w:sz w:val="18"/>
          <w:szCs w:val="18"/>
          <w:lang w:val="en-US"/>
        </w:rPr>
        <w:t xml:space="preserve">—Towards a definition," in Proc. </w:t>
      </w:r>
      <w:r>
        <w:rPr>
          <w:sz w:val="18"/>
          <w:szCs w:val="18"/>
        </w:rPr>
        <w:t>LWDA, vol. 2191, 2018, pp. 104–112.</w:t>
      </w:r>
    </w:p>
    <w:p w14:paraId="5112ABDA" w14:textId="77777777" w:rsidR="000B1E1C" w:rsidRPr="007D6238" w:rsidRDefault="00000000">
      <w:pPr>
        <w:spacing w:after="100"/>
        <w:ind w:left="260" w:hanging="260"/>
        <w:jc w:val="both"/>
        <w:rPr>
          <w:lang w:val="en-US"/>
        </w:rPr>
      </w:pPr>
      <w:r w:rsidRPr="007D6238">
        <w:rPr>
          <w:sz w:val="18"/>
          <w:szCs w:val="18"/>
          <w:lang w:val="en-US"/>
        </w:rPr>
        <w:t xml:space="preserve">[10] M. M. John, H. H. Olsson, and J. Bosch, "Towards </w:t>
      </w:r>
      <w:proofErr w:type="spellStart"/>
      <w:r w:rsidRPr="007D6238">
        <w:rPr>
          <w:sz w:val="18"/>
          <w:szCs w:val="18"/>
          <w:lang w:val="en-US"/>
        </w:rPr>
        <w:t>MLOps</w:t>
      </w:r>
      <w:proofErr w:type="spellEnd"/>
      <w:r w:rsidRPr="007D6238">
        <w:rPr>
          <w:sz w:val="18"/>
          <w:szCs w:val="18"/>
          <w:lang w:val="en-US"/>
        </w:rPr>
        <w:t xml:space="preserve">: A framework and maturity model," in Proc. 47th </w:t>
      </w:r>
      <w:proofErr w:type="spellStart"/>
      <w:r w:rsidRPr="007D6238">
        <w:rPr>
          <w:sz w:val="18"/>
          <w:szCs w:val="18"/>
          <w:lang w:val="en-US"/>
        </w:rPr>
        <w:t>Euromicro</w:t>
      </w:r>
      <w:proofErr w:type="spellEnd"/>
      <w:r w:rsidRPr="007D6238">
        <w:rPr>
          <w:sz w:val="18"/>
          <w:szCs w:val="18"/>
          <w:lang w:val="en-US"/>
        </w:rPr>
        <w:t xml:space="preserve"> Conf. </w:t>
      </w:r>
      <w:proofErr w:type="spellStart"/>
      <w:r>
        <w:rPr>
          <w:sz w:val="18"/>
          <w:szCs w:val="18"/>
        </w:rPr>
        <w:t>Softw</w:t>
      </w:r>
      <w:proofErr w:type="spellEnd"/>
      <w:r>
        <w:rPr>
          <w:sz w:val="18"/>
          <w:szCs w:val="18"/>
        </w:rPr>
        <w:t xml:space="preserve">. </w:t>
      </w:r>
      <w:r w:rsidRPr="007D6238">
        <w:rPr>
          <w:sz w:val="18"/>
          <w:szCs w:val="18"/>
          <w:lang w:val="en-US"/>
        </w:rPr>
        <w:t>Eng. Adv. Appl. (SEAA), 2021, pp. 1–8.</w:t>
      </w:r>
    </w:p>
    <w:p w14:paraId="5457B4D1" w14:textId="77777777" w:rsidR="000B1E1C" w:rsidRDefault="00000000">
      <w:pPr>
        <w:spacing w:after="100"/>
        <w:ind w:left="260" w:hanging="260"/>
        <w:jc w:val="both"/>
      </w:pPr>
      <w:r w:rsidRPr="007D6238">
        <w:rPr>
          <w:sz w:val="18"/>
          <w:szCs w:val="18"/>
          <w:lang w:val="en-US"/>
        </w:rPr>
        <w:t xml:space="preserve">[11] A. </w:t>
      </w:r>
      <w:proofErr w:type="spellStart"/>
      <w:r w:rsidRPr="007D6238">
        <w:rPr>
          <w:sz w:val="18"/>
          <w:szCs w:val="18"/>
          <w:lang w:val="en-US"/>
        </w:rPr>
        <w:t>Ashofteh</w:t>
      </w:r>
      <w:proofErr w:type="spellEnd"/>
      <w:r w:rsidRPr="007D6238">
        <w:rPr>
          <w:sz w:val="18"/>
          <w:szCs w:val="18"/>
          <w:lang w:val="en-US"/>
        </w:rPr>
        <w:t xml:space="preserve">, "A review of big data and machine learning operations in official statistics: </w:t>
      </w:r>
      <w:proofErr w:type="spellStart"/>
      <w:r w:rsidRPr="007D6238">
        <w:rPr>
          <w:sz w:val="18"/>
          <w:szCs w:val="18"/>
          <w:lang w:val="en-US"/>
        </w:rPr>
        <w:t>MLOps</w:t>
      </w:r>
      <w:proofErr w:type="spellEnd"/>
      <w:r w:rsidRPr="007D6238">
        <w:rPr>
          <w:sz w:val="18"/>
          <w:szCs w:val="18"/>
          <w:lang w:val="en-US"/>
        </w:rPr>
        <w:t xml:space="preserve"> and feature store adoption," in Proc. </w:t>
      </w:r>
      <w:r>
        <w:rPr>
          <w:sz w:val="18"/>
          <w:szCs w:val="18"/>
        </w:rPr>
        <w:t xml:space="preserve">IEEE 48th Annu. </w:t>
      </w:r>
      <w:proofErr w:type="spellStart"/>
      <w:r>
        <w:rPr>
          <w:sz w:val="18"/>
          <w:szCs w:val="18"/>
        </w:rPr>
        <w:t>Comput</w:t>
      </w:r>
      <w:proofErr w:type="spellEnd"/>
      <w:r>
        <w:rPr>
          <w:sz w:val="18"/>
          <w:szCs w:val="18"/>
        </w:rPr>
        <w:t xml:space="preserve">., </w:t>
      </w:r>
      <w:proofErr w:type="spellStart"/>
      <w:r>
        <w:rPr>
          <w:sz w:val="18"/>
          <w:szCs w:val="18"/>
        </w:rPr>
        <w:t>Softw</w:t>
      </w:r>
      <w:proofErr w:type="spellEnd"/>
      <w:r>
        <w:rPr>
          <w:sz w:val="18"/>
          <w:szCs w:val="18"/>
        </w:rPr>
        <w:t>., Appl. Conf. (COMPSAC), 2024, pp. 711–718.</w:t>
      </w:r>
    </w:p>
    <w:p w14:paraId="43C0A1F9" w14:textId="77777777" w:rsidR="000B1E1C" w:rsidRPr="007D6238" w:rsidRDefault="00000000">
      <w:pPr>
        <w:spacing w:after="100"/>
        <w:ind w:left="260" w:hanging="260"/>
        <w:jc w:val="both"/>
        <w:rPr>
          <w:lang w:val="en-US"/>
        </w:rPr>
      </w:pPr>
      <w:r w:rsidRPr="007D6238">
        <w:rPr>
          <w:sz w:val="18"/>
          <w:szCs w:val="18"/>
          <w:lang w:val="en-US"/>
        </w:rPr>
        <w:t>[12] C. Cichy and S. Rass, "An overview of data quality frameworks," IEEE Access, vol. 7, pp. 24634–24648, 2019.</w:t>
      </w:r>
    </w:p>
    <w:p w14:paraId="5012A473" w14:textId="77777777" w:rsidR="000B1E1C" w:rsidRDefault="00000000">
      <w:pPr>
        <w:spacing w:after="100"/>
        <w:ind w:left="260" w:hanging="260"/>
        <w:jc w:val="both"/>
      </w:pPr>
      <w:r w:rsidRPr="007D6238">
        <w:rPr>
          <w:sz w:val="18"/>
          <w:szCs w:val="18"/>
          <w:lang w:val="en-US"/>
        </w:rPr>
        <w:t xml:space="preserve">[13] H. Fadlallah, R. </w:t>
      </w:r>
      <w:proofErr w:type="spellStart"/>
      <w:r w:rsidRPr="007D6238">
        <w:rPr>
          <w:sz w:val="18"/>
          <w:szCs w:val="18"/>
          <w:lang w:val="en-US"/>
        </w:rPr>
        <w:t>Kilany</w:t>
      </w:r>
      <w:proofErr w:type="spellEnd"/>
      <w:r w:rsidRPr="007D6238">
        <w:rPr>
          <w:sz w:val="18"/>
          <w:szCs w:val="18"/>
          <w:lang w:val="en-US"/>
        </w:rPr>
        <w:t xml:space="preserve">, H. </w:t>
      </w:r>
      <w:proofErr w:type="spellStart"/>
      <w:r w:rsidRPr="007D6238">
        <w:rPr>
          <w:sz w:val="18"/>
          <w:szCs w:val="18"/>
          <w:lang w:val="en-US"/>
        </w:rPr>
        <w:t>Dhayne</w:t>
      </w:r>
      <w:proofErr w:type="spellEnd"/>
      <w:r w:rsidRPr="007D6238">
        <w:rPr>
          <w:sz w:val="18"/>
          <w:szCs w:val="18"/>
          <w:lang w:val="en-US"/>
        </w:rPr>
        <w:t xml:space="preserve">, R. El Haddad, R. Haque, Y. Taher, and A. Jaber, "Context-aware big data </w:t>
      </w:r>
      <w:r w:rsidRPr="007D6238">
        <w:rPr>
          <w:sz w:val="18"/>
          <w:szCs w:val="18"/>
          <w:lang w:val="en-US"/>
        </w:rPr>
        <w:lastRenderedPageBreak/>
        <w:t xml:space="preserve">quality assessment: A scoping review," J. Data Inf. </w:t>
      </w:r>
      <w:proofErr w:type="spellStart"/>
      <w:r>
        <w:rPr>
          <w:sz w:val="18"/>
          <w:szCs w:val="18"/>
        </w:rPr>
        <w:t>Quality</w:t>
      </w:r>
      <w:proofErr w:type="spellEnd"/>
      <w:r>
        <w:rPr>
          <w:sz w:val="18"/>
          <w:szCs w:val="18"/>
        </w:rPr>
        <w:t>, vol. 15, no. 3, Art. no. 25, 2023.</w:t>
      </w:r>
    </w:p>
    <w:p w14:paraId="763BA531" w14:textId="77777777" w:rsidR="000B1E1C" w:rsidRPr="007D6238" w:rsidRDefault="00000000">
      <w:pPr>
        <w:spacing w:after="100"/>
        <w:ind w:left="260" w:hanging="260"/>
        <w:jc w:val="both"/>
        <w:rPr>
          <w:lang w:val="en-US"/>
        </w:rPr>
      </w:pPr>
      <w:r w:rsidRPr="007D6238">
        <w:rPr>
          <w:sz w:val="18"/>
          <w:szCs w:val="18"/>
          <w:lang w:val="en-US"/>
        </w:rPr>
        <w:t xml:space="preserve">[14] L. Ehrlinger and W. </w:t>
      </w:r>
      <w:proofErr w:type="spellStart"/>
      <w:r w:rsidRPr="007D6238">
        <w:rPr>
          <w:sz w:val="18"/>
          <w:szCs w:val="18"/>
          <w:lang w:val="en-US"/>
        </w:rPr>
        <w:t>Wöß</w:t>
      </w:r>
      <w:proofErr w:type="spellEnd"/>
      <w:r w:rsidRPr="007D6238">
        <w:rPr>
          <w:sz w:val="18"/>
          <w:szCs w:val="18"/>
          <w:lang w:val="en-US"/>
        </w:rPr>
        <w:t>, "A survey of data quality measurement and monitoring tools," Front. Big Data, vol. 5, Art. no. 850611, 2022.</w:t>
      </w:r>
    </w:p>
    <w:p w14:paraId="693D4BB3" w14:textId="77777777" w:rsidR="000B1E1C" w:rsidRPr="007D6238" w:rsidRDefault="00000000">
      <w:pPr>
        <w:spacing w:after="100"/>
        <w:ind w:left="260" w:hanging="260"/>
        <w:jc w:val="both"/>
        <w:rPr>
          <w:lang w:val="en-US"/>
        </w:rPr>
      </w:pPr>
      <w:r w:rsidRPr="007D6238">
        <w:rPr>
          <w:sz w:val="18"/>
          <w:szCs w:val="18"/>
          <w:lang w:val="en-US"/>
        </w:rPr>
        <w:t xml:space="preserve">[15] B. M. V. Bernardo, H. S. Mamede, J. M. P. Barroso, and V. M. P. D. dos Santos, "Data governance &amp; quality management—Innovation and breakthroughs across different fields," J. Innov. </w:t>
      </w:r>
      <w:proofErr w:type="spellStart"/>
      <w:r w:rsidRPr="007D6238">
        <w:rPr>
          <w:sz w:val="18"/>
          <w:szCs w:val="18"/>
          <w:lang w:val="en-US"/>
        </w:rPr>
        <w:t>Knowl</w:t>
      </w:r>
      <w:proofErr w:type="spellEnd"/>
      <w:r w:rsidRPr="007D6238">
        <w:rPr>
          <w:sz w:val="18"/>
          <w:szCs w:val="18"/>
          <w:lang w:val="en-US"/>
        </w:rPr>
        <w:t>., vol. 9, no. 4, pp. 1–35, 2024.</w:t>
      </w:r>
    </w:p>
    <w:p w14:paraId="6F8DF874" w14:textId="77777777" w:rsidR="000B1E1C" w:rsidRPr="007D6238" w:rsidRDefault="00000000">
      <w:pPr>
        <w:spacing w:after="100"/>
        <w:ind w:left="260" w:hanging="260"/>
        <w:jc w:val="both"/>
        <w:rPr>
          <w:lang w:val="en-US"/>
        </w:rPr>
      </w:pPr>
      <w:r w:rsidRPr="007D6238">
        <w:rPr>
          <w:sz w:val="18"/>
          <w:szCs w:val="18"/>
          <w:lang w:val="en-US"/>
        </w:rPr>
        <w:t>[16] Practical Data Community, "2026 state of data engineering survey," 2026. [Online]. Available: https://joereis.github.io/practical_data_data_eng_survey/</w:t>
      </w:r>
    </w:p>
    <w:p w14:paraId="34815F98" w14:textId="77777777" w:rsidR="000B1E1C" w:rsidRPr="007D6238" w:rsidRDefault="00000000">
      <w:pPr>
        <w:spacing w:after="100"/>
        <w:ind w:left="260" w:hanging="260"/>
        <w:jc w:val="both"/>
        <w:rPr>
          <w:lang w:val="en-US"/>
        </w:rPr>
      </w:pPr>
      <w:r w:rsidRPr="007D6238">
        <w:rPr>
          <w:sz w:val="18"/>
          <w:szCs w:val="18"/>
          <w:lang w:val="en-US"/>
        </w:rPr>
        <w:t xml:space="preserve">[17] </w:t>
      </w:r>
      <w:proofErr w:type="spellStart"/>
      <w:r w:rsidRPr="007D6238">
        <w:rPr>
          <w:sz w:val="18"/>
          <w:szCs w:val="18"/>
          <w:lang w:val="en-US"/>
        </w:rPr>
        <w:t>dbt</w:t>
      </w:r>
      <w:proofErr w:type="spellEnd"/>
      <w:r w:rsidRPr="007D6238">
        <w:rPr>
          <w:sz w:val="18"/>
          <w:szCs w:val="18"/>
          <w:lang w:val="en-US"/>
        </w:rPr>
        <w:t xml:space="preserve"> Labs, "The 2024 state of analytics engineering," 2024. [Online]. Available: https://www.getdbt.com/resources/state-of-analytics-engineering-2024</w:t>
      </w:r>
    </w:p>
    <w:p w14:paraId="623D21F5" w14:textId="77777777" w:rsidR="000B1E1C" w:rsidRPr="007D6238" w:rsidRDefault="00000000">
      <w:pPr>
        <w:spacing w:after="100"/>
        <w:ind w:left="260" w:hanging="260"/>
        <w:jc w:val="both"/>
        <w:rPr>
          <w:lang w:val="en-US"/>
        </w:rPr>
      </w:pPr>
      <w:r w:rsidRPr="007D6238">
        <w:rPr>
          <w:sz w:val="18"/>
          <w:szCs w:val="18"/>
          <w:lang w:val="en-US"/>
        </w:rPr>
        <w:t>[18] Data Engineering Weekly, "The state of data engineering in 2024: Key insights and trends," 2024. [Online]. Available: https://www.dataengineeringweekly.com/p/the-state-of-data-engineering-in</w:t>
      </w:r>
    </w:p>
    <w:p w14:paraId="5E4CA8BE" w14:textId="77777777" w:rsidR="000B1E1C" w:rsidRPr="007D6238" w:rsidRDefault="00000000">
      <w:pPr>
        <w:spacing w:after="100"/>
        <w:ind w:left="260" w:hanging="260"/>
        <w:jc w:val="both"/>
        <w:rPr>
          <w:lang w:val="en-US"/>
        </w:rPr>
      </w:pPr>
      <w:r w:rsidRPr="007D6238">
        <w:rPr>
          <w:sz w:val="18"/>
          <w:szCs w:val="18"/>
          <w:lang w:val="en-US"/>
        </w:rPr>
        <w:t>[19] L. Shi, Z. Tang, N. Zhang, X. Zhang, and Z. Yang, "A survey on employing large language models for text-to-SQL tasks," arXiv:2407.15186, 2024.</w:t>
      </w:r>
    </w:p>
    <w:p w14:paraId="3DF25AB7" w14:textId="77777777" w:rsidR="000B1E1C" w:rsidRPr="007D6238" w:rsidRDefault="00000000">
      <w:pPr>
        <w:spacing w:after="100"/>
        <w:ind w:left="260" w:hanging="260"/>
        <w:jc w:val="both"/>
        <w:rPr>
          <w:lang w:val="en-US"/>
        </w:rPr>
      </w:pPr>
      <w:r w:rsidRPr="007D6238">
        <w:rPr>
          <w:sz w:val="18"/>
          <w:szCs w:val="18"/>
          <w:lang w:val="en-US"/>
        </w:rPr>
        <w:t xml:space="preserve">[20] Z. Hong, Z. Yuan, Q. Zhang, H. Chen, J. Dong, F. Huang, and X. Huang, "Next-generation database interfaces: A survey of LLM-based text-to-SQL," IEEE Trans. </w:t>
      </w:r>
      <w:proofErr w:type="spellStart"/>
      <w:r>
        <w:rPr>
          <w:sz w:val="18"/>
          <w:szCs w:val="18"/>
        </w:rPr>
        <w:t>Knowl</w:t>
      </w:r>
      <w:proofErr w:type="spellEnd"/>
      <w:r>
        <w:rPr>
          <w:sz w:val="18"/>
          <w:szCs w:val="18"/>
        </w:rPr>
        <w:t xml:space="preserve">. </w:t>
      </w:r>
      <w:r w:rsidRPr="007D6238">
        <w:rPr>
          <w:sz w:val="18"/>
          <w:szCs w:val="18"/>
          <w:lang w:val="en-US"/>
        </w:rPr>
        <w:t>Data Eng., 2025.</w:t>
      </w:r>
    </w:p>
    <w:p w14:paraId="158EE238" w14:textId="77777777" w:rsidR="000B1E1C" w:rsidRPr="007D6238" w:rsidRDefault="00000000">
      <w:pPr>
        <w:spacing w:after="100"/>
        <w:ind w:left="260" w:hanging="260"/>
        <w:jc w:val="both"/>
        <w:rPr>
          <w:lang w:val="en-US"/>
        </w:rPr>
      </w:pPr>
      <w:r w:rsidRPr="007D6238">
        <w:rPr>
          <w:sz w:val="18"/>
          <w:szCs w:val="18"/>
          <w:lang w:val="en-US"/>
        </w:rPr>
        <w:t xml:space="preserve">[21] A. F. Ramadhan, F. P. Tajudeen, and N. I. Jaafar, "The influence factors of data governance implementation: Study in Indonesian public university," Procedia </w:t>
      </w:r>
      <w:proofErr w:type="spellStart"/>
      <w:r w:rsidRPr="007D6238">
        <w:rPr>
          <w:sz w:val="18"/>
          <w:szCs w:val="18"/>
          <w:lang w:val="en-US"/>
        </w:rPr>
        <w:t>Comput</w:t>
      </w:r>
      <w:proofErr w:type="spellEnd"/>
      <w:r w:rsidRPr="007D6238">
        <w:rPr>
          <w:sz w:val="18"/>
          <w:szCs w:val="18"/>
          <w:lang w:val="en-US"/>
        </w:rPr>
        <w:t>. Sci., vol. 234, pp. 1204–1211, 2024.</w:t>
      </w:r>
    </w:p>
    <w:p w14:paraId="2589399D" w14:textId="77777777" w:rsidR="000B1E1C" w:rsidRPr="007D6238" w:rsidRDefault="00000000">
      <w:pPr>
        <w:spacing w:after="100"/>
        <w:ind w:left="260" w:hanging="260"/>
        <w:jc w:val="both"/>
        <w:rPr>
          <w:lang w:val="en-US"/>
        </w:rPr>
      </w:pPr>
      <w:r w:rsidRPr="007D6238">
        <w:rPr>
          <w:sz w:val="18"/>
          <w:szCs w:val="18"/>
          <w:lang w:val="en-US"/>
        </w:rPr>
        <w:t xml:space="preserve">[22] H. M. Astuti, R. P. Wibowo, and A. </w:t>
      </w:r>
      <w:proofErr w:type="spellStart"/>
      <w:r w:rsidRPr="007D6238">
        <w:rPr>
          <w:sz w:val="18"/>
          <w:szCs w:val="18"/>
          <w:lang w:val="en-US"/>
        </w:rPr>
        <w:t>Herdiyanti</w:t>
      </w:r>
      <w:proofErr w:type="spellEnd"/>
      <w:r w:rsidRPr="007D6238">
        <w:rPr>
          <w:sz w:val="18"/>
          <w:szCs w:val="18"/>
          <w:lang w:val="en-US"/>
        </w:rPr>
        <w:t xml:space="preserve">, "Towards the national higher education database in Indonesia: Challenges to data governance implementation from the perspective of a public university," Procedia </w:t>
      </w:r>
      <w:proofErr w:type="spellStart"/>
      <w:r w:rsidRPr="007D6238">
        <w:rPr>
          <w:sz w:val="18"/>
          <w:szCs w:val="18"/>
          <w:lang w:val="en-US"/>
        </w:rPr>
        <w:t>Comput</w:t>
      </w:r>
      <w:proofErr w:type="spellEnd"/>
      <w:r w:rsidRPr="007D6238">
        <w:rPr>
          <w:sz w:val="18"/>
          <w:szCs w:val="18"/>
          <w:lang w:val="en-US"/>
        </w:rPr>
        <w:t>. Sci., vol. 234, pp. 1322–1331, 2024.</w:t>
      </w:r>
    </w:p>
    <w:p w14:paraId="1C740983" w14:textId="77777777" w:rsidR="000B1E1C" w:rsidRDefault="00000000">
      <w:pPr>
        <w:spacing w:after="100"/>
        <w:ind w:left="260" w:hanging="260"/>
        <w:jc w:val="both"/>
      </w:pPr>
      <w:r w:rsidRPr="007D6238">
        <w:rPr>
          <w:sz w:val="18"/>
          <w:szCs w:val="18"/>
          <w:lang w:val="en-US"/>
        </w:rPr>
        <w:t xml:space="preserve">[23] EDUCAUSE, "2023 EDUCAUSE horizon action plan: Data governance," 2023. </w:t>
      </w:r>
      <w:r>
        <w:rPr>
          <w:sz w:val="18"/>
          <w:szCs w:val="18"/>
        </w:rPr>
        <w:t>[Online]. Available: https://library.educause.edu/resources/2023/3/2023-educause-horizon-action-plan-data-governance</w:t>
      </w:r>
    </w:p>
    <w:p w14:paraId="2A9DB963" w14:textId="77777777" w:rsidR="000B1E1C" w:rsidRDefault="00000000">
      <w:pPr>
        <w:spacing w:after="100"/>
        <w:ind w:left="260" w:hanging="260"/>
        <w:jc w:val="both"/>
      </w:pPr>
      <w:r>
        <w:rPr>
          <w:sz w:val="18"/>
          <w:szCs w:val="18"/>
        </w:rPr>
        <w:t>[24] Universidad Nacional de Chimborazo, "Ingeniería en Ciencia de los Datos e Inteligencia Artificial," 2025. [Online]. Available: https://www.unach.edu.ec/ingenieria-en-ciencia-de-los-datos-e-inteligencia-artificial/</w:t>
      </w:r>
    </w:p>
    <w:p w14:paraId="7FDDD9C9" w14:textId="77777777" w:rsidR="000B1E1C" w:rsidRPr="007D6238" w:rsidRDefault="00000000">
      <w:pPr>
        <w:spacing w:after="100"/>
        <w:ind w:left="260" w:hanging="260"/>
        <w:jc w:val="both"/>
        <w:rPr>
          <w:lang w:val="en-US"/>
        </w:rPr>
      </w:pPr>
      <w:r>
        <w:rPr>
          <w:sz w:val="18"/>
          <w:szCs w:val="18"/>
        </w:rPr>
        <w:t xml:space="preserve">[25] Universidad Técnica Particular de Loja, "Carrera de Ingeniería en Tecnologías de la Información." </w:t>
      </w:r>
      <w:r w:rsidRPr="007D6238">
        <w:rPr>
          <w:sz w:val="18"/>
          <w:szCs w:val="18"/>
          <w:lang w:val="en-US"/>
        </w:rPr>
        <w:t>[Online]. Available: https://www.utpl.edu.ec/carreras/ingenieriati</w:t>
      </w:r>
    </w:p>
    <w:p w14:paraId="7CF8F784" w14:textId="77777777" w:rsidR="000B1E1C" w:rsidRDefault="00000000">
      <w:pPr>
        <w:spacing w:after="100"/>
        <w:ind w:left="260" w:hanging="260"/>
        <w:jc w:val="both"/>
      </w:pPr>
      <w:r w:rsidRPr="007D6238">
        <w:rPr>
          <w:sz w:val="18"/>
          <w:szCs w:val="18"/>
          <w:lang w:val="en-US"/>
        </w:rPr>
        <w:t xml:space="preserve">[26] K. Waehner, "Top trends for data streaming with Apache Kafka and Flink in 2025," 2025. </w:t>
      </w:r>
      <w:r>
        <w:rPr>
          <w:sz w:val="18"/>
          <w:szCs w:val="18"/>
        </w:rPr>
        <w:t>[Online]. Available: https://www.kai-waehner.de/blog/2024/12/02/top-trends-for-data-streaming-with-apache-kafka-and-flink-in-2025/</w:t>
      </w:r>
    </w:p>
    <w:sectPr w:rsidR="000B1E1C">
      <w:type w:val="continuous"/>
      <w:pgSz w:w="11906" w:h="16838"/>
      <w:pgMar w:top="1440" w:right="1440" w:bottom="1440" w:left="144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5711"/>
    <w:multiLevelType w:val="hybridMultilevel"/>
    <w:tmpl w:val="B2560C4C"/>
    <w:lvl w:ilvl="0" w:tplc="11C0336C">
      <w:start w:val="1"/>
      <w:numFmt w:val="bullet"/>
      <w:lvlText w:val="●"/>
      <w:lvlJc w:val="left"/>
      <w:pPr>
        <w:ind w:left="720" w:hanging="360"/>
      </w:pPr>
    </w:lvl>
    <w:lvl w:ilvl="1" w:tplc="31981994">
      <w:start w:val="1"/>
      <w:numFmt w:val="bullet"/>
      <w:lvlText w:val="○"/>
      <w:lvlJc w:val="left"/>
      <w:pPr>
        <w:ind w:left="1440" w:hanging="360"/>
      </w:pPr>
    </w:lvl>
    <w:lvl w:ilvl="2" w:tplc="B2E45E2C">
      <w:start w:val="1"/>
      <w:numFmt w:val="bullet"/>
      <w:lvlText w:val="■"/>
      <w:lvlJc w:val="left"/>
      <w:pPr>
        <w:ind w:left="2160" w:hanging="360"/>
      </w:pPr>
    </w:lvl>
    <w:lvl w:ilvl="3" w:tplc="12A0C93C">
      <w:start w:val="1"/>
      <w:numFmt w:val="bullet"/>
      <w:lvlText w:val="●"/>
      <w:lvlJc w:val="left"/>
      <w:pPr>
        <w:ind w:left="2880" w:hanging="360"/>
      </w:pPr>
    </w:lvl>
    <w:lvl w:ilvl="4" w:tplc="BDF4E17A">
      <w:start w:val="1"/>
      <w:numFmt w:val="bullet"/>
      <w:lvlText w:val="○"/>
      <w:lvlJc w:val="left"/>
      <w:pPr>
        <w:ind w:left="3600" w:hanging="360"/>
      </w:pPr>
    </w:lvl>
    <w:lvl w:ilvl="5" w:tplc="C1E85494">
      <w:start w:val="1"/>
      <w:numFmt w:val="bullet"/>
      <w:lvlText w:val="■"/>
      <w:lvlJc w:val="left"/>
      <w:pPr>
        <w:ind w:left="4320" w:hanging="360"/>
      </w:pPr>
    </w:lvl>
    <w:lvl w:ilvl="6" w:tplc="2760E77A">
      <w:start w:val="1"/>
      <w:numFmt w:val="bullet"/>
      <w:lvlText w:val="●"/>
      <w:lvlJc w:val="left"/>
      <w:pPr>
        <w:ind w:left="5040" w:hanging="360"/>
      </w:pPr>
    </w:lvl>
    <w:lvl w:ilvl="7" w:tplc="F54AB13A">
      <w:start w:val="1"/>
      <w:numFmt w:val="bullet"/>
      <w:lvlText w:val="●"/>
      <w:lvlJc w:val="left"/>
      <w:pPr>
        <w:ind w:left="5760" w:hanging="360"/>
      </w:pPr>
    </w:lvl>
    <w:lvl w:ilvl="8" w:tplc="94EC8742">
      <w:start w:val="1"/>
      <w:numFmt w:val="bullet"/>
      <w:lvlText w:val="●"/>
      <w:lvlJc w:val="left"/>
      <w:pPr>
        <w:ind w:left="6480" w:hanging="360"/>
      </w:pPr>
    </w:lvl>
  </w:abstractNum>
  <w:num w:numId="1" w16cid:durableId="281231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E1C"/>
    <w:rsid w:val="000B1E1C"/>
    <w:rsid w:val="007D6238"/>
    <w:rsid w:val="00964D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3E6E"/>
  <w15:docId w15:val="{DB134C36-F877-4369-AD67-59B7D052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2667</Words>
  <Characters>14674</Characters>
  <Application>Microsoft Office Word</Application>
  <DocSecurity>0</DocSecurity>
  <Lines>122</Lines>
  <Paragraphs>34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Yaguache</cp:lastModifiedBy>
  <cp:revision>2</cp:revision>
  <dcterms:created xsi:type="dcterms:W3CDTF">2026-07-22T12:00:00Z</dcterms:created>
  <dcterms:modified xsi:type="dcterms:W3CDTF">2026-07-22T17:43:00Z</dcterms:modified>
</cp:coreProperties>
</file>