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UNIVERSIDADE FEDERAL RURAL DO SEMI-ÁRIDO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CENTRO MULTIDISCIPLINAR PAU DOS FERROS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DEPARTAMENTO DE ENGENHARIAS E TECNOLOGIA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PAM0466 – SISTEMAS INTELIGENTES | 2026.1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2º PROJETO – RELATÓRIO TÉCNICO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Regressão Logística para Diagnóstico de Doença Cardíaca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Docente: Pedro Thiago Valério de Souza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Semestre: 2026.1  |  Horário: 3M23 4M45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Introdução e Contexto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Doenças cardiovasculares são a principal causa de morte no mundo, responsáveis por cerca de 18 milhões de óbitos por ano segundo a OMS. O diagnóstico precoce é determinante para o sucesso do tratamento, e ferramentas de aprendizado de máquina podem contribuir significativamente ao identificar padrões em dados clínicos que indicam risco de doença cardíaca.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Neste projeto, foi construído um modelo de regressão logística para prever a presença de doença cardíaca com base em 13 variáveis clínicas coletadas em consulta de rotina, utilizando o dataset Heart Disease Cleveland do UCI Machine Learning Repository.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Conjunto de Dados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dataset contém registros de 303 pacientes, com diagnósticos confirmados por cateterismo cardíaco. As 13 variáveis clínicas incluem dados demográficos (age, sex), sintomáticos (cp, exang), laboratoriais (chol, fbs, thalach) e diagnósticos (restecg, slope, ca, thal, oldpeak, trestbps). A variável alvo (target) indica ausência (0) ou presença (1) de doença cardíaca. A distribuição é balanceada: 138 pacientes sem doença (45.5%) e 165 com doença (54.5%).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Tarefa 1 – Pré-processamento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pipeline de pré-processamento seguiu as quatro etapas especificadas: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3120"/>
        <w:gridCol w:w="2964"/>
      </w:tblGrid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  <w:tc>
          <w:tcPr>
            <w:tcW w:type="dxa" w:w="29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(a)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Imputação de nulos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ca: 4 nulos → mediana=0; thal: 2 nulos → mediana=7</w:t>
            </w:r>
          </w:p>
        </w:tc>
        <w:tc>
          <w:tcPr>
            <w:tcW w:type="dxa" w:w="29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Dataset completo (0 nulos)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(b)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Binarização do target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Valores 0–4 → 0 (sem doença) ou 1 (com doença)</w:t>
            </w:r>
          </w:p>
        </w:tc>
        <w:tc>
          <w:tcPr>
            <w:tcW w:type="dxa" w:w="29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138 classe 0 | 165 classe 1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(c)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Divisão treino/teste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80/20 com stratify=y</w:t>
            </w:r>
          </w:p>
        </w:tc>
        <w:tc>
          <w:tcPr>
            <w:tcW w:type="dxa" w:w="29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 treino | 61 teste</w:t>
            </w:r>
          </w:p>
        </w:tc>
      </w:tr>
      <w:tr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age, trestbps, chol, thalach, oldpeak</w:t>
            </w:r>
          </w:p>
        </w:tc>
        <w:tc>
          <w:tcPr>
            <w:tcW w:type="dxa" w:w="29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Média≈0, Desvio≈1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Detalhes: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Imputação: As colunas ca (número de artérias obstruídas) e thal (cintilografia de tálio) apresentaram valores ausentes. A imputação pela mediana foi escolhida por ser robusta a outliers, não distorcendo a distribuição dos dados. ca teve 4 valores ausentes imputados com mediana=0; thal teve 2 valores ausentes imputados com mediana=7.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Binarização: O target original assume valores de 0 a 4, representando graus de obstrução arterial. Para a tarefa de classificação binária, todos os valores maiores que 0 foram convertidos para 1 (com doença), preservando a natureza clínica do diagnóstico.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Stratify: O parâmetro stratify=y garante que as proporções de cada classe sejam mantidas nos conjuntos de treino e teste, evitando viés de amostragem. O conjunto de teste ficou com 28 casos sem doença e 33 com doença.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(d) StandardScaler: O escalonamento foi aplicado apenas às features numéricas contínuas (age, trestbps, chol, thalach, oldpeak), transformando-as para média zero e desvio padrão unitário. O scaler foi ajustado (fit) somente nos dados de treino e aplicado (transform) nos dados de teste, evitando vazamento de informação (data leakage).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Tarefa 2 – Treinamento do Modelo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modelo de regressão logística foi treinado com os parâmetros solver='liblinear', random_state=42 e max_iter=1000. O solver liblinear é adequado para datasets de tamanho pequeno/médio e suporta regularização L1 e L2.</w:t>
      </w:r>
    </w:p>
    <w:p>
      <w:pPr>
        <w:spacing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4"/>
          <w:szCs w:val="24"/>
        </w:rPr>
        <w:t xml:space="preserve">Convergência atingida em apenas 7 iterações (de 1.000 permitidas)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número reduzido de iterações para convergência (7 de 1.000) indica que o problema é linearmente separável de forma razoável e que o gradiente descendente encontrou rapidamente o mínimo da função de custo. Isso também sugere que o pré-processamento (escalonamento) foi eficaz — features na mesma escala aceleram a convergência.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Tarefa 3 – Avaliação do Modelo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Métricas de Desempenho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Acurácia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90.16%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Proporção de classificações corretas sobre o total de amostras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Precisão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93.55%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 todos os preditos como positivos, 93.55% realmente têm doença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87.88%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modelo detectou 87.88% dos casos reais de doença cardíaca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F1-score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90.62%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 harmônica entre Precisão e Recall — equilíbrio entre os dois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AUC-ROC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0.9600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Excelente capacidade discriminativa — próximo de 1.0 é ideal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Matriz de Confusão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matriz de confusão detalha os erros e acertos do modelo sobre as 61 amostras de teste:</w:t>
      </w:r>
    </w:p>
    <w:p>
      <w:pPr>
        <w:spacing w:after="120"/>
      </w:pPr>
      <w:r>
        <w:t xml:space="preserve"/>
      </w:r>
    </w:p>
    <w:tbl>
      <w:tblPr>
        <w:tblW w:type="dxa" w:w="6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</w:tblGrid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Predito: 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Predito: 1</w:t>
            </w:r>
          </w:p>
        </w:tc>
      </w:tr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Real: 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027"/>
                <w:sz w:val="22"/>
                <w:szCs w:val="22"/>
              </w:rPr>
              <w:t xml:space="preserve">26 (VN)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2 (FP)</w:t>
            </w:r>
          </w:p>
        </w:tc>
      </w:tr>
      <w:tr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Real: 1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0000"/>
                <w:sz w:val="22"/>
                <w:szCs w:val="22"/>
              </w:rPr>
              <w:t xml:space="preserve">4 (FN)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027"/>
                <w:sz w:val="22"/>
                <w:szCs w:val="22"/>
              </w:rPr>
              <w:t xml:space="preserve">29 (VP)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VN (Verdadeiros Negativos) = 26: pacientes sem doença corretamente classificados. VP (Verdadeiros Positivos) = 29: pacientes com doença corretamente identificados. FP (Falsos Positivos) = 2: saudáveis classificados erroneamente como doentes (alarme falso). FN (Falsos Negativos) = 4: doentes não identificados pelo modelo — o erro mais crítico clinicamente, pois representa pacientes que não receberiam tratamento.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Visualizações</w:t>
      </w:r>
    </w:p>
    <w:p>
      <w:pPr>
        <w:spacing w:after="120"/>
        <w:jc w:val="center"/>
      </w:pPr>
      <w:r>
        <w:drawing>
          <wp:inline distT="0" distB="0" distL="0" distR="0">
            <wp:extent cx="5905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Figura 1: (a) Curva ROC com AUC=0.960 — área próxima a 1.0 indica excelente discriminação. (b) Matriz de confusão — predominância de VP e VN com poucos erros. (c) Coeficientes do modelo — variáveis em azul aumentam o risco de doença; em vermelho, reduzem.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Interpretação dos Coeficientes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coeficientes da regressão logística representam o impacto de cada variável no log-odds de doença cardíaca. As variáveis com maior coeficiente positivo — como ca (número de artérias obstruídas), exang (angina por exercício) e oldpeak (depressão do ST) — são os preditores mais fortes de doença. Já thalach (frequência cardíaca máxima) apresenta coeficiente negativo: uma frequência maior indica maior capacidade cardíaca e menor risco.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Conclusões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modelo de regressão logística demonstrou ser adequado para o diagnóstico de doença cardíaca com base em dados clínicos, apresentando desempenho sólido em todas as métricas avaliadas. Os principais achados foram: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Acurácia de 90.16% e AUC-ROC de 0.960 confirmam alta capacidade preditiva do modelo sobre dados não vistos.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Precisão de 93.55% é especialmente favorável para aplicações clínicas: quando o modelo alerta para doença, está correto na grande maioria dos casos.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Recall de 87.88% indica que 4 casos de doença não foram detectados (FN). Em contexto clínico, estratégias como ajuste do limiar de decisão (threshold) poderiam reduzir esses falsos negativos, priorizando sensibilidade.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convergência em apenas 7 iterações confirma que o pré-processamento foi eficiente e que o modelo linear é adequado para este problema.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trabalhos futuros, técnicas como Random Forest ou XGBoost poderiam capturar relações não-lineares, potencialmente melhorando o Recall sem sacrificar a Precisão.</w:t>
      </w:r>
    </w:p>
    <w:p>
      <w:pPr>
        <w:spacing w:after="120"/>
      </w:pPr>
      <w:r>
        <w:t xml:space="preserve"/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código completo está disponível em repositório público (GitHub/GitLab), contendo pré-processamento, treinamento, avaliação e visualizações.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PAM0466 – Sistemas Inteligentes | 2026.1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e7479467c441967ff72a0fb506b82df84cef92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2026-04-23T01:55:45.896Z</dcterms:created>
  <dcterms:modified xsi:type="dcterms:W3CDTF">2026-04-23T01:55:45.897Z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