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E72EE" w14:textId="30FC868C" w:rsidR="009950E6" w:rsidRPr="00030264" w:rsidRDefault="009950E6" w:rsidP="00030264">
      <w:pPr>
        <w:pStyle w:val="Heading1"/>
        <w:rPr>
          <w:b/>
        </w:rPr>
      </w:pPr>
      <w:r w:rsidRPr="00030264">
        <w:rPr>
          <w:rFonts w:eastAsiaTheme="minorHAnsi"/>
          <w:b/>
        </w:rPr>
        <w:t>DP20</w:t>
      </w:r>
      <w:r w:rsidR="00946287">
        <w:rPr>
          <w:rFonts w:eastAsiaTheme="minorHAnsi"/>
          <w:b/>
        </w:rPr>
        <w:t>1</w:t>
      </w:r>
      <w:r w:rsidRPr="00030264">
        <w:rPr>
          <w:rFonts w:eastAsiaTheme="minorHAnsi"/>
          <w:b/>
        </w:rPr>
        <w:t xml:space="preserve"> - </w:t>
      </w:r>
      <w:r w:rsidR="00946287">
        <w:rPr>
          <w:rFonts w:eastAsiaTheme="minorHAnsi"/>
          <w:b/>
        </w:rPr>
        <w:t>Designing</w:t>
      </w:r>
      <w:r w:rsidRPr="00030264">
        <w:rPr>
          <w:rFonts w:eastAsiaTheme="minorHAnsi"/>
          <w:b/>
        </w:rPr>
        <w:t xml:space="preserve"> a</w:t>
      </w:r>
      <w:r w:rsidR="00946287">
        <w:rPr>
          <w:rFonts w:eastAsiaTheme="minorHAnsi"/>
          <w:b/>
        </w:rPr>
        <w:t>n Azure</w:t>
      </w:r>
      <w:r w:rsidRPr="00030264">
        <w:rPr>
          <w:rFonts w:eastAsiaTheme="minorHAnsi"/>
          <w:b/>
        </w:rPr>
        <w:t xml:space="preserve"> Data Platform Solution </w:t>
      </w:r>
    </w:p>
    <w:p w14:paraId="331BF5DE" w14:textId="0F22C78B" w:rsidR="009950E6" w:rsidRDefault="009950E6" w:rsidP="00030264">
      <w:pPr>
        <w:pStyle w:val="Heading2"/>
        <w:rPr>
          <w:rFonts w:eastAsiaTheme="minorHAnsi"/>
        </w:rPr>
      </w:pPr>
      <w:r w:rsidRPr="009950E6">
        <w:rPr>
          <w:rFonts w:eastAsiaTheme="minorHAnsi"/>
        </w:rPr>
        <w:t xml:space="preserve">Lab </w:t>
      </w:r>
      <w:r w:rsidR="005C42C2">
        <w:rPr>
          <w:rFonts w:eastAsiaTheme="minorHAnsi"/>
        </w:rPr>
        <w:t>5</w:t>
      </w:r>
      <w:r w:rsidRPr="009950E6">
        <w:rPr>
          <w:rFonts w:eastAsiaTheme="minorHAnsi"/>
        </w:rPr>
        <w:t xml:space="preserve"> </w:t>
      </w:r>
      <w:r w:rsidR="00946287">
        <w:rPr>
          <w:rFonts w:eastAsiaTheme="minorHAnsi"/>
        </w:rPr>
        <w:t>–</w:t>
      </w:r>
      <w:r w:rsidRPr="009950E6">
        <w:rPr>
          <w:rFonts w:eastAsiaTheme="minorHAnsi"/>
        </w:rPr>
        <w:t xml:space="preserve"> </w:t>
      </w:r>
      <w:r w:rsidR="005C42C2">
        <w:rPr>
          <w:rFonts w:eastAsiaTheme="minorHAnsi"/>
        </w:rPr>
        <w:t>Designing for Scale and Resiliency</w:t>
      </w:r>
    </w:p>
    <w:p w14:paraId="63EC4749" w14:textId="1D86655B" w:rsidR="00030264" w:rsidRDefault="00930372" w:rsidP="009950E6">
      <w:pPr>
        <w:rPr>
          <w:rFonts w:ascii="Segoe UI" w:hAnsi="Segoe UI" w:cs="Segoe UI"/>
        </w:rPr>
      </w:pPr>
      <w:r>
        <w:rPr>
          <w:rFonts w:asciiTheme="majorHAnsi" w:hAnsiTheme="majorHAnsi" w:cstheme="majorBidi"/>
          <w:color w:val="2F5496" w:themeColor="accent1" w:themeShade="BF"/>
          <w:sz w:val="26"/>
          <w:szCs w:val="26"/>
        </w:rPr>
        <w:t xml:space="preserve">Exercise </w:t>
      </w:r>
      <w:r>
        <w:rPr>
          <w:rFonts w:asciiTheme="majorHAnsi" w:hAnsiTheme="majorHAnsi" w:cstheme="majorBidi"/>
          <w:color w:val="2F5496" w:themeColor="accent1" w:themeShade="BF"/>
          <w:sz w:val="26"/>
          <w:szCs w:val="26"/>
        </w:rPr>
        <w:t>3</w:t>
      </w:r>
    </w:p>
    <w:p w14:paraId="50BEBB50" w14:textId="22E83244" w:rsidR="00DB40B9" w:rsidRPr="00DB40B9" w:rsidRDefault="00DB40B9" w:rsidP="00DB40B9">
      <w:pPr>
        <w:shd w:val="clear" w:color="auto" w:fill="FFFFFF"/>
        <w:spacing w:after="0" w:line="285" w:lineRule="atLeast"/>
        <w:rPr>
          <w:rFonts w:ascii="Segoe UI" w:hAnsi="Segoe UI" w:cs="Segoe UI"/>
          <w:b/>
        </w:rPr>
      </w:pPr>
      <w:r w:rsidRPr="00DB40B9">
        <w:rPr>
          <w:rFonts w:ascii="Segoe UI" w:hAnsi="Segoe UI" w:cs="Segoe UI"/>
          <w:b/>
        </w:rPr>
        <w:t xml:space="preserve">Task </w:t>
      </w:r>
      <w:r w:rsidR="00930372">
        <w:rPr>
          <w:rFonts w:ascii="Segoe UI" w:hAnsi="Segoe UI" w:cs="Segoe UI"/>
          <w:b/>
        </w:rPr>
        <w:t>1</w:t>
      </w:r>
      <w:bookmarkStart w:id="0" w:name="_GoBack"/>
      <w:bookmarkEnd w:id="0"/>
      <w:r w:rsidRPr="00DB40B9">
        <w:rPr>
          <w:rFonts w:ascii="Segoe UI" w:hAnsi="Segoe UI" w:cs="Segoe UI"/>
          <w:b/>
        </w:rPr>
        <w:t xml:space="preserve">: </w:t>
      </w:r>
      <w:r w:rsidR="006263C7">
        <w:rPr>
          <w:rFonts w:ascii="Segoe UI" w:hAnsi="Segoe UI" w:cs="Segoe UI"/>
          <w:b/>
        </w:rPr>
        <w:t xml:space="preserve">Design </w:t>
      </w:r>
      <w:r w:rsidR="00480F3D">
        <w:rPr>
          <w:rFonts w:ascii="Segoe UI" w:hAnsi="Segoe UI" w:cs="Segoe UI"/>
          <w:b/>
        </w:rPr>
        <w:t>a Highly Available Solution</w:t>
      </w:r>
    </w:p>
    <w:p w14:paraId="2DA06273" w14:textId="77777777" w:rsidR="00B86102" w:rsidRDefault="00B86102" w:rsidP="00DB40B9">
      <w:pPr>
        <w:shd w:val="clear" w:color="auto" w:fill="FFFFFF"/>
        <w:spacing w:line="285" w:lineRule="atLeast"/>
        <w:rPr>
          <w:rFonts w:ascii="Segoe UI" w:hAnsi="Segoe UI" w:cs="Segoe UI"/>
        </w:rPr>
      </w:pPr>
    </w:p>
    <w:p w14:paraId="639E2012" w14:textId="6EA6B072" w:rsidR="00DB40B9" w:rsidRPr="00DB40B9" w:rsidRDefault="009950E6" w:rsidP="00DB40B9">
      <w:pPr>
        <w:shd w:val="clear" w:color="auto" w:fill="FFFFFF"/>
        <w:spacing w:line="285" w:lineRule="atLeast"/>
        <w:rPr>
          <w:rFonts w:ascii="Segoe UI" w:hAnsi="Segoe UI" w:cs="Segoe UI"/>
        </w:rPr>
      </w:pPr>
      <w:r w:rsidRPr="009950E6">
        <w:rPr>
          <w:rFonts w:ascii="Segoe UI" w:hAnsi="Segoe UI" w:cs="Segoe UI"/>
        </w:rPr>
        <w:t xml:space="preserve">Use the table below to document </w:t>
      </w:r>
      <w:r w:rsidR="00DB40B9" w:rsidRPr="00DB40B9">
        <w:rPr>
          <w:rFonts w:ascii="Segoe UI" w:hAnsi="Segoe UI" w:cs="Segoe UI"/>
        </w:rPr>
        <w:t xml:space="preserve">the </w:t>
      </w:r>
      <w:r w:rsidR="001A46DF">
        <w:rPr>
          <w:rFonts w:ascii="Segoe UI" w:hAnsi="Segoe UI" w:cs="Segoe UI"/>
        </w:rPr>
        <w:t xml:space="preserve">service feature that can support the </w:t>
      </w:r>
      <w:r w:rsidR="00B91AA7">
        <w:rPr>
          <w:rFonts w:ascii="Segoe UI" w:hAnsi="Segoe UI" w:cs="Segoe UI"/>
        </w:rPr>
        <w:t xml:space="preserve">scale </w:t>
      </w:r>
      <w:r w:rsidR="00DB40B9" w:rsidRPr="00DB40B9">
        <w:rPr>
          <w:rFonts w:ascii="Segoe UI" w:hAnsi="Segoe UI" w:cs="Segoe UI"/>
        </w:rPr>
        <w:t xml:space="preserve">requirements </w:t>
      </w:r>
      <w:r w:rsidR="00B91AA7">
        <w:rPr>
          <w:rFonts w:ascii="Segoe UI" w:hAnsi="Segoe UI" w:cs="Segoe UI"/>
        </w:rPr>
        <w:t>for</w:t>
      </w:r>
      <w:r w:rsidR="00DB40B9" w:rsidRPr="00DB40B9">
        <w:rPr>
          <w:rFonts w:ascii="Segoe UI" w:hAnsi="Segoe UI" w:cs="Segoe UI"/>
        </w:rPr>
        <w:t xml:space="preserve"> AdventureWorks.</w:t>
      </w:r>
      <w:r w:rsidR="00B91AA7">
        <w:rPr>
          <w:rFonts w:ascii="Segoe UI" w:hAnsi="Segoe UI" w:cs="Segoe UI"/>
        </w:rPr>
        <w:t xml:space="preserve"> The choice should be justified</w:t>
      </w:r>
      <w:r w:rsidR="001A46DF">
        <w:rPr>
          <w:rFonts w:ascii="Segoe UI" w:hAnsi="Segoe UI" w:cs="Segoe UI"/>
        </w:rPr>
        <w:t>.</w:t>
      </w:r>
    </w:p>
    <w:p w14:paraId="175C2E35" w14:textId="53E1006E" w:rsidR="001C4363" w:rsidRDefault="001C4363" w:rsidP="009950E6">
      <w:pPr>
        <w:rPr>
          <w:rFonts w:ascii="Segoe UI" w:hAnsi="Segoe UI" w:cs="Segoe UI"/>
        </w:rPr>
      </w:pPr>
      <w:r>
        <w:rPr>
          <w:rFonts w:ascii="Segoe UI" w:hAnsi="Segoe UI" w:cs="Segoe UI"/>
        </w:rPr>
        <w:t xml:space="preserve">Below are </w:t>
      </w:r>
      <w:r w:rsidR="00DB40B9">
        <w:rPr>
          <w:rFonts w:ascii="Segoe UI" w:hAnsi="Segoe UI" w:cs="Segoe UI"/>
        </w:rPr>
        <w:t>ex</w:t>
      </w:r>
      <w:r w:rsidR="00B86102">
        <w:rPr>
          <w:rFonts w:ascii="Segoe UI" w:hAnsi="Segoe UI" w:cs="Segoe UI"/>
        </w:rPr>
        <w:t>a</w:t>
      </w:r>
      <w:r>
        <w:rPr>
          <w:rFonts w:ascii="Segoe UI" w:hAnsi="Segoe UI" w:cs="Segoe UI"/>
        </w:rPr>
        <w:t xml:space="preserve">mples of </w:t>
      </w:r>
      <w:r w:rsidR="00FE289A">
        <w:rPr>
          <w:rFonts w:ascii="Segoe UI" w:hAnsi="Segoe UI" w:cs="Segoe UI"/>
        </w:rPr>
        <w:t>the</w:t>
      </w:r>
      <w:r>
        <w:rPr>
          <w:rFonts w:ascii="Segoe UI" w:hAnsi="Segoe UI" w:cs="Segoe UI"/>
        </w:rPr>
        <w:t xml:space="preserve"> requirements </w:t>
      </w:r>
      <w:r w:rsidR="00FE289A">
        <w:rPr>
          <w:rFonts w:ascii="Segoe UI" w:hAnsi="Segoe UI" w:cs="Segoe UI"/>
        </w:rPr>
        <w:t>that could be identified.</w:t>
      </w:r>
    </w:p>
    <w:tbl>
      <w:tblPr>
        <w:tblStyle w:val="TableGrid"/>
        <w:tblW w:w="0" w:type="auto"/>
        <w:tblLook w:val="04A0" w:firstRow="1" w:lastRow="0" w:firstColumn="1" w:lastColumn="0" w:noHBand="0" w:noVBand="1"/>
      </w:tblPr>
      <w:tblGrid>
        <w:gridCol w:w="4531"/>
        <w:gridCol w:w="1985"/>
        <w:gridCol w:w="1701"/>
        <w:gridCol w:w="5245"/>
      </w:tblGrid>
      <w:tr w:rsidR="0023564E" w14:paraId="4273B5F5" w14:textId="601B9D2D" w:rsidTr="0023564E">
        <w:tc>
          <w:tcPr>
            <w:tcW w:w="4531" w:type="dxa"/>
          </w:tcPr>
          <w:p w14:paraId="5C97CED4" w14:textId="2133171B" w:rsidR="0023564E" w:rsidRDefault="0023564E" w:rsidP="009950E6">
            <w:pPr>
              <w:rPr>
                <w:rFonts w:ascii="Segoe UI" w:hAnsi="Segoe UI" w:cs="Segoe UI"/>
              </w:rPr>
            </w:pPr>
            <w:r>
              <w:rPr>
                <w:rFonts w:ascii="Segoe UI" w:hAnsi="Segoe UI" w:cs="Segoe UI"/>
              </w:rPr>
              <w:t>Requirement</w:t>
            </w:r>
          </w:p>
        </w:tc>
        <w:tc>
          <w:tcPr>
            <w:tcW w:w="1985" w:type="dxa"/>
          </w:tcPr>
          <w:p w14:paraId="46E683D7" w14:textId="31C7CE38" w:rsidR="0023564E" w:rsidRDefault="0023564E" w:rsidP="009950E6">
            <w:pPr>
              <w:rPr>
                <w:rFonts w:ascii="Segoe UI" w:hAnsi="Segoe UI" w:cs="Segoe UI"/>
              </w:rPr>
            </w:pPr>
            <w:r>
              <w:rPr>
                <w:rFonts w:ascii="Segoe UI" w:hAnsi="Segoe UI" w:cs="Segoe UI"/>
              </w:rPr>
              <w:t>Service</w:t>
            </w:r>
          </w:p>
        </w:tc>
        <w:tc>
          <w:tcPr>
            <w:tcW w:w="1701" w:type="dxa"/>
          </w:tcPr>
          <w:p w14:paraId="145CAD5E" w14:textId="36D1F291" w:rsidR="0023564E" w:rsidRDefault="0023564E" w:rsidP="009950E6">
            <w:pPr>
              <w:rPr>
                <w:rFonts w:ascii="Segoe UI" w:hAnsi="Segoe UI" w:cs="Segoe UI"/>
              </w:rPr>
            </w:pPr>
            <w:r>
              <w:rPr>
                <w:rFonts w:ascii="Segoe UI" w:hAnsi="Segoe UI" w:cs="Segoe UI"/>
              </w:rPr>
              <w:t>Feature</w:t>
            </w:r>
          </w:p>
        </w:tc>
        <w:tc>
          <w:tcPr>
            <w:tcW w:w="5245" w:type="dxa"/>
          </w:tcPr>
          <w:p w14:paraId="1E69A3D0" w14:textId="78A87D27" w:rsidR="0023564E" w:rsidRDefault="0023564E" w:rsidP="009950E6">
            <w:pPr>
              <w:rPr>
                <w:rFonts w:ascii="Segoe UI" w:hAnsi="Segoe UI" w:cs="Segoe UI"/>
              </w:rPr>
            </w:pPr>
            <w:r>
              <w:rPr>
                <w:rFonts w:ascii="Segoe UI" w:hAnsi="Segoe UI" w:cs="Segoe UI"/>
              </w:rPr>
              <w:t>Justification</w:t>
            </w:r>
          </w:p>
        </w:tc>
      </w:tr>
      <w:tr w:rsidR="0023564E" w14:paraId="39466078" w14:textId="55BE1B95" w:rsidTr="0023564E">
        <w:tc>
          <w:tcPr>
            <w:tcW w:w="4531" w:type="dxa"/>
          </w:tcPr>
          <w:p w14:paraId="2FDF19B2" w14:textId="31E1C2D2" w:rsidR="0023564E" w:rsidRPr="00480F3D" w:rsidRDefault="0023564E" w:rsidP="00F35812">
            <w:pPr>
              <w:shd w:val="clear" w:color="auto" w:fill="FFFFFF"/>
              <w:spacing w:line="285" w:lineRule="atLeast"/>
              <w:rPr>
                <w:rFonts w:ascii="Consolas" w:eastAsia="Times New Roman" w:hAnsi="Consolas" w:cs="Times New Roman"/>
                <w:color w:val="000000"/>
                <w:sz w:val="21"/>
                <w:szCs w:val="21"/>
                <w:lang w:eastAsia="en-GB"/>
              </w:rPr>
            </w:pPr>
            <w:r>
              <w:rPr>
                <w:rFonts w:ascii="Segoe UI" w:hAnsi="Segoe UI" w:cs="Segoe UI"/>
              </w:rPr>
              <w:t xml:space="preserve">To maintain the same level of availability for the mission critical </w:t>
            </w:r>
            <w:r w:rsidRPr="00480F3D">
              <w:rPr>
                <w:rFonts w:ascii="Segoe UI" w:hAnsi="Segoe UI" w:cs="Segoe UI"/>
              </w:rPr>
              <w:t>Current Sales / Ordering system</w:t>
            </w:r>
            <w:r w:rsidRPr="00480F3D">
              <w:rPr>
                <w:rFonts w:ascii="Consolas" w:eastAsia="Times New Roman" w:hAnsi="Consolas" w:cs="Times New Roman"/>
                <w:b/>
                <w:bCs/>
                <w:color w:val="800000"/>
                <w:sz w:val="21"/>
                <w:szCs w:val="21"/>
                <w:lang w:eastAsia="en-GB"/>
              </w:rPr>
              <w:t xml:space="preserve"> </w:t>
            </w:r>
          </w:p>
          <w:p w14:paraId="6C18446E" w14:textId="5B07F02A" w:rsidR="0023564E" w:rsidRDefault="0023564E" w:rsidP="00C22CE1">
            <w:pPr>
              <w:rPr>
                <w:rFonts w:ascii="Segoe UI" w:hAnsi="Segoe UI" w:cs="Segoe UI"/>
              </w:rPr>
            </w:pPr>
          </w:p>
        </w:tc>
        <w:tc>
          <w:tcPr>
            <w:tcW w:w="1985" w:type="dxa"/>
          </w:tcPr>
          <w:p w14:paraId="7A061449" w14:textId="7F37B969" w:rsidR="0023564E" w:rsidRPr="00FF712E" w:rsidRDefault="0023564E" w:rsidP="00B91AA7">
            <w:pPr>
              <w:shd w:val="clear" w:color="auto" w:fill="FFFFFF"/>
              <w:spacing w:line="285" w:lineRule="atLeast"/>
              <w:rPr>
                <w:rFonts w:ascii="Segoe UI" w:hAnsi="Segoe UI" w:cs="Segoe UI"/>
              </w:rPr>
            </w:pPr>
            <w:r>
              <w:rPr>
                <w:rFonts w:ascii="Segoe UI" w:hAnsi="Segoe UI" w:cs="Segoe UI"/>
              </w:rPr>
              <w:t>SQL Database</w:t>
            </w:r>
          </w:p>
        </w:tc>
        <w:tc>
          <w:tcPr>
            <w:tcW w:w="1701" w:type="dxa"/>
          </w:tcPr>
          <w:p w14:paraId="56453D1D" w14:textId="4483048B" w:rsidR="0023564E" w:rsidRPr="00FF712E" w:rsidRDefault="0023564E" w:rsidP="00C22CE1">
            <w:pPr>
              <w:rPr>
                <w:rFonts w:ascii="Segoe UI" w:hAnsi="Segoe UI" w:cs="Segoe UI"/>
              </w:rPr>
            </w:pPr>
            <w:r>
              <w:rPr>
                <w:rFonts w:ascii="Segoe UI" w:hAnsi="Segoe UI" w:cs="Segoe UI"/>
              </w:rPr>
              <w:t>Premium Tier</w:t>
            </w:r>
          </w:p>
        </w:tc>
        <w:tc>
          <w:tcPr>
            <w:tcW w:w="5245" w:type="dxa"/>
          </w:tcPr>
          <w:p w14:paraId="793505BB" w14:textId="607500CD" w:rsidR="0023564E" w:rsidRPr="00FF712E" w:rsidRDefault="0023564E" w:rsidP="00C22CE1">
            <w:pPr>
              <w:rPr>
                <w:rFonts w:ascii="Segoe UI" w:hAnsi="Segoe UI" w:cs="Segoe UI"/>
              </w:rPr>
            </w:pPr>
            <w:r>
              <w:rPr>
                <w:rFonts w:ascii="Segoe UI" w:hAnsi="Segoe UI" w:cs="Segoe UI"/>
                <w:color w:val="000000"/>
                <w:shd w:val="clear" w:color="auto" w:fill="FFFFFF"/>
              </w:rPr>
              <w:t>Premium and Business Critical service tiers leverage the Premium availability model, which integrates compute resources (SQL Server Database Engine process) and storage (locally attached SSD) on a single node. High availability is achieved by replicating both compute and storage to additional nodes creating a three to four-node cluster.</w:t>
            </w:r>
          </w:p>
        </w:tc>
      </w:tr>
      <w:tr w:rsidR="0023564E" w14:paraId="1041BD2B" w14:textId="0229D8A3" w:rsidTr="0023564E">
        <w:tc>
          <w:tcPr>
            <w:tcW w:w="4531" w:type="dxa"/>
          </w:tcPr>
          <w:p w14:paraId="5BEFBAC0" w14:textId="5E2F6BA1" w:rsidR="0023564E" w:rsidRDefault="00F35812" w:rsidP="00F35812">
            <w:pPr>
              <w:shd w:val="clear" w:color="auto" w:fill="FFFFFF"/>
              <w:spacing w:line="285" w:lineRule="atLeast"/>
              <w:rPr>
                <w:rFonts w:ascii="Segoe UI" w:hAnsi="Segoe UI" w:cs="Segoe UI"/>
              </w:rPr>
            </w:pPr>
            <w:r w:rsidRPr="00F35812">
              <w:rPr>
                <w:rFonts w:ascii="Segoe UI" w:hAnsi="Segoe UI" w:cs="Segoe UI"/>
              </w:rPr>
              <w:t>Customer Service / Presales requirement. The customer service / presales chat bot needs to respond to requests for data in near real-time regardless of where the customer is located. As requested by the organization.</w:t>
            </w:r>
            <w:r>
              <w:rPr>
                <w:rFonts w:ascii="Segoe UI" w:hAnsi="Segoe UI" w:cs="Segoe UI"/>
              </w:rPr>
              <w:t xml:space="preserve"> A</w:t>
            </w:r>
            <w:r w:rsidRPr="00F35812">
              <w:rPr>
                <w:rFonts w:ascii="Segoe UI" w:hAnsi="Segoe UI" w:cs="Segoe UI"/>
              </w:rPr>
              <w:t>ll services that are proposed should have a comprehensive business continuity</w:t>
            </w:r>
            <w:r>
              <w:rPr>
                <w:rFonts w:ascii="Segoe UI" w:hAnsi="Segoe UI" w:cs="Segoe UI"/>
              </w:rPr>
              <w:t>.</w:t>
            </w:r>
          </w:p>
        </w:tc>
        <w:tc>
          <w:tcPr>
            <w:tcW w:w="1985" w:type="dxa"/>
          </w:tcPr>
          <w:p w14:paraId="16DC4BD1" w14:textId="5318F029" w:rsidR="0023564E" w:rsidRPr="00FF712E" w:rsidRDefault="00F35812" w:rsidP="00B91AA7">
            <w:pPr>
              <w:shd w:val="clear" w:color="auto" w:fill="FFFFFF"/>
              <w:spacing w:line="285" w:lineRule="atLeast"/>
              <w:rPr>
                <w:rFonts w:ascii="Segoe UI" w:hAnsi="Segoe UI" w:cs="Segoe UI"/>
              </w:rPr>
            </w:pPr>
            <w:r>
              <w:rPr>
                <w:rFonts w:ascii="Segoe UI" w:hAnsi="Segoe UI" w:cs="Segoe UI"/>
              </w:rPr>
              <w:t>Cosmos DB</w:t>
            </w:r>
          </w:p>
        </w:tc>
        <w:tc>
          <w:tcPr>
            <w:tcW w:w="1701" w:type="dxa"/>
          </w:tcPr>
          <w:p w14:paraId="1C555244" w14:textId="1BA67224" w:rsidR="0023564E" w:rsidRPr="00FF712E" w:rsidRDefault="00F35812" w:rsidP="001A46DF">
            <w:pPr>
              <w:shd w:val="clear" w:color="auto" w:fill="FFFFFF"/>
              <w:spacing w:line="285" w:lineRule="atLeast"/>
              <w:rPr>
                <w:rFonts w:ascii="Segoe UI" w:hAnsi="Segoe UI" w:cs="Segoe UI"/>
              </w:rPr>
            </w:pPr>
            <w:r>
              <w:rPr>
                <w:rFonts w:ascii="Segoe UI" w:hAnsi="Segoe UI" w:cs="Segoe UI"/>
              </w:rPr>
              <w:t>Multi region, multiple write replication</w:t>
            </w:r>
          </w:p>
        </w:tc>
        <w:tc>
          <w:tcPr>
            <w:tcW w:w="5245" w:type="dxa"/>
          </w:tcPr>
          <w:p w14:paraId="1A68A8E1" w14:textId="60CAAE7C" w:rsidR="0023564E" w:rsidRPr="00FF712E" w:rsidRDefault="00F35812" w:rsidP="001A46DF">
            <w:pPr>
              <w:shd w:val="clear" w:color="auto" w:fill="FFFFFF"/>
              <w:spacing w:line="285" w:lineRule="atLeast"/>
              <w:rPr>
                <w:rFonts w:ascii="Segoe UI" w:hAnsi="Segoe UI" w:cs="Segoe UI"/>
              </w:rPr>
            </w:pPr>
            <w:r w:rsidRPr="00F35812">
              <w:rPr>
                <w:rFonts w:ascii="Segoe UI" w:hAnsi="Segoe UI" w:cs="Segoe UI"/>
              </w:rPr>
              <w:t>To ensure high write and read availability, configure your Cosmos account to span at least two regions with multiple-write regions. This configuration will provide the highest availability, lowest latency, and best scalability for both reads and writes backed by SLAs. To learn more, see how to configure your Cosmos account with multiple write-regions.</w:t>
            </w:r>
          </w:p>
        </w:tc>
      </w:tr>
      <w:tr w:rsidR="0023564E" w14:paraId="2D70460E" w14:textId="3C23740B" w:rsidTr="0023564E">
        <w:tc>
          <w:tcPr>
            <w:tcW w:w="4531" w:type="dxa"/>
          </w:tcPr>
          <w:p w14:paraId="4502D285" w14:textId="14B48254" w:rsidR="0023564E" w:rsidRDefault="001440A4" w:rsidP="00F35812">
            <w:pPr>
              <w:shd w:val="clear" w:color="auto" w:fill="FFFFFF"/>
              <w:spacing w:line="285" w:lineRule="atLeast"/>
              <w:rPr>
                <w:rFonts w:ascii="Segoe UI" w:hAnsi="Segoe UI" w:cs="Segoe UI"/>
              </w:rPr>
            </w:pPr>
            <w:r>
              <w:rPr>
                <w:rFonts w:ascii="Segoe UI" w:hAnsi="Segoe UI" w:cs="Segoe UI"/>
              </w:rPr>
              <w:t xml:space="preserve">Protection of staging data/predictive analytics source data in the Azure Data Lake </w:t>
            </w:r>
            <w:r>
              <w:rPr>
                <w:rFonts w:ascii="Segoe UI" w:hAnsi="Segoe UI" w:cs="Segoe UI"/>
              </w:rPr>
              <w:lastRenderedPageBreak/>
              <w:t xml:space="preserve">Store meeting the requirement that </w:t>
            </w:r>
            <w:r w:rsidR="00F35812" w:rsidRPr="00F35812">
              <w:rPr>
                <w:rFonts w:ascii="Segoe UI" w:hAnsi="Segoe UI" w:cs="Segoe UI"/>
              </w:rPr>
              <w:t>all services that are proposed should have a comprehensive business continuity</w:t>
            </w:r>
            <w:r w:rsidR="00F35812">
              <w:rPr>
                <w:rFonts w:ascii="Segoe UI" w:hAnsi="Segoe UI" w:cs="Segoe UI"/>
              </w:rPr>
              <w:t>.</w:t>
            </w:r>
          </w:p>
        </w:tc>
        <w:tc>
          <w:tcPr>
            <w:tcW w:w="1985" w:type="dxa"/>
          </w:tcPr>
          <w:p w14:paraId="1852FF20" w14:textId="15CA4D20" w:rsidR="0023564E" w:rsidRPr="00FF712E" w:rsidRDefault="00F35812" w:rsidP="00B91AA7">
            <w:pPr>
              <w:shd w:val="clear" w:color="auto" w:fill="FFFFFF"/>
              <w:spacing w:line="285" w:lineRule="atLeast"/>
              <w:rPr>
                <w:rFonts w:ascii="Segoe UI" w:hAnsi="Segoe UI" w:cs="Segoe UI"/>
              </w:rPr>
            </w:pPr>
            <w:r>
              <w:rPr>
                <w:rFonts w:ascii="Segoe UI" w:hAnsi="Segoe UI" w:cs="Segoe UI"/>
              </w:rPr>
              <w:lastRenderedPageBreak/>
              <w:t>Data Lake Store Gen II</w:t>
            </w:r>
          </w:p>
        </w:tc>
        <w:tc>
          <w:tcPr>
            <w:tcW w:w="1701" w:type="dxa"/>
          </w:tcPr>
          <w:p w14:paraId="43123B0D" w14:textId="2AC700EC" w:rsidR="0023564E" w:rsidRPr="00FF712E" w:rsidRDefault="001440A4" w:rsidP="00EA0419">
            <w:pPr>
              <w:rPr>
                <w:rFonts w:ascii="Segoe UI" w:hAnsi="Segoe UI" w:cs="Segoe UI"/>
              </w:rPr>
            </w:pPr>
            <w:r>
              <w:rPr>
                <w:rFonts w:ascii="Segoe UI" w:hAnsi="Segoe UI" w:cs="Segoe UI"/>
                <w:color w:val="000000"/>
                <w:shd w:val="clear" w:color="auto" w:fill="FFFFFF"/>
              </w:rPr>
              <w:t xml:space="preserve">Read-access geo-redundant </w:t>
            </w:r>
            <w:r>
              <w:rPr>
                <w:rFonts w:ascii="Segoe UI" w:hAnsi="Segoe UI" w:cs="Segoe UI"/>
                <w:color w:val="000000"/>
                <w:shd w:val="clear" w:color="auto" w:fill="FFFFFF"/>
              </w:rPr>
              <w:lastRenderedPageBreak/>
              <w:t>storage (RA-GRS)</w:t>
            </w:r>
          </w:p>
        </w:tc>
        <w:tc>
          <w:tcPr>
            <w:tcW w:w="5245" w:type="dxa"/>
          </w:tcPr>
          <w:p w14:paraId="37278C3C" w14:textId="16BBE45E" w:rsidR="0023564E" w:rsidRPr="00FF712E" w:rsidRDefault="001440A4" w:rsidP="00EA0419">
            <w:pPr>
              <w:rPr>
                <w:rFonts w:ascii="Segoe UI" w:hAnsi="Segoe UI" w:cs="Segoe UI"/>
              </w:rPr>
            </w:pPr>
            <w:r>
              <w:rPr>
                <w:rFonts w:ascii="Segoe UI" w:hAnsi="Segoe UI" w:cs="Segoe UI"/>
                <w:color w:val="000000"/>
                <w:shd w:val="clear" w:color="auto" w:fill="FFFFFF"/>
              </w:rPr>
              <w:lastRenderedPageBreak/>
              <w:t>Read-access geo-redundant storage (RA-GRS) maximizes availability for your storage account. RA-</w:t>
            </w:r>
            <w:r>
              <w:rPr>
                <w:rFonts w:ascii="Segoe UI" w:hAnsi="Segoe UI" w:cs="Segoe UI"/>
                <w:color w:val="000000"/>
                <w:shd w:val="clear" w:color="auto" w:fill="FFFFFF"/>
              </w:rPr>
              <w:lastRenderedPageBreak/>
              <w:t>GRS provides read-only access to the data in the secondary location, in addition to geo-replication across two regions.</w:t>
            </w:r>
          </w:p>
        </w:tc>
      </w:tr>
      <w:tr w:rsidR="0023564E" w14:paraId="52720221" w14:textId="033BA328" w:rsidTr="0023564E">
        <w:tc>
          <w:tcPr>
            <w:tcW w:w="4531" w:type="dxa"/>
          </w:tcPr>
          <w:p w14:paraId="028B8B58" w14:textId="048CA01C" w:rsidR="0023564E" w:rsidRDefault="00A334A0" w:rsidP="001A46DF">
            <w:pPr>
              <w:rPr>
                <w:rFonts w:ascii="Segoe UI" w:hAnsi="Segoe UI" w:cs="Segoe UI"/>
              </w:rPr>
            </w:pPr>
            <w:r>
              <w:rPr>
                <w:rFonts w:ascii="Segoe UI" w:hAnsi="Segoe UI" w:cs="Segoe UI"/>
              </w:rPr>
              <w:lastRenderedPageBreak/>
              <w:t>No availability feature</w:t>
            </w:r>
          </w:p>
        </w:tc>
        <w:tc>
          <w:tcPr>
            <w:tcW w:w="1985" w:type="dxa"/>
          </w:tcPr>
          <w:p w14:paraId="3E6D5C73" w14:textId="31C401BE" w:rsidR="0023564E" w:rsidRPr="00FF712E" w:rsidRDefault="00A334A0" w:rsidP="001A46DF">
            <w:pPr>
              <w:shd w:val="clear" w:color="auto" w:fill="FFFFFF"/>
              <w:spacing w:line="285" w:lineRule="atLeast"/>
              <w:rPr>
                <w:rFonts w:ascii="Segoe UI" w:hAnsi="Segoe UI" w:cs="Segoe UI"/>
              </w:rPr>
            </w:pPr>
            <w:r>
              <w:rPr>
                <w:rFonts w:ascii="Segoe UI" w:hAnsi="Segoe UI" w:cs="Segoe UI"/>
              </w:rPr>
              <w:t>SQL Data Warehouse</w:t>
            </w:r>
          </w:p>
        </w:tc>
        <w:tc>
          <w:tcPr>
            <w:tcW w:w="1701" w:type="dxa"/>
          </w:tcPr>
          <w:p w14:paraId="04808B70" w14:textId="7CE63C6C" w:rsidR="0023564E" w:rsidRPr="004D4824" w:rsidRDefault="00A334A0" w:rsidP="004D4824">
            <w:pPr>
              <w:shd w:val="clear" w:color="auto" w:fill="FFFFFF"/>
              <w:spacing w:line="285" w:lineRule="atLeast"/>
              <w:rPr>
                <w:rFonts w:ascii="Segoe UI" w:hAnsi="Segoe UI" w:cs="Segoe UI"/>
                <w:color w:val="000000"/>
                <w:shd w:val="clear" w:color="auto" w:fill="FFFFFF"/>
              </w:rPr>
            </w:pPr>
            <w:r>
              <w:rPr>
                <w:rFonts w:ascii="Segoe UI" w:hAnsi="Segoe UI" w:cs="Segoe UI"/>
                <w:color w:val="000000"/>
                <w:shd w:val="clear" w:color="auto" w:fill="FFFFFF"/>
              </w:rPr>
              <w:t>N/A</w:t>
            </w:r>
          </w:p>
        </w:tc>
        <w:tc>
          <w:tcPr>
            <w:tcW w:w="5245" w:type="dxa"/>
          </w:tcPr>
          <w:p w14:paraId="21EEE257" w14:textId="7C35968E" w:rsidR="0023564E" w:rsidRPr="004D4824" w:rsidRDefault="00A334A0" w:rsidP="004D4824">
            <w:pPr>
              <w:shd w:val="clear" w:color="auto" w:fill="FFFFFF"/>
              <w:spacing w:line="285" w:lineRule="atLeast"/>
              <w:rPr>
                <w:rFonts w:ascii="Segoe UI" w:hAnsi="Segoe UI" w:cs="Segoe UI"/>
                <w:color w:val="000000"/>
                <w:shd w:val="clear" w:color="auto" w:fill="FFFFFF"/>
              </w:rPr>
            </w:pPr>
            <w:r>
              <w:rPr>
                <w:rFonts w:ascii="Segoe UI" w:hAnsi="Segoe UI" w:cs="Segoe UI"/>
                <w:color w:val="000000"/>
                <w:shd w:val="clear" w:color="auto" w:fill="FFFFFF"/>
              </w:rPr>
              <w:t>N/A</w:t>
            </w:r>
          </w:p>
        </w:tc>
      </w:tr>
      <w:tr w:rsidR="00A334A0" w14:paraId="6E0B8EB7" w14:textId="646DEEE9" w:rsidTr="0023564E">
        <w:tc>
          <w:tcPr>
            <w:tcW w:w="4531" w:type="dxa"/>
          </w:tcPr>
          <w:p w14:paraId="1E243F1F" w14:textId="4F95D5C5" w:rsidR="00A334A0" w:rsidRDefault="00A334A0" w:rsidP="00A334A0">
            <w:pPr>
              <w:rPr>
                <w:rFonts w:ascii="Segoe UI" w:hAnsi="Segoe UI" w:cs="Segoe UI"/>
              </w:rPr>
            </w:pPr>
            <w:r>
              <w:rPr>
                <w:rFonts w:ascii="Segoe UI" w:hAnsi="Segoe UI" w:cs="Segoe UI"/>
              </w:rPr>
              <w:t>No availability feature</w:t>
            </w:r>
          </w:p>
        </w:tc>
        <w:tc>
          <w:tcPr>
            <w:tcW w:w="1985" w:type="dxa"/>
          </w:tcPr>
          <w:p w14:paraId="6F9654D6" w14:textId="6BBEB6BA" w:rsidR="00A334A0" w:rsidRPr="00FF712E" w:rsidRDefault="00A334A0" w:rsidP="00A334A0">
            <w:pPr>
              <w:shd w:val="clear" w:color="auto" w:fill="FFFFFF"/>
              <w:spacing w:line="285" w:lineRule="atLeast"/>
              <w:rPr>
                <w:rFonts w:ascii="Segoe UI" w:hAnsi="Segoe UI" w:cs="Segoe UI"/>
              </w:rPr>
            </w:pPr>
            <w:r>
              <w:rPr>
                <w:rFonts w:ascii="Segoe UI" w:hAnsi="Segoe UI" w:cs="Segoe UI"/>
              </w:rPr>
              <w:t>Azure Stream Analytics</w:t>
            </w:r>
          </w:p>
        </w:tc>
        <w:tc>
          <w:tcPr>
            <w:tcW w:w="1701" w:type="dxa"/>
          </w:tcPr>
          <w:p w14:paraId="75418801" w14:textId="15CD3E79" w:rsidR="00A334A0" w:rsidRPr="00FF712E" w:rsidRDefault="00A334A0" w:rsidP="00A334A0">
            <w:pPr>
              <w:rPr>
                <w:rFonts w:ascii="Segoe UI" w:hAnsi="Segoe UI" w:cs="Segoe UI"/>
              </w:rPr>
            </w:pPr>
            <w:r>
              <w:rPr>
                <w:rFonts w:ascii="Segoe UI" w:hAnsi="Segoe UI" w:cs="Segoe UI"/>
                <w:color w:val="000000"/>
                <w:shd w:val="clear" w:color="auto" w:fill="FFFFFF"/>
              </w:rPr>
              <w:t>N/A</w:t>
            </w:r>
          </w:p>
        </w:tc>
        <w:tc>
          <w:tcPr>
            <w:tcW w:w="5245" w:type="dxa"/>
          </w:tcPr>
          <w:p w14:paraId="6873402D" w14:textId="7DE26253" w:rsidR="00A334A0" w:rsidRPr="00FF712E" w:rsidRDefault="00A334A0" w:rsidP="00A334A0">
            <w:pPr>
              <w:rPr>
                <w:rFonts w:ascii="Segoe UI" w:hAnsi="Segoe UI" w:cs="Segoe UI"/>
              </w:rPr>
            </w:pPr>
            <w:r>
              <w:rPr>
                <w:rFonts w:ascii="Segoe UI" w:hAnsi="Segoe UI" w:cs="Segoe UI"/>
                <w:color w:val="000000"/>
                <w:shd w:val="clear" w:color="auto" w:fill="FFFFFF"/>
              </w:rPr>
              <w:t>N/A</w:t>
            </w:r>
          </w:p>
        </w:tc>
      </w:tr>
      <w:tr w:rsidR="00A334A0" w14:paraId="3825779D" w14:textId="77777777" w:rsidTr="0023564E">
        <w:tc>
          <w:tcPr>
            <w:tcW w:w="4531" w:type="dxa"/>
          </w:tcPr>
          <w:p w14:paraId="71213474" w14:textId="1112462B" w:rsidR="00A334A0" w:rsidRDefault="00A334A0" w:rsidP="00A334A0">
            <w:pPr>
              <w:rPr>
                <w:rFonts w:ascii="Segoe UI" w:hAnsi="Segoe UI" w:cs="Segoe UI"/>
              </w:rPr>
            </w:pPr>
            <w:r>
              <w:rPr>
                <w:rFonts w:ascii="Segoe UI" w:hAnsi="Segoe UI" w:cs="Segoe UI"/>
              </w:rPr>
              <w:t>No availability feature</w:t>
            </w:r>
          </w:p>
        </w:tc>
        <w:tc>
          <w:tcPr>
            <w:tcW w:w="1985" w:type="dxa"/>
          </w:tcPr>
          <w:p w14:paraId="21E6333D" w14:textId="64AC6CF3" w:rsidR="00A334A0" w:rsidRDefault="00A334A0" w:rsidP="00A334A0">
            <w:pPr>
              <w:shd w:val="clear" w:color="auto" w:fill="FFFFFF"/>
              <w:spacing w:line="285" w:lineRule="atLeast"/>
              <w:rPr>
                <w:rFonts w:ascii="Segoe UI" w:hAnsi="Segoe UI" w:cs="Segoe UI"/>
              </w:rPr>
            </w:pPr>
            <w:r>
              <w:rPr>
                <w:rFonts w:ascii="Segoe UI" w:hAnsi="Segoe UI" w:cs="Segoe UI"/>
              </w:rPr>
              <w:t>Azure Data Factory</w:t>
            </w:r>
          </w:p>
        </w:tc>
        <w:tc>
          <w:tcPr>
            <w:tcW w:w="1701" w:type="dxa"/>
          </w:tcPr>
          <w:p w14:paraId="1748709F" w14:textId="60CEA5DF" w:rsidR="00A334A0" w:rsidRDefault="00A334A0" w:rsidP="00A334A0">
            <w:pPr>
              <w:rPr>
                <w:rFonts w:ascii="Segoe UI" w:hAnsi="Segoe UI" w:cs="Segoe UI"/>
                <w:color w:val="000000"/>
                <w:shd w:val="clear" w:color="auto" w:fill="FFFFFF"/>
              </w:rPr>
            </w:pPr>
            <w:r>
              <w:rPr>
                <w:rFonts w:ascii="Segoe UI" w:hAnsi="Segoe UI" w:cs="Segoe UI"/>
                <w:color w:val="000000"/>
                <w:shd w:val="clear" w:color="auto" w:fill="FFFFFF"/>
              </w:rPr>
              <w:t>N/A</w:t>
            </w:r>
          </w:p>
        </w:tc>
        <w:tc>
          <w:tcPr>
            <w:tcW w:w="5245" w:type="dxa"/>
          </w:tcPr>
          <w:p w14:paraId="511545D9" w14:textId="72BE4E80" w:rsidR="00A334A0" w:rsidRDefault="00A334A0" w:rsidP="00A334A0">
            <w:pPr>
              <w:rPr>
                <w:rFonts w:ascii="Segoe UI" w:hAnsi="Segoe UI" w:cs="Segoe UI"/>
                <w:color w:val="000000"/>
                <w:shd w:val="clear" w:color="auto" w:fill="FFFFFF"/>
              </w:rPr>
            </w:pPr>
            <w:r>
              <w:rPr>
                <w:rFonts w:ascii="Segoe UI" w:hAnsi="Segoe UI" w:cs="Segoe UI"/>
                <w:color w:val="000000"/>
                <w:shd w:val="clear" w:color="auto" w:fill="FFFFFF"/>
              </w:rPr>
              <w:t>N/A</w:t>
            </w:r>
          </w:p>
        </w:tc>
      </w:tr>
    </w:tbl>
    <w:p w14:paraId="4879D390" w14:textId="13416D13" w:rsidR="009950E6" w:rsidRDefault="009950E6" w:rsidP="009950E6">
      <w:pPr>
        <w:rPr>
          <w:rFonts w:ascii="Segoe UI" w:hAnsi="Segoe UI" w:cs="Segoe UI"/>
        </w:rPr>
      </w:pPr>
    </w:p>
    <w:p w14:paraId="50022F1E" w14:textId="7ED67B18" w:rsidR="00B86102" w:rsidRDefault="00B86102" w:rsidP="009950E6">
      <w:pPr>
        <w:rPr>
          <w:rFonts w:ascii="Segoe UI" w:hAnsi="Segoe UI" w:cs="Segoe UI"/>
        </w:rPr>
      </w:pPr>
    </w:p>
    <w:p w14:paraId="053D48D3" w14:textId="77777777" w:rsidR="00B86102" w:rsidRDefault="00B86102" w:rsidP="009950E6">
      <w:pPr>
        <w:rPr>
          <w:rFonts w:ascii="Segoe UI" w:hAnsi="Segoe UI" w:cs="Segoe UI"/>
        </w:rPr>
      </w:pPr>
    </w:p>
    <w:sectPr w:rsidR="00B86102" w:rsidSect="00B8610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FD4F6" w14:textId="77777777" w:rsidR="004F4E63" w:rsidRDefault="004F4E63" w:rsidP="00930372">
      <w:pPr>
        <w:spacing w:after="0" w:line="240" w:lineRule="auto"/>
      </w:pPr>
      <w:r>
        <w:separator/>
      </w:r>
    </w:p>
  </w:endnote>
  <w:endnote w:type="continuationSeparator" w:id="0">
    <w:p w14:paraId="7ED1ADFD" w14:textId="77777777" w:rsidR="004F4E63" w:rsidRDefault="004F4E63" w:rsidP="00930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DB4B3" w14:textId="77777777" w:rsidR="004F4E63" w:rsidRDefault="004F4E63" w:rsidP="00930372">
      <w:pPr>
        <w:spacing w:after="0" w:line="240" w:lineRule="auto"/>
      </w:pPr>
      <w:r>
        <w:separator/>
      </w:r>
    </w:p>
  </w:footnote>
  <w:footnote w:type="continuationSeparator" w:id="0">
    <w:p w14:paraId="76974AFA" w14:textId="77777777" w:rsidR="004F4E63" w:rsidRDefault="004F4E63" w:rsidP="009303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1440A4"/>
    <w:rsid w:val="00183978"/>
    <w:rsid w:val="001A46DF"/>
    <w:rsid w:val="001C4363"/>
    <w:rsid w:val="0023564E"/>
    <w:rsid w:val="002B460E"/>
    <w:rsid w:val="00480F3D"/>
    <w:rsid w:val="004D4824"/>
    <w:rsid w:val="004E1798"/>
    <w:rsid w:val="004F4E63"/>
    <w:rsid w:val="00512B88"/>
    <w:rsid w:val="0053286B"/>
    <w:rsid w:val="005B38FA"/>
    <w:rsid w:val="005C42C2"/>
    <w:rsid w:val="006263C7"/>
    <w:rsid w:val="00743378"/>
    <w:rsid w:val="00873EB9"/>
    <w:rsid w:val="00916EFB"/>
    <w:rsid w:val="00930372"/>
    <w:rsid w:val="00946287"/>
    <w:rsid w:val="00951F1F"/>
    <w:rsid w:val="009950E6"/>
    <w:rsid w:val="00A334A0"/>
    <w:rsid w:val="00A9519C"/>
    <w:rsid w:val="00B16EE3"/>
    <w:rsid w:val="00B426B4"/>
    <w:rsid w:val="00B86102"/>
    <w:rsid w:val="00B91AA7"/>
    <w:rsid w:val="00B94AF8"/>
    <w:rsid w:val="00C22CE1"/>
    <w:rsid w:val="00D408B8"/>
    <w:rsid w:val="00DB40B9"/>
    <w:rsid w:val="00DE5FCF"/>
    <w:rsid w:val="00EA0419"/>
    <w:rsid w:val="00F35812"/>
    <w:rsid w:val="00FE289A"/>
    <w:rsid w:val="00FF7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B6D1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54258">
      <w:bodyDiv w:val="1"/>
      <w:marLeft w:val="0"/>
      <w:marRight w:val="0"/>
      <w:marTop w:val="0"/>
      <w:marBottom w:val="0"/>
      <w:divBdr>
        <w:top w:val="none" w:sz="0" w:space="0" w:color="auto"/>
        <w:left w:val="none" w:sz="0" w:space="0" w:color="auto"/>
        <w:bottom w:val="none" w:sz="0" w:space="0" w:color="auto"/>
        <w:right w:val="none" w:sz="0" w:space="0" w:color="auto"/>
      </w:divBdr>
      <w:divsChild>
        <w:div w:id="372268822">
          <w:marLeft w:val="0"/>
          <w:marRight w:val="0"/>
          <w:marTop w:val="0"/>
          <w:marBottom w:val="0"/>
          <w:divBdr>
            <w:top w:val="none" w:sz="0" w:space="0" w:color="auto"/>
            <w:left w:val="none" w:sz="0" w:space="0" w:color="auto"/>
            <w:bottom w:val="none" w:sz="0" w:space="0" w:color="auto"/>
            <w:right w:val="none" w:sz="0" w:space="0" w:color="auto"/>
          </w:divBdr>
          <w:divsChild>
            <w:div w:id="16086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4968">
      <w:bodyDiv w:val="1"/>
      <w:marLeft w:val="0"/>
      <w:marRight w:val="0"/>
      <w:marTop w:val="0"/>
      <w:marBottom w:val="0"/>
      <w:divBdr>
        <w:top w:val="none" w:sz="0" w:space="0" w:color="auto"/>
        <w:left w:val="none" w:sz="0" w:space="0" w:color="auto"/>
        <w:bottom w:val="none" w:sz="0" w:space="0" w:color="auto"/>
        <w:right w:val="none" w:sz="0" w:space="0" w:color="auto"/>
      </w:divBdr>
      <w:divsChild>
        <w:div w:id="654341925">
          <w:marLeft w:val="0"/>
          <w:marRight w:val="0"/>
          <w:marTop w:val="0"/>
          <w:marBottom w:val="0"/>
          <w:divBdr>
            <w:top w:val="none" w:sz="0" w:space="0" w:color="auto"/>
            <w:left w:val="none" w:sz="0" w:space="0" w:color="auto"/>
            <w:bottom w:val="none" w:sz="0" w:space="0" w:color="auto"/>
            <w:right w:val="none" w:sz="0" w:space="0" w:color="auto"/>
          </w:divBdr>
          <w:divsChild>
            <w:div w:id="4083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437">
      <w:bodyDiv w:val="1"/>
      <w:marLeft w:val="0"/>
      <w:marRight w:val="0"/>
      <w:marTop w:val="0"/>
      <w:marBottom w:val="0"/>
      <w:divBdr>
        <w:top w:val="none" w:sz="0" w:space="0" w:color="auto"/>
        <w:left w:val="none" w:sz="0" w:space="0" w:color="auto"/>
        <w:bottom w:val="none" w:sz="0" w:space="0" w:color="auto"/>
        <w:right w:val="none" w:sz="0" w:space="0" w:color="auto"/>
      </w:divBdr>
      <w:divsChild>
        <w:div w:id="1681201744">
          <w:marLeft w:val="0"/>
          <w:marRight w:val="0"/>
          <w:marTop w:val="0"/>
          <w:marBottom w:val="0"/>
          <w:divBdr>
            <w:top w:val="none" w:sz="0" w:space="0" w:color="auto"/>
            <w:left w:val="none" w:sz="0" w:space="0" w:color="auto"/>
            <w:bottom w:val="none" w:sz="0" w:space="0" w:color="auto"/>
            <w:right w:val="none" w:sz="0" w:space="0" w:color="auto"/>
          </w:divBdr>
          <w:divsChild>
            <w:div w:id="18114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8803">
      <w:bodyDiv w:val="1"/>
      <w:marLeft w:val="0"/>
      <w:marRight w:val="0"/>
      <w:marTop w:val="0"/>
      <w:marBottom w:val="0"/>
      <w:divBdr>
        <w:top w:val="none" w:sz="0" w:space="0" w:color="auto"/>
        <w:left w:val="none" w:sz="0" w:space="0" w:color="auto"/>
        <w:bottom w:val="none" w:sz="0" w:space="0" w:color="auto"/>
        <w:right w:val="none" w:sz="0" w:space="0" w:color="auto"/>
      </w:divBdr>
      <w:divsChild>
        <w:div w:id="295062841">
          <w:marLeft w:val="0"/>
          <w:marRight w:val="0"/>
          <w:marTop w:val="0"/>
          <w:marBottom w:val="0"/>
          <w:divBdr>
            <w:top w:val="none" w:sz="0" w:space="0" w:color="auto"/>
            <w:left w:val="none" w:sz="0" w:space="0" w:color="auto"/>
            <w:bottom w:val="none" w:sz="0" w:space="0" w:color="auto"/>
            <w:right w:val="none" w:sz="0" w:space="0" w:color="auto"/>
          </w:divBdr>
          <w:divsChild>
            <w:div w:id="1725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8228">
      <w:bodyDiv w:val="1"/>
      <w:marLeft w:val="0"/>
      <w:marRight w:val="0"/>
      <w:marTop w:val="0"/>
      <w:marBottom w:val="0"/>
      <w:divBdr>
        <w:top w:val="none" w:sz="0" w:space="0" w:color="auto"/>
        <w:left w:val="none" w:sz="0" w:space="0" w:color="auto"/>
        <w:bottom w:val="none" w:sz="0" w:space="0" w:color="auto"/>
        <w:right w:val="none" w:sz="0" w:space="0" w:color="auto"/>
      </w:divBdr>
      <w:divsChild>
        <w:div w:id="1114787022">
          <w:marLeft w:val="0"/>
          <w:marRight w:val="0"/>
          <w:marTop w:val="0"/>
          <w:marBottom w:val="0"/>
          <w:divBdr>
            <w:top w:val="none" w:sz="0" w:space="0" w:color="auto"/>
            <w:left w:val="none" w:sz="0" w:space="0" w:color="auto"/>
            <w:bottom w:val="none" w:sz="0" w:space="0" w:color="auto"/>
            <w:right w:val="none" w:sz="0" w:space="0" w:color="auto"/>
          </w:divBdr>
          <w:divsChild>
            <w:div w:id="11664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4729">
      <w:bodyDiv w:val="1"/>
      <w:marLeft w:val="0"/>
      <w:marRight w:val="0"/>
      <w:marTop w:val="0"/>
      <w:marBottom w:val="0"/>
      <w:divBdr>
        <w:top w:val="none" w:sz="0" w:space="0" w:color="auto"/>
        <w:left w:val="none" w:sz="0" w:space="0" w:color="auto"/>
        <w:bottom w:val="none" w:sz="0" w:space="0" w:color="auto"/>
        <w:right w:val="none" w:sz="0" w:space="0" w:color="auto"/>
      </w:divBdr>
      <w:divsChild>
        <w:div w:id="565528004">
          <w:marLeft w:val="0"/>
          <w:marRight w:val="0"/>
          <w:marTop w:val="0"/>
          <w:marBottom w:val="0"/>
          <w:divBdr>
            <w:top w:val="none" w:sz="0" w:space="0" w:color="auto"/>
            <w:left w:val="none" w:sz="0" w:space="0" w:color="auto"/>
            <w:bottom w:val="none" w:sz="0" w:space="0" w:color="auto"/>
            <w:right w:val="none" w:sz="0" w:space="0" w:color="auto"/>
          </w:divBdr>
          <w:divsChild>
            <w:div w:id="20811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100">
      <w:bodyDiv w:val="1"/>
      <w:marLeft w:val="0"/>
      <w:marRight w:val="0"/>
      <w:marTop w:val="0"/>
      <w:marBottom w:val="0"/>
      <w:divBdr>
        <w:top w:val="none" w:sz="0" w:space="0" w:color="auto"/>
        <w:left w:val="none" w:sz="0" w:space="0" w:color="auto"/>
        <w:bottom w:val="none" w:sz="0" w:space="0" w:color="auto"/>
        <w:right w:val="none" w:sz="0" w:space="0" w:color="auto"/>
      </w:divBdr>
      <w:divsChild>
        <w:div w:id="1961718953">
          <w:marLeft w:val="0"/>
          <w:marRight w:val="0"/>
          <w:marTop w:val="0"/>
          <w:marBottom w:val="0"/>
          <w:divBdr>
            <w:top w:val="none" w:sz="0" w:space="0" w:color="auto"/>
            <w:left w:val="none" w:sz="0" w:space="0" w:color="auto"/>
            <w:bottom w:val="none" w:sz="0" w:space="0" w:color="auto"/>
            <w:right w:val="none" w:sz="0" w:space="0" w:color="auto"/>
          </w:divBdr>
          <w:divsChild>
            <w:div w:id="12991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5436">
      <w:bodyDiv w:val="1"/>
      <w:marLeft w:val="0"/>
      <w:marRight w:val="0"/>
      <w:marTop w:val="0"/>
      <w:marBottom w:val="0"/>
      <w:divBdr>
        <w:top w:val="none" w:sz="0" w:space="0" w:color="auto"/>
        <w:left w:val="none" w:sz="0" w:space="0" w:color="auto"/>
        <w:bottom w:val="none" w:sz="0" w:space="0" w:color="auto"/>
        <w:right w:val="none" w:sz="0" w:space="0" w:color="auto"/>
      </w:divBdr>
      <w:divsChild>
        <w:div w:id="339354764">
          <w:marLeft w:val="0"/>
          <w:marRight w:val="0"/>
          <w:marTop w:val="0"/>
          <w:marBottom w:val="0"/>
          <w:divBdr>
            <w:top w:val="none" w:sz="0" w:space="0" w:color="auto"/>
            <w:left w:val="none" w:sz="0" w:space="0" w:color="auto"/>
            <w:bottom w:val="none" w:sz="0" w:space="0" w:color="auto"/>
            <w:right w:val="none" w:sz="0" w:space="0" w:color="auto"/>
          </w:divBdr>
          <w:divsChild>
            <w:div w:id="807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6361">
      <w:bodyDiv w:val="1"/>
      <w:marLeft w:val="0"/>
      <w:marRight w:val="0"/>
      <w:marTop w:val="0"/>
      <w:marBottom w:val="0"/>
      <w:divBdr>
        <w:top w:val="none" w:sz="0" w:space="0" w:color="auto"/>
        <w:left w:val="none" w:sz="0" w:space="0" w:color="auto"/>
        <w:bottom w:val="none" w:sz="0" w:space="0" w:color="auto"/>
        <w:right w:val="none" w:sz="0" w:space="0" w:color="auto"/>
      </w:divBdr>
      <w:divsChild>
        <w:div w:id="95492376">
          <w:marLeft w:val="0"/>
          <w:marRight w:val="0"/>
          <w:marTop w:val="0"/>
          <w:marBottom w:val="0"/>
          <w:divBdr>
            <w:top w:val="none" w:sz="0" w:space="0" w:color="auto"/>
            <w:left w:val="none" w:sz="0" w:space="0" w:color="auto"/>
            <w:bottom w:val="none" w:sz="0" w:space="0" w:color="auto"/>
            <w:right w:val="none" w:sz="0" w:space="0" w:color="auto"/>
          </w:divBdr>
          <w:divsChild>
            <w:div w:id="7405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9461">
      <w:bodyDiv w:val="1"/>
      <w:marLeft w:val="0"/>
      <w:marRight w:val="0"/>
      <w:marTop w:val="0"/>
      <w:marBottom w:val="0"/>
      <w:divBdr>
        <w:top w:val="none" w:sz="0" w:space="0" w:color="auto"/>
        <w:left w:val="none" w:sz="0" w:space="0" w:color="auto"/>
        <w:bottom w:val="none" w:sz="0" w:space="0" w:color="auto"/>
        <w:right w:val="none" w:sz="0" w:space="0" w:color="auto"/>
      </w:divBdr>
      <w:divsChild>
        <w:div w:id="1153176703">
          <w:marLeft w:val="0"/>
          <w:marRight w:val="0"/>
          <w:marTop w:val="0"/>
          <w:marBottom w:val="0"/>
          <w:divBdr>
            <w:top w:val="none" w:sz="0" w:space="0" w:color="auto"/>
            <w:left w:val="none" w:sz="0" w:space="0" w:color="auto"/>
            <w:bottom w:val="none" w:sz="0" w:space="0" w:color="auto"/>
            <w:right w:val="none" w:sz="0" w:space="0" w:color="auto"/>
          </w:divBdr>
          <w:divsChild>
            <w:div w:id="8925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3754">
      <w:bodyDiv w:val="1"/>
      <w:marLeft w:val="0"/>
      <w:marRight w:val="0"/>
      <w:marTop w:val="0"/>
      <w:marBottom w:val="0"/>
      <w:divBdr>
        <w:top w:val="none" w:sz="0" w:space="0" w:color="auto"/>
        <w:left w:val="none" w:sz="0" w:space="0" w:color="auto"/>
        <w:bottom w:val="none" w:sz="0" w:space="0" w:color="auto"/>
        <w:right w:val="none" w:sz="0" w:space="0" w:color="auto"/>
      </w:divBdr>
      <w:divsChild>
        <w:div w:id="1362242475">
          <w:marLeft w:val="0"/>
          <w:marRight w:val="0"/>
          <w:marTop w:val="0"/>
          <w:marBottom w:val="0"/>
          <w:divBdr>
            <w:top w:val="none" w:sz="0" w:space="0" w:color="auto"/>
            <w:left w:val="none" w:sz="0" w:space="0" w:color="auto"/>
            <w:bottom w:val="none" w:sz="0" w:space="0" w:color="auto"/>
            <w:right w:val="none" w:sz="0" w:space="0" w:color="auto"/>
          </w:divBdr>
          <w:divsChild>
            <w:div w:id="11638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1077">
      <w:bodyDiv w:val="1"/>
      <w:marLeft w:val="0"/>
      <w:marRight w:val="0"/>
      <w:marTop w:val="0"/>
      <w:marBottom w:val="0"/>
      <w:divBdr>
        <w:top w:val="none" w:sz="0" w:space="0" w:color="auto"/>
        <w:left w:val="none" w:sz="0" w:space="0" w:color="auto"/>
        <w:bottom w:val="none" w:sz="0" w:space="0" w:color="auto"/>
        <w:right w:val="none" w:sz="0" w:space="0" w:color="auto"/>
      </w:divBdr>
      <w:divsChild>
        <w:div w:id="1193962636">
          <w:marLeft w:val="0"/>
          <w:marRight w:val="0"/>
          <w:marTop w:val="0"/>
          <w:marBottom w:val="0"/>
          <w:divBdr>
            <w:top w:val="none" w:sz="0" w:space="0" w:color="auto"/>
            <w:left w:val="none" w:sz="0" w:space="0" w:color="auto"/>
            <w:bottom w:val="none" w:sz="0" w:space="0" w:color="auto"/>
            <w:right w:val="none" w:sz="0" w:space="0" w:color="auto"/>
          </w:divBdr>
          <w:divsChild>
            <w:div w:id="21290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9813">
      <w:bodyDiv w:val="1"/>
      <w:marLeft w:val="0"/>
      <w:marRight w:val="0"/>
      <w:marTop w:val="0"/>
      <w:marBottom w:val="0"/>
      <w:divBdr>
        <w:top w:val="none" w:sz="0" w:space="0" w:color="auto"/>
        <w:left w:val="none" w:sz="0" w:space="0" w:color="auto"/>
        <w:bottom w:val="none" w:sz="0" w:space="0" w:color="auto"/>
        <w:right w:val="none" w:sz="0" w:space="0" w:color="auto"/>
      </w:divBdr>
    </w:div>
    <w:div w:id="1416971478">
      <w:bodyDiv w:val="1"/>
      <w:marLeft w:val="0"/>
      <w:marRight w:val="0"/>
      <w:marTop w:val="0"/>
      <w:marBottom w:val="0"/>
      <w:divBdr>
        <w:top w:val="none" w:sz="0" w:space="0" w:color="auto"/>
        <w:left w:val="none" w:sz="0" w:space="0" w:color="auto"/>
        <w:bottom w:val="none" w:sz="0" w:space="0" w:color="auto"/>
        <w:right w:val="none" w:sz="0" w:space="0" w:color="auto"/>
      </w:divBdr>
      <w:divsChild>
        <w:div w:id="2122264324">
          <w:marLeft w:val="0"/>
          <w:marRight w:val="0"/>
          <w:marTop w:val="0"/>
          <w:marBottom w:val="0"/>
          <w:divBdr>
            <w:top w:val="none" w:sz="0" w:space="0" w:color="auto"/>
            <w:left w:val="none" w:sz="0" w:space="0" w:color="auto"/>
            <w:bottom w:val="none" w:sz="0" w:space="0" w:color="auto"/>
            <w:right w:val="none" w:sz="0" w:space="0" w:color="auto"/>
          </w:divBdr>
          <w:divsChild>
            <w:div w:id="2812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4216">
      <w:bodyDiv w:val="1"/>
      <w:marLeft w:val="0"/>
      <w:marRight w:val="0"/>
      <w:marTop w:val="0"/>
      <w:marBottom w:val="0"/>
      <w:divBdr>
        <w:top w:val="none" w:sz="0" w:space="0" w:color="auto"/>
        <w:left w:val="none" w:sz="0" w:space="0" w:color="auto"/>
        <w:bottom w:val="none" w:sz="0" w:space="0" w:color="auto"/>
        <w:right w:val="none" w:sz="0" w:space="0" w:color="auto"/>
      </w:divBdr>
      <w:divsChild>
        <w:div w:id="1507281734">
          <w:marLeft w:val="0"/>
          <w:marRight w:val="0"/>
          <w:marTop w:val="0"/>
          <w:marBottom w:val="0"/>
          <w:divBdr>
            <w:top w:val="none" w:sz="0" w:space="0" w:color="auto"/>
            <w:left w:val="none" w:sz="0" w:space="0" w:color="auto"/>
            <w:bottom w:val="none" w:sz="0" w:space="0" w:color="auto"/>
            <w:right w:val="none" w:sz="0" w:space="0" w:color="auto"/>
          </w:divBdr>
          <w:divsChild>
            <w:div w:id="10623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7038">
      <w:bodyDiv w:val="1"/>
      <w:marLeft w:val="0"/>
      <w:marRight w:val="0"/>
      <w:marTop w:val="0"/>
      <w:marBottom w:val="0"/>
      <w:divBdr>
        <w:top w:val="none" w:sz="0" w:space="0" w:color="auto"/>
        <w:left w:val="none" w:sz="0" w:space="0" w:color="auto"/>
        <w:bottom w:val="none" w:sz="0" w:space="0" w:color="auto"/>
        <w:right w:val="none" w:sz="0" w:space="0" w:color="auto"/>
      </w:divBdr>
      <w:divsChild>
        <w:div w:id="645167255">
          <w:marLeft w:val="0"/>
          <w:marRight w:val="0"/>
          <w:marTop w:val="0"/>
          <w:marBottom w:val="0"/>
          <w:divBdr>
            <w:top w:val="none" w:sz="0" w:space="0" w:color="auto"/>
            <w:left w:val="none" w:sz="0" w:space="0" w:color="auto"/>
            <w:bottom w:val="none" w:sz="0" w:space="0" w:color="auto"/>
            <w:right w:val="none" w:sz="0" w:space="0" w:color="auto"/>
          </w:divBdr>
          <w:divsChild>
            <w:div w:id="495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7530">
      <w:bodyDiv w:val="1"/>
      <w:marLeft w:val="0"/>
      <w:marRight w:val="0"/>
      <w:marTop w:val="0"/>
      <w:marBottom w:val="0"/>
      <w:divBdr>
        <w:top w:val="none" w:sz="0" w:space="0" w:color="auto"/>
        <w:left w:val="none" w:sz="0" w:space="0" w:color="auto"/>
        <w:bottom w:val="none" w:sz="0" w:space="0" w:color="auto"/>
        <w:right w:val="none" w:sz="0" w:space="0" w:color="auto"/>
      </w:divBdr>
      <w:divsChild>
        <w:div w:id="1021517569">
          <w:marLeft w:val="0"/>
          <w:marRight w:val="0"/>
          <w:marTop w:val="0"/>
          <w:marBottom w:val="0"/>
          <w:divBdr>
            <w:top w:val="none" w:sz="0" w:space="0" w:color="auto"/>
            <w:left w:val="none" w:sz="0" w:space="0" w:color="auto"/>
            <w:bottom w:val="none" w:sz="0" w:space="0" w:color="auto"/>
            <w:right w:val="none" w:sz="0" w:space="0" w:color="auto"/>
          </w:divBdr>
          <w:divsChild>
            <w:div w:id="15435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4729">
      <w:bodyDiv w:val="1"/>
      <w:marLeft w:val="0"/>
      <w:marRight w:val="0"/>
      <w:marTop w:val="0"/>
      <w:marBottom w:val="0"/>
      <w:divBdr>
        <w:top w:val="none" w:sz="0" w:space="0" w:color="auto"/>
        <w:left w:val="none" w:sz="0" w:space="0" w:color="auto"/>
        <w:bottom w:val="none" w:sz="0" w:space="0" w:color="auto"/>
        <w:right w:val="none" w:sz="0" w:space="0" w:color="auto"/>
      </w:divBdr>
      <w:divsChild>
        <w:div w:id="1002853855">
          <w:marLeft w:val="0"/>
          <w:marRight w:val="0"/>
          <w:marTop w:val="0"/>
          <w:marBottom w:val="0"/>
          <w:divBdr>
            <w:top w:val="none" w:sz="0" w:space="0" w:color="auto"/>
            <w:left w:val="none" w:sz="0" w:space="0" w:color="auto"/>
            <w:bottom w:val="none" w:sz="0" w:space="0" w:color="auto"/>
            <w:right w:val="none" w:sz="0" w:space="0" w:color="auto"/>
          </w:divBdr>
          <w:divsChild>
            <w:div w:id="1133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4923">
      <w:bodyDiv w:val="1"/>
      <w:marLeft w:val="0"/>
      <w:marRight w:val="0"/>
      <w:marTop w:val="0"/>
      <w:marBottom w:val="0"/>
      <w:divBdr>
        <w:top w:val="none" w:sz="0" w:space="0" w:color="auto"/>
        <w:left w:val="none" w:sz="0" w:space="0" w:color="auto"/>
        <w:bottom w:val="none" w:sz="0" w:space="0" w:color="auto"/>
        <w:right w:val="none" w:sz="0" w:space="0" w:color="auto"/>
      </w:divBdr>
      <w:divsChild>
        <w:div w:id="1337465560">
          <w:marLeft w:val="0"/>
          <w:marRight w:val="0"/>
          <w:marTop w:val="0"/>
          <w:marBottom w:val="0"/>
          <w:divBdr>
            <w:top w:val="none" w:sz="0" w:space="0" w:color="auto"/>
            <w:left w:val="none" w:sz="0" w:space="0" w:color="auto"/>
            <w:bottom w:val="none" w:sz="0" w:space="0" w:color="auto"/>
            <w:right w:val="none" w:sz="0" w:space="0" w:color="auto"/>
          </w:divBdr>
          <w:divsChild>
            <w:div w:id="16894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Chris Testa-O Neill</cp:lastModifiedBy>
  <cp:revision>18</cp:revision>
  <dcterms:created xsi:type="dcterms:W3CDTF">2019-04-01T14:56:00Z</dcterms:created>
  <dcterms:modified xsi:type="dcterms:W3CDTF">2020-02-27T13:49:00Z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chtestao@microsoft.com</vt:lpwstr>
  </property>
  <property fmtid="{D5CDD505-2E9C-101B-9397-08002B2CF9AE}" pid="5" name="MSIP_Label_f42aa342-8706-4288-bd11-ebb85995028c_SetDate">
    <vt:lpwstr>2020-02-27T13:49:27.7487930Z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5789917e-1942-48f4-b879-b1768d51cc83</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