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331BF5DE" w14:textId="06D02865" w:rsidR="009950E6" w:rsidRDefault="009950E6" w:rsidP="00030264">
      <w:pPr>
        <w:pStyle w:val="Heading2"/>
        <w:rPr>
          <w:rFonts w:eastAsiaTheme="minorHAnsi"/>
        </w:rPr>
      </w:pPr>
      <w:r w:rsidRPr="009950E6">
        <w:rPr>
          <w:rFonts w:eastAsiaTheme="minorHAnsi"/>
        </w:rPr>
        <w:t xml:space="preserve">Lab </w:t>
      </w:r>
      <w:r w:rsidR="00693A2E">
        <w:rPr>
          <w:rFonts w:eastAsiaTheme="minorHAnsi"/>
        </w:rPr>
        <w:t xml:space="preserve">6 </w:t>
      </w:r>
      <w:r w:rsidRPr="009950E6">
        <w:rPr>
          <w:rFonts w:eastAsiaTheme="minorHAnsi"/>
        </w:rPr>
        <w:t xml:space="preserve"> </w:t>
      </w:r>
      <w:r w:rsidR="00946287">
        <w:rPr>
          <w:rFonts w:eastAsiaTheme="minorHAnsi"/>
        </w:rPr>
        <w:t>–</w:t>
      </w:r>
      <w:r w:rsidRPr="009950E6">
        <w:rPr>
          <w:rFonts w:eastAsiaTheme="minorHAnsi"/>
        </w:rPr>
        <w:t xml:space="preserve"> </w:t>
      </w:r>
      <w:r w:rsidR="005C42C2">
        <w:rPr>
          <w:rFonts w:eastAsiaTheme="minorHAnsi"/>
        </w:rPr>
        <w:t xml:space="preserve">Designing </w:t>
      </w:r>
      <w:r w:rsidR="00CE1C1D">
        <w:rPr>
          <w:rFonts w:eastAsiaTheme="minorHAnsi"/>
        </w:rPr>
        <w:t>for Efficiency and Operations</w:t>
      </w:r>
    </w:p>
    <w:p w14:paraId="63EC4749" w14:textId="0E8924A7" w:rsidR="00030264" w:rsidRPr="00A60EB6" w:rsidRDefault="00A60EB6" w:rsidP="009950E6">
      <w:pPr>
        <w:rPr>
          <w:rFonts w:asciiTheme="majorHAnsi" w:hAnsiTheme="majorHAnsi" w:cstheme="majorBidi"/>
          <w:color w:val="2F5496" w:themeColor="accent1" w:themeShade="BF"/>
          <w:sz w:val="26"/>
          <w:szCs w:val="26"/>
        </w:rPr>
      </w:pPr>
      <w:r>
        <w:rPr>
          <w:rFonts w:asciiTheme="majorHAnsi" w:hAnsiTheme="majorHAnsi" w:cstheme="majorBidi"/>
          <w:color w:val="2F5496" w:themeColor="accent1" w:themeShade="BF"/>
          <w:sz w:val="26"/>
          <w:szCs w:val="26"/>
        </w:rPr>
        <w:t xml:space="preserve">Exercise </w:t>
      </w:r>
      <w:r>
        <w:rPr>
          <w:rFonts w:asciiTheme="majorHAnsi" w:hAnsiTheme="majorHAnsi" w:cstheme="majorBidi"/>
          <w:color w:val="2F5496" w:themeColor="accent1" w:themeShade="BF"/>
          <w:sz w:val="26"/>
          <w:szCs w:val="26"/>
        </w:rPr>
        <w:t>2</w:t>
      </w:r>
      <w:bookmarkStart w:id="0" w:name="_GoBack"/>
      <w:bookmarkEnd w:id="0"/>
    </w:p>
    <w:p w14:paraId="429036DF" w14:textId="4717B478" w:rsidR="00CE1C1D" w:rsidRPr="00CE1C1D" w:rsidRDefault="00DB40B9" w:rsidP="00CE1C1D">
      <w:pPr>
        <w:shd w:val="clear" w:color="auto" w:fill="FFFFFF"/>
        <w:spacing w:line="285" w:lineRule="atLeast"/>
        <w:rPr>
          <w:rFonts w:ascii="Consolas" w:eastAsia="Times New Roman" w:hAnsi="Consolas" w:cs="Times New Roman"/>
          <w:color w:val="000000"/>
          <w:sz w:val="21"/>
          <w:szCs w:val="21"/>
          <w:lang w:eastAsia="en-GB"/>
        </w:rPr>
      </w:pPr>
      <w:r w:rsidRPr="00DB40B9">
        <w:rPr>
          <w:rFonts w:ascii="Segoe UI" w:hAnsi="Segoe UI" w:cs="Segoe UI"/>
          <w:b/>
        </w:rPr>
        <w:t xml:space="preserve">Task 1: </w:t>
      </w:r>
      <w:r w:rsidR="00CE1C1D" w:rsidRPr="00CE1C1D">
        <w:rPr>
          <w:rFonts w:ascii="Segoe UI" w:hAnsi="Segoe UI" w:cs="Segoe UI"/>
          <w:b/>
        </w:rPr>
        <w:t>Use Monitoring and Analytics to Gain Operational Insights</w:t>
      </w:r>
    </w:p>
    <w:p w14:paraId="2DA06273" w14:textId="087D1B62" w:rsidR="00B86102" w:rsidRDefault="00B86102" w:rsidP="00CE1C1D">
      <w:pPr>
        <w:shd w:val="clear" w:color="auto" w:fill="FFFFFF"/>
        <w:spacing w:after="0" w:line="285" w:lineRule="atLeast"/>
        <w:rPr>
          <w:rFonts w:ascii="Segoe UI" w:hAnsi="Segoe UI" w:cs="Segoe UI"/>
        </w:rPr>
      </w:pPr>
    </w:p>
    <w:p w14:paraId="639E2012" w14:textId="732F60F3" w:rsidR="00DB40B9" w:rsidRPr="00DB40B9" w:rsidRDefault="009950E6" w:rsidP="00DB40B9">
      <w:pPr>
        <w:shd w:val="clear" w:color="auto" w:fill="FFFFFF"/>
        <w:spacing w:line="285" w:lineRule="atLeast"/>
        <w:rPr>
          <w:rFonts w:ascii="Segoe UI" w:hAnsi="Segoe UI" w:cs="Segoe UI"/>
        </w:rPr>
      </w:pPr>
      <w:r w:rsidRPr="009950E6">
        <w:rPr>
          <w:rFonts w:ascii="Segoe UI" w:hAnsi="Segoe UI" w:cs="Segoe UI"/>
        </w:rPr>
        <w:t xml:space="preserve">Use the table below to document </w:t>
      </w:r>
      <w:r w:rsidR="00DB40B9" w:rsidRPr="00DB40B9">
        <w:rPr>
          <w:rFonts w:ascii="Segoe UI" w:hAnsi="Segoe UI" w:cs="Segoe UI"/>
        </w:rPr>
        <w:t xml:space="preserve">the </w:t>
      </w:r>
      <w:r w:rsidR="00383932">
        <w:rPr>
          <w:rFonts w:ascii="Segoe UI" w:hAnsi="Segoe UI" w:cs="Segoe UI"/>
        </w:rPr>
        <w:t>Monitoring approach that should be adopted by AdventureWorks</w:t>
      </w:r>
      <w:r w:rsidR="00DB40B9" w:rsidRPr="00DB40B9">
        <w:rPr>
          <w:rFonts w:ascii="Segoe UI" w:hAnsi="Segoe UI" w:cs="Segoe UI"/>
        </w:rPr>
        <w:t>.</w:t>
      </w:r>
      <w:r w:rsidR="00B91AA7">
        <w:rPr>
          <w:rFonts w:ascii="Segoe UI" w:hAnsi="Segoe UI" w:cs="Segoe UI"/>
        </w:rPr>
        <w:t xml:space="preserve"> The choice should be justified</w:t>
      </w:r>
      <w:r w:rsidR="001A46DF">
        <w:rPr>
          <w:rFonts w:ascii="Segoe UI" w:hAnsi="Segoe UI" w:cs="Segoe UI"/>
        </w:rPr>
        <w:t>.</w:t>
      </w:r>
    </w:p>
    <w:p w14:paraId="175C2E35" w14:textId="53E1006E" w:rsidR="001C4363" w:rsidRDefault="001C4363" w:rsidP="009950E6">
      <w:pPr>
        <w:rPr>
          <w:rFonts w:ascii="Segoe UI" w:hAnsi="Segoe UI" w:cs="Segoe UI"/>
        </w:rPr>
      </w:pPr>
      <w:r>
        <w:rPr>
          <w:rFonts w:ascii="Segoe UI" w:hAnsi="Segoe UI" w:cs="Segoe UI"/>
        </w:rPr>
        <w:t xml:space="preserve">Below are </w:t>
      </w:r>
      <w:r w:rsidR="00DB40B9">
        <w:rPr>
          <w:rFonts w:ascii="Segoe UI" w:hAnsi="Segoe UI" w:cs="Segoe UI"/>
        </w:rPr>
        <w:t>ex</w:t>
      </w:r>
      <w:r w:rsidR="00B86102">
        <w:rPr>
          <w:rFonts w:ascii="Segoe UI" w:hAnsi="Segoe UI" w:cs="Segoe UI"/>
        </w:rPr>
        <w:t>a</w:t>
      </w:r>
      <w:r>
        <w:rPr>
          <w:rFonts w:ascii="Segoe UI" w:hAnsi="Segoe UI" w:cs="Segoe UI"/>
        </w:rPr>
        <w:t xml:space="preserve">mples of </w:t>
      </w:r>
      <w:r w:rsidR="00FE289A">
        <w:rPr>
          <w:rFonts w:ascii="Segoe UI" w:hAnsi="Segoe UI" w:cs="Segoe UI"/>
        </w:rPr>
        <w:t>the</w:t>
      </w:r>
      <w:r>
        <w:rPr>
          <w:rFonts w:ascii="Segoe UI" w:hAnsi="Segoe UI" w:cs="Segoe UI"/>
        </w:rPr>
        <w:t xml:space="preserve"> requirements </w:t>
      </w:r>
      <w:r w:rsidR="00FE289A">
        <w:rPr>
          <w:rFonts w:ascii="Segoe UI" w:hAnsi="Segoe UI" w:cs="Segoe UI"/>
        </w:rPr>
        <w:t>that could be identified.</w:t>
      </w:r>
    </w:p>
    <w:tbl>
      <w:tblPr>
        <w:tblStyle w:val="TableGrid"/>
        <w:tblW w:w="0" w:type="auto"/>
        <w:tblLook w:val="04A0" w:firstRow="1" w:lastRow="0" w:firstColumn="1" w:lastColumn="0" w:noHBand="0" w:noVBand="1"/>
      </w:tblPr>
      <w:tblGrid>
        <w:gridCol w:w="615"/>
        <w:gridCol w:w="1932"/>
        <w:gridCol w:w="1559"/>
        <w:gridCol w:w="9842"/>
      </w:tblGrid>
      <w:tr w:rsidR="00383932" w14:paraId="4273B5F5" w14:textId="77777777" w:rsidTr="00383932">
        <w:tc>
          <w:tcPr>
            <w:tcW w:w="615" w:type="dxa"/>
          </w:tcPr>
          <w:p w14:paraId="5C97CED4" w14:textId="7692FF7C" w:rsidR="00383932" w:rsidRDefault="00383932" w:rsidP="009950E6">
            <w:pPr>
              <w:rPr>
                <w:rFonts w:ascii="Segoe UI" w:hAnsi="Segoe UI" w:cs="Segoe UI"/>
              </w:rPr>
            </w:pPr>
            <w:r>
              <w:rPr>
                <w:rFonts w:ascii="Segoe UI" w:hAnsi="Segoe UI" w:cs="Segoe UI"/>
              </w:rPr>
              <w:t>#</w:t>
            </w:r>
          </w:p>
        </w:tc>
        <w:tc>
          <w:tcPr>
            <w:tcW w:w="1932" w:type="dxa"/>
          </w:tcPr>
          <w:p w14:paraId="46E683D7" w14:textId="7EF31AF8" w:rsidR="00383932" w:rsidRDefault="00383932" w:rsidP="009950E6">
            <w:pPr>
              <w:rPr>
                <w:rFonts w:ascii="Segoe UI" w:hAnsi="Segoe UI" w:cs="Segoe UI"/>
              </w:rPr>
            </w:pPr>
            <w:r>
              <w:rPr>
                <w:rFonts w:ascii="Segoe UI" w:hAnsi="Segoe UI" w:cs="Segoe UI"/>
              </w:rPr>
              <w:t>Monitoring Type</w:t>
            </w:r>
          </w:p>
        </w:tc>
        <w:tc>
          <w:tcPr>
            <w:tcW w:w="1559" w:type="dxa"/>
          </w:tcPr>
          <w:p w14:paraId="430BFB3E" w14:textId="4D27262C" w:rsidR="00383932" w:rsidRDefault="00383932" w:rsidP="009950E6">
            <w:pPr>
              <w:rPr>
                <w:rFonts w:ascii="Segoe UI" w:hAnsi="Segoe UI" w:cs="Segoe UI"/>
              </w:rPr>
            </w:pPr>
            <w:r>
              <w:rPr>
                <w:rFonts w:ascii="Segoe UI" w:hAnsi="Segoe UI" w:cs="Segoe UI"/>
              </w:rPr>
              <w:t>Technology</w:t>
            </w:r>
          </w:p>
        </w:tc>
        <w:tc>
          <w:tcPr>
            <w:tcW w:w="9842" w:type="dxa"/>
          </w:tcPr>
          <w:p w14:paraId="145CAD5E" w14:textId="554494C4" w:rsidR="00383932" w:rsidRDefault="00383932" w:rsidP="009950E6">
            <w:pPr>
              <w:rPr>
                <w:rFonts w:ascii="Segoe UI" w:hAnsi="Segoe UI" w:cs="Segoe UI"/>
              </w:rPr>
            </w:pPr>
            <w:r>
              <w:rPr>
                <w:rFonts w:ascii="Segoe UI" w:hAnsi="Segoe UI" w:cs="Segoe UI"/>
              </w:rPr>
              <w:t>Justification</w:t>
            </w:r>
          </w:p>
        </w:tc>
      </w:tr>
      <w:tr w:rsidR="00383932" w14:paraId="39466078" w14:textId="77777777" w:rsidTr="00383932">
        <w:tc>
          <w:tcPr>
            <w:tcW w:w="615" w:type="dxa"/>
          </w:tcPr>
          <w:p w14:paraId="6C18446E" w14:textId="4F5E91A8" w:rsidR="00383932" w:rsidRDefault="00383932" w:rsidP="00C22CE1">
            <w:pPr>
              <w:rPr>
                <w:rFonts w:ascii="Segoe UI" w:hAnsi="Segoe UI" w:cs="Segoe UI"/>
              </w:rPr>
            </w:pPr>
            <w:r>
              <w:rPr>
                <w:rFonts w:ascii="Segoe UI" w:hAnsi="Segoe UI" w:cs="Segoe UI"/>
              </w:rPr>
              <w:t>1</w:t>
            </w:r>
          </w:p>
        </w:tc>
        <w:tc>
          <w:tcPr>
            <w:tcW w:w="1932" w:type="dxa"/>
          </w:tcPr>
          <w:p w14:paraId="7A061449" w14:textId="4C7A39BE" w:rsidR="00383932" w:rsidRPr="00FF712E" w:rsidRDefault="00383932" w:rsidP="00B91AA7">
            <w:pPr>
              <w:shd w:val="clear" w:color="auto" w:fill="FFFFFF"/>
              <w:spacing w:line="285" w:lineRule="atLeast"/>
              <w:rPr>
                <w:rFonts w:ascii="Segoe UI" w:hAnsi="Segoe UI" w:cs="Segoe UI"/>
              </w:rPr>
            </w:pPr>
            <w:r>
              <w:rPr>
                <w:rFonts w:ascii="Segoe UI" w:hAnsi="Segoe UI" w:cs="Segoe UI"/>
              </w:rPr>
              <w:t>Core Monitoring</w:t>
            </w:r>
          </w:p>
        </w:tc>
        <w:tc>
          <w:tcPr>
            <w:tcW w:w="1559" w:type="dxa"/>
          </w:tcPr>
          <w:p w14:paraId="7FAA6C22" w14:textId="73351CC8" w:rsidR="00383932" w:rsidRDefault="00383932" w:rsidP="00C22CE1">
            <w:pPr>
              <w:rPr>
                <w:rFonts w:ascii="Segoe UI" w:hAnsi="Segoe UI" w:cs="Segoe UI"/>
              </w:rPr>
            </w:pPr>
            <w:r>
              <w:rPr>
                <w:rFonts w:ascii="Segoe UI" w:hAnsi="Segoe UI" w:cs="Segoe UI"/>
              </w:rPr>
              <w:t>Azure Monitor</w:t>
            </w:r>
          </w:p>
        </w:tc>
        <w:tc>
          <w:tcPr>
            <w:tcW w:w="9842" w:type="dxa"/>
          </w:tcPr>
          <w:p w14:paraId="430D96F7" w14:textId="3DB263C6" w:rsidR="00383932" w:rsidRDefault="00383932" w:rsidP="00C22CE1">
            <w:pPr>
              <w:rPr>
                <w:rFonts w:ascii="Segoe UI" w:hAnsi="Segoe UI" w:cs="Segoe UI"/>
              </w:rPr>
            </w:pPr>
            <w:r>
              <w:rPr>
                <w:rFonts w:ascii="Segoe UI" w:hAnsi="Segoe UI" w:cs="Segoe UI"/>
              </w:rPr>
              <w:t xml:space="preserve">The core monitoring of the Azure platform to be provided by Azure Monitor.   </w:t>
            </w:r>
          </w:p>
          <w:p w14:paraId="56453D1D" w14:textId="7B656C80" w:rsidR="00383932" w:rsidRPr="00FF712E" w:rsidRDefault="00383932" w:rsidP="00C22CE1">
            <w:pPr>
              <w:rPr>
                <w:rFonts w:ascii="Segoe UI" w:hAnsi="Segoe UI" w:cs="Segoe UI"/>
              </w:rPr>
            </w:pPr>
            <w:r>
              <w:rPr>
                <w:rFonts w:ascii="Segoe UI" w:hAnsi="Segoe UI" w:cs="Segoe UI"/>
              </w:rPr>
              <w:t xml:space="preserve">You can </w:t>
            </w:r>
            <w:r>
              <w:rPr>
                <w:rFonts w:ascii="Segoe UI" w:hAnsi="Segoe UI" w:cs="Segoe UI"/>
                <w:color w:val="323237"/>
                <w:shd w:val="clear" w:color="auto" w:fill="FFFFFF"/>
              </w:rPr>
              <w:t>get at-a-glance reporting on the health and performance of all your cloud resources, from virtual machines to applications to individual lines of codes in the applications. You can also use this as the basis for establishing baselines for the services within Azure.</w:t>
            </w:r>
          </w:p>
        </w:tc>
      </w:tr>
      <w:tr w:rsidR="00383932" w14:paraId="1041BD2B" w14:textId="77777777" w:rsidTr="00383932">
        <w:tc>
          <w:tcPr>
            <w:tcW w:w="615" w:type="dxa"/>
          </w:tcPr>
          <w:p w14:paraId="5BEFBAC0" w14:textId="28B02693" w:rsidR="00383932" w:rsidRDefault="00383932" w:rsidP="00C22CE1">
            <w:pPr>
              <w:rPr>
                <w:rFonts w:ascii="Segoe UI" w:hAnsi="Segoe UI" w:cs="Segoe UI"/>
              </w:rPr>
            </w:pPr>
            <w:r>
              <w:rPr>
                <w:rFonts w:ascii="Segoe UI" w:hAnsi="Segoe UI" w:cs="Segoe UI"/>
              </w:rPr>
              <w:t>2</w:t>
            </w:r>
          </w:p>
        </w:tc>
        <w:tc>
          <w:tcPr>
            <w:tcW w:w="1932" w:type="dxa"/>
          </w:tcPr>
          <w:p w14:paraId="16DC4BD1" w14:textId="22B8DAD7" w:rsidR="00383932" w:rsidRPr="00FF712E" w:rsidRDefault="00383932" w:rsidP="00B91AA7">
            <w:pPr>
              <w:shd w:val="clear" w:color="auto" w:fill="FFFFFF"/>
              <w:spacing w:line="285" w:lineRule="atLeast"/>
              <w:rPr>
                <w:rFonts w:ascii="Segoe UI" w:hAnsi="Segoe UI" w:cs="Segoe UI"/>
              </w:rPr>
            </w:pPr>
            <w:r>
              <w:rPr>
                <w:rFonts w:ascii="Segoe UI" w:hAnsi="Segoe UI" w:cs="Segoe UI"/>
              </w:rPr>
              <w:t>Core Monitoring</w:t>
            </w:r>
          </w:p>
        </w:tc>
        <w:tc>
          <w:tcPr>
            <w:tcW w:w="1559" w:type="dxa"/>
          </w:tcPr>
          <w:p w14:paraId="3FB920D3" w14:textId="3274036F" w:rsidR="00383932" w:rsidRPr="00FF712E" w:rsidRDefault="00383932" w:rsidP="001A46DF">
            <w:pPr>
              <w:shd w:val="clear" w:color="auto" w:fill="FFFFFF"/>
              <w:spacing w:line="285" w:lineRule="atLeast"/>
              <w:rPr>
                <w:rFonts w:ascii="Segoe UI" w:hAnsi="Segoe UI" w:cs="Segoe UI"/>
              </w:rPr>
            </w:pPr>
            <w:r>
              <w:rPr>
                <w:rFonts w:ascii="Segoe UI" w:hAnsi="Segoe UI" w:cs="Segoe UI"/>
              </w:rPr>
              <w:t>Azure Service Health</w:t>
            </w:r>
          </w:p>
        </w:tc>
        <w:tc>
          <w:tcPr>
            <w:tcW w:w="9842" w:type="dxa"/>
          </w:tcPr>
          <w:p w14:paraId="1C555244" w14:textId="2E225E05" w:rsidR="00383932" w:rsidRPr="00FF712E" w:rsidRDefault="00383932" w:rsidP="001A46DF">
            <w:pPr>
              <w:shd w:val="clear" w:color="auto" w:fill="FFFFFF"/>
              <w:spacing w:line="285" w:lineRule="atLeast"/>
              <w:rPr>
                <w:rFonts w:ascii="Segoe UI" w:hAnsi="Segoe UI" w:cs="Segoe UI"/>
              </w:rPr>
            </w:pPr>
            <w:r w:rsidRPr="00383932">
              <w:rPr>
                <w:rFonts w:ascii="Segoe UI" w:hAnsi="Segoe UI" w:cs="Segoe UI"/>
                <w:color w:val="323237"/>
                <w:shd w:val="clear" w:color="auto" w:fill="FFFFFF"/>
              </w:rPr>
              <w:t>This is the best place to look for service impacting communications about outages, planned maintenance activities, and other health advisories</w:t>
            </w:r>
          </w:p>
        </w:tc>
      </w:tr>
      <w:tr w:rsidR="00383932" w14:paraId="2D70460E" w14:textId="77777777" w:rsidTr="00383932">
        <w:tc>
          <w:tcPr>
            <w:tcW w:w="615" w:type="dxa"/>
          </w:tcPr>
          <w:p w14:paraId="4502D285" w14:textId="7BA733D9" w:rsidR="00383932" w:rsidRDefault="00383932" w:rsidP="00D408B8">
            <w:pPr>
              <w:rPr>
                <w:rFonts w:ascii="Segoe UI" w:hAnsi="Segoe UI" w:cs="Segoe UI"/>
              </w:rPr>
            </w:pPr>
            <w:r>
              <w:rPr>
                <w:rFonts w:ascii="Segoe UI" w:hAnsi="Segoe UI" w:cs="Segoe UI"/>
              </w:rPr>
              <w:t>3</w:t>
            </w:r>
          </w:p>
        </w:tc>
        <w:tc>
          <w:tcPr>
            <w:tcW w:w="1932" w:type="dxa"/>
          </w:tcPr>
          <w:p w14:paraId="1852FF20" w14:textId="67985DC7" w:rsidR="00383932" w:rsidRPr="00FF712E" w:rsidRDefault="00383932" w:rsidP="00B91AA7">
            <w:pPr>
              <w:shd w:val="clear" w:color="auto" w:fill="FFFFFF"/>
              <w:spacing w:line="285" w:lineRule="atLeast"/>
              <w:rPr>
                <w:rFonts w:ascii="Segoe UI" w:hAnsi="Segoe UI" w:cs="Segoe UI"/>
              </w:rPr>
            </w:pPr>
            <w:r>
              <w:rPr>
                <w:rFonts w:ascii="Segoe UI" w:hAnsi="Segoe UI" w:cs="Segoe UI"/>
              </w:rPr>
              <w:t>Deep Infrastructure Monitoring</w:t>
            </w:r>
          </w:p>
        </w:tc>
        <w:tc>
          <w:tcPr>
            <w:tcW w:w="1559" w:type="dxa"/>
          </w:tcPr>
          <w:p w14:paraId="265CAA9D" w14:textId="0301B92B" w:rsidR="00383932" w:rsidRPr="00FF712E" w:rsidRDefault="00383932" w:rsidP="00EA0419">
            <w:pPr>
              <w:rPr>
                <w:rFonts w:ascii="Segoe UI" w:hAnsi="Segoe UI" w:cs="Segoe UI"/>
              </w:rPr>
            </w:pPr>
            <w:r>
              <w:rPr>
                <w:rFonts w:ascii="Segoe UI" w:hAnsi="Segoe UI" w:cs="Segoe UI"/>
              </w:rPr>
              <w:t>Log Analytics</w:t>
            </w:r>
          </w:p>
        </w:tc>
        <w:tc>
          <w:tcPr>
            <w:tcW w:w="9842" w:type="dxa"/>
          </w:tcPr>
          <w:p w14:paraId="43123B0D" w14:textId="3529DE1D" w:rsidR="00383932" w:rsidRPr="00FF712E" w:rsidRDefault="00B15B47" w:rsidP="00EA0419">
            <w:pPr>
              <w:rPr>
                <w:rFonts w:ascii="Segoe UI" w:hAnsi="Segoe UI" w:cs="Segoe UI"/>
              </w:rPr>
            </w:pPr>
            <w:r>
              <w:rPr>
                <w:rFonts w:ascii="Segoe UI" w:hAnsi="Segoe UI" w:cs="Segoe UI"/>
              </w:rPr>
              <w:t xml:space="preserve">Enables you to perform in-depth analysis of specific services </w:t>
            </w:r>
            <w:r w:rsidR="0048485F">
              <w:rPr>
                <w:rFonts w:ascii="Segoe UI" w:hAnsi="Segoe UI" w:cs="Segoe UI"/>
              </w:rPr>
              <w:t xml:space="preserve">within Azure. </w:t>
            </w:r>
            <w:r w:rsidR="0048485F" w:rsidRPr="0048485F">
              <w:rPr>
                <w:rFonts w:ascii="Segoe UI" w:hAnsi="Segoe UI" w:cs="Segoe UI"/>
              </w:rPr>
              <w:t>Use Log Analytics in the Azure portal to write log queries and interactively analyze log data using the powerful Data Explorer analysis engine.</w:t>
            </w:r>
            <w:r w:rsidR="0048485F">
              <w:rPr>
                <w:rFonts w:ascii="Segoe UI" w:hAnsi="Segoe UI" w:cs="Segoe UI"/>
              </w:rPr>
              <w:t xml:space="preserve"> It is also integrated into Azure Monitor.</w:t>
            </w:r>
          </w:p>
        </w:tc>
      </w:tr>
      <w:tr w:rsidR="00383932" w14:paraId="52720221" w14:textId="77777777" w:rsidTr="00383932">
        <w:tc>
          <w:tcPr>
            <w:tcW w:w="615" w:type="dxa"/>
          </w:tcPr>
          <w:p w14:paraId="028B8B58" w14:textId="78B1D692" w:rsidR="00383932" w:rsidRDefault="00383932" w:rsidP="001A46DF">
            <w:pPr>
              <w:rPr>
                <w:rFonts w:ascii="Segoe UI" w:hAnsi="Segoe UI" w:cs="Segoe UI"/>
              </w:rPr>
            </w:pPr>
            <w:r>
              <w:rPr>
                <w:rFonts w:ascii="Segoe UI" w:hAnsi="Segoe UI" w:cs="Segoe UI"/>
              </w:rPr>
              <w:t>4</w:t>
            </w:r>
          </w:p>
        </w:tc>
        <w:tc>
          <w:tcPr>
            <w:tcW w:w="1932" w:type="dxa"/>
          </w:tcPr>
          <w:p w14:paraId="3E6D5C73" w14:textId="3731485D" w:rsidR="00383932" w:rsidRPr="00FF712E" w:rsidRDefault="00383932" w:rsidP="001A46DF">
            <w:pPr>
              <w:shd w:val="clear" w:color="auto" w:fill="FFFFFF"/>
              <w:spacing w:line="285" w:lineRule="atLeast"/>
              <w:rPr>
                <w:rFonts w:ascii="Segoe UI" w:hAnsi="Segoe UI" w:cs="Segoe UI"/>
              </w:rPr>
            </w:pPr>
            <w:r>
              <w:rPr>
                <w:rFonts w:ascii="Segoe UI" w:hAnsi="Segoe UI" w:cs="Segoe UI"/>
              </w:rPr>
              <w:t>Deep Application Monitoring</w:t>
            </w:r>
          </w:p>
        </w:tc>
        <w:tc>
          <w:tcPr>
            <w:tcW w:w="1559" w:type="dxa"/>
          </w:tcPr>
          <w:p w14:paraId="3B33A532" w14:textId="518D9ECF" w:rsidR="00383932" w:rsidRPr="004D4824" w:rsidRDefault="00383932" w:rsidP="004D4824">
            <w:pPr>
              <w:shd w:val="clear" w:color="auto" w:fill="FFFFFF"/>
              <w:spacing w:line="285" w:lineRule="atLeast"/>
              <w:rPr>
                <w:rFonts w:ascii="Segoe UI" w:hAnsi="Segoe UI" w:cs="Segoe UI"/>
                <w:color w:val="000000"/>
                <w:shd w:val="clear" w:color="auto" w:fill="FFFFFF"/>
              </w:rPr>
            </w:pPr>
            <w:r>
              <w:rPr>
                <w:rFonts w:ascii="Segoe UI" w:hAnsi="Segoe UI" w:cs="Segoe UI"/>
                <w:color w:val="000000"/>
                <w:shd w:val="clear" w:color="auto" w:fill="FFFFFF"/>
              </w:rPr>
              <w:t>Application Insights</w:t>
            </w:r>
          </w:p>
        </w:tc>
        <w:tc>
          <w:tcPr>
            <w:tcW w:w="9842" w:type="dxa"/>
          </w:tcPr>
          <w:p w14:paraId="04808B70" w14:textId="095FACE4" w:rsidR="00383932" w:rsidRPr="004D4824" w:rsidRDefault="0048485F" w:rsidP="004D4824">
            <w:pPr>
              <w:shd w:val="clear" w:color="auto" w:fill="FFFFFF"/>
              <w:spacing w:line="285" w:lineRule="atLeast"/>
              <w:rPr>
                <w:rFonts w:ascii="Segoe UI" w:hAnsi="Segoe UI" w:cs="Segoe UI"/>
                <w:color w:val="000000"/>
                <w:shd w:val="clear" w:color="auto" w:fill="FFFFFF"/>
              </w:rPr>
            </w:pPr>
            <w:r>
              <w:rPr>
                <w:rFonts w:ascii="Segoe UI" w:hAnsi="Segoe UI" w:cs="Segoe UI"/>
                <w:color w:val="000000"/>
                <w:shd w:val="clear" w:color="auto" w:fill="FFFFFF"/>
              </w:rPr>
              <w:t xml:space="preserve">You can use this to monitor applications and its usage. It enables developers and data engineers to understand application usage patterns. </w:t>
            </w:r>
            <w:r>
              <w:rPr>
                <w:rFonts w:ascii="Segoe UI" w:hAnsi="Segoe UI" w:cs="Segoe UI"/>
              </w:rPr>
              <w:t>It is also integrated into Azure Monitor.</w:t>
            </w:r>
          </w:p>
        </w:tc>
      </w:tr>
    </w:tbl>
    <w:p w14:paraId="4879D390" w14:textId="13416D13" w:rsidR="009950E6" w:rsidRDefault="009950E6" w:rsidP="009950E6">
      <w:pPr>
        <w:rPr>
          <w:rFonts w:ascii="Segoe UI" w:hAnsi="Segoe UI" w:cs="Segoe UI"/>
        </w:rPr>
      </w:pPr>
    </w:p>
    <w:p w14:paraId="50022F1E" w14:textId="7ED67B18" w:rsidR="00B86102" w:rsidRDefault="00B86102" w:rsidP="009950E6">
      <w:pPr>
        <w:rPr>
          <w:rFonts w:ascii="Segoe UI" w:hAnsi="Segoe UI" w:cs="Segoe UI"/>
        </w:rPr>
      </w:pPr>
    </w:p>
    <w:p w14:paraId="053D48D3" w14:textId="77777777" w:rsidR="00B86102" w:rsidRDefault="00B86102" w:rsidP="009950E6">
      <w:pPr>
        <w:rPr>
          <w:rFonts w:ascii="Segoe UI" w:hAnsi="Segoe UI" w:cs="Segoe UI"/>
        </w:rPr>
      </w:pPr>
    </w:p>
    <w:sectPr w:rsidR="00B86102" w:rsidSect="00B861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27DC0" w14:textId="77777777" w:rsidR="0081414A" w:rsidRDefault="0081414A" w:rsidP="00A60EB6">
      <w:pPr>
        <w:spacing w:after="0" w:line="240" w:lineRule="auto"/>
      </w:pPr>
      <w:r>
        <w:separator/>
      </w:r>
    </w:p>
  </w:endnote>
  <w:endnote w:type="continuationSeparator" w:id="0">
    <w:p w14:paraId="4BD86E12" w14:textId="77777777" w:rsidR="0081414A" w:rsidRDefault="0081414A" w:rsidP="00A60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0328D" w14:textId="77777777" w:rsidR="0081414A" w:rsidRDefault="0081414A" w:rsidP="00A60EB6">
      <w:pPr>
        <w:spacing w:after="0" w:line="240" w:lineRule="auto"/>
      </w:pPr>
      <w:r>
        <w:separator/>
      </w:r>
    </w:p>
  </w:footnote>
  <w:footnote w:type="continuationSeparator" w:id="0">
    <w:p w14:paraId="5A950819" w14:textId="77777777" w:rsidR="0081414A" w:rsidRDefault="0081414A" w:rsidP="00A60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A46DF"/>
    <w:rsid w:val="001C4363"/>
    <w:rsid w:val="002B460E"/>
    <w:rsid w:val="00383932"/>
    <w:rsid w:val="0048485F"/>
    <w:rsid w:val="004D4824"/>
    <w:rsid w:val="004E1798"/>
    <w:rsid w:val="00512B88"/>
    <w:rsid w:val="0053286B"/>
    <w:rsid w:val="005B38FA"/>
    <w:rsid w:val="005C42C2"/>
    <w:rsid w:val="006263C7"/>
    <w:rsid w:val="00693A2E"/>
    <w:rsid w:val="00743378"/>
    <w:rsid w:val="0081414A"/>
    <w:rsid w:val="00873EB9"/>
    <w:rsid w:val="00946287"/>
    <w:rsid w:val="00951F1F"/>
    <w:rsid w:val="009950E6"/>
    <w:rsid w:val="00A60EB6"/>
    <w:rsid w:val="00A9519C"/>
    <w:rsid w:val="00B15B47"/>
    <w:rsid w:val="00B16EE3"/>
    <w:rsid w:val="00B426B4"/>
    <w:rsid w:val="00B86102"/>
    <w:rsid w:val="00B91AA7"/>
    <w:rsid w:val="00B94AF8"/>
    <w:rsid w:val="00C22CE1"/>
    <w:rsid w:val="00CE1C1D"/>
    <w:rsid w:val="00D408B8"/>
    <w:rsid w:val="00DB40B9"/>
    <w:rsid w:val="00DE5FCF"/>
    <w:rsid w:val="00EA0419"/>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4258">
      <w:bodyDiv w:val="1"/>
      <w:marLeft w:val="0"/>
      <w:marRight w:val="0"/>
      <w:marTop w:val="0"/>
      <w:marBottom w:val="0"/>
      <w:divBdr>
        <w:top w:val="none" w:sz="0" w:space="0" w:color="auto"/>
        <w:left w:val="none" w:sz="0" w:space="0" w:color="auto"/>
        <w:bottom w:val="none" w:sz="0" w:space="0" w:color="auto"/>
        <w:right w:val="none" w:sz="0" w:space="0" w:color="auto"/>
      </w:divBdr>
      <w:divsChild>
        <w:div w:id="372268822">
          <w:marLeft w:val="0"/>
          <w:marRight w:val="0"/>
          <w:marTop w:val="0"/>
          <w:marBottom w:val="0"/>
          <w:divBdr>
            <w:top w:val="none" w:sz="0" w:space="0" w:color="auto"/>
            <w:left w:val="none" w:sz="0" w:space="0" w:color="auto"/>
            <w:bottom w:val="none" w:sz="0" w:space="0" w:color="auto"/>
            <w:right w:val="none" w:sz="0" w:space="0" w:color="auto"/>
          </w:divBdr>
          <w:divsChild>
            <w:div w:id="16086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8803">
      <w:bodyDiv w:val="1"/>
      <w:marLeft w:val="0"/>
      <w:marRight w:val="0"/>
      <w:marTop w:val="0"/>
      <w:marBottom w:val="0"/>
      <w:divBdr>
        <w:top w:val="none" w:sz="0" w:space="0" w:color="auto"/>
        <w:left w:val="none" w:sz="0" w:space="0" w:color="auto"/>
        <w:bottom w:val="none" w:sz="0" w:space="0" w:color="auto"/>
        <w:right w:val="none" w:sz="0" w:space="0" w:color="auto"/>
      </w:divBdr>
      <w:divsChild>
        <w:div w:id="295062841">
          <w:marLeft w:val="0"/>
          <w:marRight w:val="0"/>
          <w:marTop w:val="0"/>
          <w:marBottom w:val="0"/>
          <w:divBdr>
            <w:top w:val="none" w:sz="0" w:space="0" w:color="auto"/>
            <w:left w:val="none" w:sz="0" w:space="0" w:color="auto"/>
            <w:bottom w:val="none" w:sz="0" w:space="0" w:color="auto"/>
            <w:right w:val="none" w:sz="0" w:space="0" w:color="auto"/>
          </w:divBdr>
          <w:divsChild>
            <w:div w:id="1725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863">
      <w:bodyDiv w:val="1"/>
      <w:marLeft w:val="0"/>
      <w:marRight w:val="0"/>
      <w:marTop w:val="0"/>
      <w:marBottom w:val="0"/>
      <w:divBdr>
        <w:top w:val="none" w:sz="0" w:space="0" w:color="auto"/>
        <w:left w:val="none" w:sz="0" w:space="0" w:color="auto"/>
        <w:bottom w:val="none" w:sz="0" w:space="0" w:color="auto"/>
        <w:right w:val="none" w:sz="0" w:space="0" w:color="auto"/>
      </w:divBdr>
    </w:div>
    <w:div w:id="503938228">
      <w:bodyDiv w:val="1"/>
      <w:marLeft w:val="0"/>
      <w:marRight w:val="0"/>
      <w:marTop w:val="0"/>
      <w:marBottom w:val="0"/>
      <w:divBdr>
        <w:top w:val="none" w:sz="0" w:space="0" w:color="auto"/>
        <w:left w:val="none" w:sz="0" w:space="0" w:color="auto"/>
        <w:bottom w:val="none" w:sz="0" w:space="0" w:color="auto"/>
        <w:right w:val="none" w:sz="0" w:space="0" w:color="auto"/>
      </w:divBdr>
      <w:divsChild>
        <w:div w:id="1114787022">
          <w:marLeft w:val="0"/>
          <w:marRight w:val="0"/>
          <w:marTop w:val="0"/>
          <w:marBottom w:val="0"/>
          <w:divBdr>
            <w:top w:val="none" w:sz="0" w:space="0" w:color="auto"/>
            <w:left w:val="none" w:sz="0" w:space="0" w:color="auto"/>
            <w:bottom w:val="none" w:sz="0" w:space="0" w:color="auto"/>
            <w:right w:val="none" w:sz="0" w:space="0" w:color="auto"/>
          </w:divBdr>
          <w:divsChild>
            <w:div w:id="1166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729">
      <w:bodyDiv w:val="1"/>
      <w:marLeft w:val="0"/>
      <w:marRight w:val="0"/>
      <w:marTop w:val="0"/>
      <w:marBottom w:val="0"/>
      <w:divBdr>
        <w:top w:val="none" w:sz="0" w:space="0" w:color="auto"/>
        <w:left w:val="none" w:sz="0" w:space="0" w:color="auto"/>
        <w:bottom w:val="none" w:sz="0" w:space="0" w:color="auto"/>
        <w:right w:val="none" w:sz="0" w:space="0" w:color="auto"/>
      </w:divBdr>
      <w:divsChild>
        <w:div w:id="565528004">
          <w:marLeft w:val="0"/>
          <w:marRight w:val="0"/>
          <w:marTop w:val="0"/>
          <w:marBottom w:val="0"/>
          <w:divBdr>
            <w:top w:val="none" w:sz="0" w:space="0" w:color="auto"/>
            <w:left w:val="none" w:sz="0" w:space="0" w:color="auto"/>
            <w:bottom w:val="none" w:sz="0" w:space="0" w:color="auto"/>
            <w:right w:val="none" w:sz="0" w:space="0" w:color="auto"/>
          </w:divBdr>
          <w:divsChild>
            <w:div w:id="2081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6202">
      <w:bodyDiv w:val="1"/>
      <w:marLeft w:val="0"/>
      <w:marRight w:val="0"/>
      <w:marTop w:val="0"/>
      <w:marBottom w:val="0"/>
      <w:divBdr>
        <w:top w:val="none" w:sz="0" w:space="0" w:color="auto"/>
        <w:left w:val="none" w:sz="0" w:space="0" w:color="auto"/>
        <w:bottom w:val="none" w:sz="0" w:space="0" w:color="auto"/>
        <w:right w:val="none" w:sz="0" w:space="0" w:color="auto"/>
      </w:divBdr>
      <w:divsChild>
        <w:div w:id="111362691">
          <w:marLeft w:val="0"/>
          <w:marRight w:val="0"/>
          <w:marTop w:val="0"/>
          <w:marBottom w:val="0"/>
          <w:divBdr>
            <w:top w:val="none" w:sz="0" w:space="0" w:color="auto"/>
            <w:left w:val="none" w:sz="0" w:space="0" w:color="auto"/>
            <w:bottom w:val="none" w:sz="0" w:space="0" w:color="auto"/>
            <w:right w:val="none" w:sz="0" w:space="0" w:color="auto"/>
          </w:divBdr>
          <w:divsChild>
            <w:div w:id="6711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361">
      <w:bodyDiv w:val="1"/>
      <w:marLeft w:val="0"/>
      <w:marRight w:val="0"/>
      <w:marTop w:val="0"/>
      <w:marBottom w:val="0"/>
      <w:divBdr>
        <w:top w:val="none" w:sz="0" w:space="0" w:color="auto"/>
        <w:left w:val="none" w:sz="0" w:space="0" w:color="auto"/>
        <w:bottom w:val="none" w:sz="0" w:space="0" w:color="auto"/>
        <w:right w:val="none" w:sz="0" w:space="0" w:color="auto"/>
      </w:divBdr>
      <w:divsChild>
        <w:div w:id="95492376">
          <w:marLeft w:val="0"/>
          <w:marRight w:val="0"/>
          <w:marTop w:val="0"/>
          <w:marBottom w:val="0"/>
          <w:divBdr>
            <w:top w:val="none" w:sz="0" w:space="0" w:color="auto"/>
            <w:left w:val="none" w:sz="0" w:space="0" w:color="auto"/>
            <w:bottom w:val="none" w:sz="0" w:space="0" w:color="auto"/>
            <w:right w:val="none" w:sz="0" w:space="0" w:color="auto"/>
          </w:divBdr>
          <w:divsChild>
            <w:div w:id="740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9461">
      <w:bodyDiv w:val="1"/>
      <w:marLeft w:val="0"/>
      <w:marRight w:val="0"/>
      <w:marTop w:val="0"/>
      <w:marBottom w:val="0"/>
      <w:divBdr>
        <w:top w:val="none" w:sz="0" w:space="0" w:color="auto"/>
        <w:left w:val="none" w:sz="0" w:space="0" w:color="auto"/>
        <w:bottom w:val="none" w:sz="0" w:space="0" w:color="auto"/>
        <w:right w:val="none" w:sz="0" w:space="0" w:color="auto"/>
      </w:divBdr>
      <w:divsChild>
        <w:div w:id="1153176703">
          <w:marLeft w:val="0"/>
          <w:marRight w:val="0"/>
          <w:marTop w:val="0"/>
          <w:marBottom w:val="0"/>
          <w:divBdr>
            <w:top w:val="none" w:sz="0" w:space="0" w:color="auto"/>
            <w:left w:val="none" w:sz="0" w:space="0" w:color="auto"/>
            <w:bottom w:val="none" w:sz="0" w:space="0" w:color="auto"/>
            <w:right w:val="none" w:sz="0" w:space="0" w:color="auto"/>
          </w:divBdr>
          <w:divsChild>
            <w:div w:id="8925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754">
      <w:bodyDiv w:val="1"/>
      <w:marLeft w:val="0"/>
      <w:marRight w:val="0"/>
      <w:marTop w:val="0"/>
      <w:marBottom w:val="0"/>
      <w:divBdr>
        <w:top w:val="none" w:sz="0" w:space="0" w:color="auto"/>
        <w:left w:val="none" w:sz="0" w:space="0" w:color="auto"/>
        <w:bottom w:val="none" w:sz="0" w:space="0" w:color="auto"/>
        <w:right w:val="none" w:sz="0" w:space="0" w:color="auto"/>
      </w:divBdr>
      <w:divsChild>
        <w:div w:id="1362242475">
          <w:marLeft w:val="0"/>
          <w:marRight w:val="0"/>
          <w:marTop w:val="0"/>
          <w:marBottom w:val="0"/>
          <w:divBdr>
            <w:top w:val="none" w:sz="0" w:space="0" w:color="auto"/>
            <w:left w:val="none" w:sz="0" w:space="0" w:color="auto"/>
            <w:bottom w:val="none" w:sz="0" w:space="0" w:color="auto"/>
            <w:right w:val="none" w:sz="0" w:space="0" w:color="auto"/>
          </w:divBdr>
          <w:divsChild>
            <w:div w:id="11638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1077">
      <w:bodyDiv w:val="1"/>
      <w:marLeft w:val="0"/>
      <w:marRight w:val="0"/>
      <w:marTop w:val="0"/>
      <w:marBottom w:val="0"/>
      <w:divBdr>
        <w:top w:val="none" w:sz="0" w:space="0" w:color="auto"/>
        <w:left w:val="none" w:sz="0" w:space="0" w:color="auto"/>
        <w:bottom w:val="none" w:sz="0" w:space="0" w:color="auto"/>
        <w:right w:val="none" w:sz="0" w:space="0" w:color="auto"/>
      </w:divBdr>
      <w:divsChild>
        <w:div w:id="1193962636">
          <w:marLeft w:val="0"/>
          <w:marRight w:val="0"/>
          <w:marTop w:val="0"/>
          <w:marBottom w:val="0"/>
          <w:divBdr>
            <w:top w:val="none" w:sz="0" w:space="0" w:color="auto"/>
            <w:left w:val="none" w:sz="0" w:space="0" w:color="auto"/>
            <w:bottom w:val="none" w:sz="0" w:space="0" w:color="auto"/>
            <w:right w:val="none" w:sz="0" w:space="0" w:color="auto"/>
          </w:divBdr>
          <w:divsChild>
            <w:div w:id="21290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478">
      <w:bodyDiv w:val="1"/>
      <w:marLeft w:val="0"/>
      <w:marRight w:val="0"/>
      <w:marTop w:val="0"/>
      <w:marBottom w:val="0"/>
      <w:divBdr>
        <w:top w:val="none" w:sz="0" w:space="0" w:color="auto"/>
        <w:left w:val="none" w:sz="0" w:space="0" w:color="auto"/>
        <w:bottom w:val="none" w:sz="0" w:space="0" w:color="auto"/>
        <w:right w:val="none" w:sz="0" w:space="0" w:color="auto"/>
      </w:divBdr>
      <w:divsChild>
        <w:div w:id="2122264324">
          <w:marLeft w:val="0"/>
          <w:marRight w:val="0"/>
          <w:marTop w:val="0"/>
          <w:marBottom w:val="0"/>
          <w:divBdr>
            <w:top w:val="none" w:sz="0" w:space="0" w:color="auto"/>
            <w:left w:val="none" w:sz="0" w:space="0" w:color="auto"/>
            <w:bottom w:val="none" w:sz="0" w:space="0" w:color="auto"/>
            <w:right w:val="none" w:sz="0" w:space="0" w:color="auto"/>
          </w:divBdr>
          <w:divsChild>
            <w:div w:id="281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530">
      <w:bodyDiv w:val="1"/>
      <w:marLeft w:val="0"/>
      <w:marRight w:val="0"/>
      <w:marTop w:val="0"/>
      <w:marBottom w:val="0"/>
      <w:divBdr>
        <w:top w:val="none" w:sz="0" w:space="0" w:color="auto"/>
        <w:left w:val="none" w:sz="0" w:space="0" w:color="auto"/>
        <w:bottom w:val="none" w:sz="0" w:space="0" w:color="auto"/>
        <w:right w:val="none" w:sz="0" w:space="0" w:color="auto"/>
      </w:divBdr>
      <w:divsChild>
        <w:div w:id="1021517569">
          <w:marLeft w:val="0"/>
          <w:marRight w:val="0"/>
          <w:marTop w:val="0"/>
          <w:marBottom w:val="0"/>
          <w:divBdr>
            <w:top w:val="none" w:sz="0" w:space="0" w:color="auto"/>
            <w:left w:val="none" w:sz="0" w:space="0" w:color="auto"/>
            <w:bottom w:val="none" w:sz="0" w:space="0" w:color="auto"/>
            <w:right w:val="none" w:sz="0" w:space="0" w:color="auto"/>
          </w:divBdr>
          <w:divsChild>
            <w:div w:id="15435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729">
      <w:bodyDiv w:val="1"/>
      <w:marLeft w:val="0"/>
      <w:marRight w:val="0"/>
      <w:marTop w:val="0"/>
      <w:marBottom w:val="0"/>
      <w:divBdr>
        <w:top w:val="none" w:sz="0" w:space="0" w:color="auto"/>
        <w:left w:val="none" w:sz="0" w:space="0" w:color="auto"/>
        <w:bottom w:val="none" w:sz="0" w:space="0" w:color="auto"/>
        <w:right w:val="none" w:sz="0" w:space="0" w:color="auto"/>
      </w:divBdr>
      <w:divsChild>
        <w:div w:id="1002853855">
          <w:marLeft w:val="0"/>
          <w:marRight w:val="0"/>
          <w:marTop w:val="0"/>
          <w:marBottom w:val="0"/>
          <w:divBdr>
            <w:top w:val="none" w:sz="0" w:space="0" w:color="auto"/>
            <w:left w:val="none" w:sz="0" w:space="0" w:color="auto"/>
            <w:bottom w:val="none" w:sz="0" w:space="0" w:color="auto"/>
            <w:right w:val="none" w:sz="0" w:space="0" w:color="auto"/>
          </w:divBdr>
          <w:divsChild>
            <w:div w:id="113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923">
      <w:bodyDiv w:val="1"/>
      <w:marLeft w:val="0"/>
      <w:marRight w:val="0"/>
      <w:marTop w:val="0"/>
      <w:marBottom w:val="0"/>
      <w:divBdr>
        <w:top w:val="none" w:sz="0" w:space="0" w:color="auto"/>
        <w:left w:val="none" w:sz="0" w:space="0" w:color="auto"/>
        <w:bottom w:val="none" w:sz="0" w:space="0" w:color="auto"/>
        <w:right w:val="none" w:sz="0" w:space="0" w:color="auto"/>
      </w:divBdr>
      <w:divsChild>
        <w:div w:id="1337465560">
          <w:marLeft w:val="0"/>
          <w:marRight w:val="0"/>
          <w:marTop w:val="0"/>
          <w:marBottom w:val="0"/>
          <w:divBdr>
            <w:top w:val="none" w:sz="0" w:space="0" w:color="auto"/>
            <w:left w:val="none" w:sz="0" w:space="0" w:color="auto"/>
            <w:bottom w:val="none" w:sz="0" w:space="0" w:color="auto"/>
            <w:right w:val="none" w:sz="0" w:space="0" w:color="auto"/>
          </w:divBdr>
          <w:divsChild>
            <w:div w:id="16894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Chris Testa-O Neill</cp:lastModifiedBy>
  <cp:revision>18</cp:revision>
  <dcterms:created xsi:type="dcterms:W3CDTF">2019-04-01T14:56:00Z</dcterms:created>
  <dcterms:modified xsi:type="dcterms:W3CDTF">2020-02-27T13:51:00Z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2020-02-27T13:51:36.4189858Z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07289d86-7562-4b47-9620-09bd9cea65dd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