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C0A04" w14:textId="77777777" w:rsidR="00670206" w:rsidRDefault="00670206" w:rsidP="00670206">
      <w:pPr>
        <w:jc w:val="center"/>
        <w:rPr>
          <w:b/>
          <w:color w:val="0000FF"/>
          <w:sz w:val="36"/>
        </w:rPr>
      </w:pPr>
      <w:r>
        <w:rPr>
          <w:b/>
          <w:color w:val="0000FF"/>
          <w:sz w:val="36"/>
        </w:rPr>
        <w:t>Rosen Companion Volume</w:t>
      </w:r>
    </w:p>
    <w:p w14:paraId="0FE916F2" w14:textId="756087C6" w:rsidR="00670206" w:rsidRDefault="00670206" w:rsidP="00670206">
      <w:pPr>
        <w:jc w:val="center"/>
        <w:rPr>
          <w:b/>
          <w:color w:val="0000FF"/>
          <w:sz w:val="36"/>
        </w:rPr>
      </w:pPr>
      <w:r w:rsidRPr="00BB3AA4">
        <w:rPr>
          <w:b/>
          <w:color w:val="0000FF"/>
          <w:sz w:val="36"/>
        </w:rPr>
        <w:t xml:space="preserve">Chapter </w:t>
      </w:r>
      <w:r>
        <w:rPr>
          <w:b/>
          <w:color w:val="0000FF"/>
          <w:sz w:val="36"/>
        </w:rPr>
        <w:t>1</w:t>
      </w:r>
      <w:r w:rsidRPr="00BB3AA4">
        <w:rPr>
          <w:b/>
          <w:color w:val="0000FF"/>
          <w:sz w:val="36"/>
        </w:rPr>
        <w:t xml:space="preserve">: </w:t>
      </w:r>
      <w:r w:rsidRPr="00670206">
        <w:rPr>
          <w:b/>
          <w:color w:val="0000FF"/>
          <w:sz w:val="36"/>
        </w:rPr>
        <w:t>The Puzzle of Superstars: Reward Concentration as an Amplification Problem</w:t>
      </w:r>
    </w:p>
    <w:p w14:paraId="7C21ED12" w14:textId="77777777" w:rsidR="00670206" w:rsidRDefault="00670206" w:rsidP="00670206">
      <w:pPr>
        <w:jc w:val="center"/>
      </w:pPr>
      <w:r>
        <w:rPr>
          <w:color w:val="0000FF"/>
        </w:rPr>
        <w:t>________________________________________________________________________________</w:t>
      </w:r>
    </w:p>
    <w:p w14:paraId="50A595DF" w14:textId="4F07CB75" w:rsidR="00C26336" w:rsidRPr="00670206" w:rsidRDefault="00670206" w:rsidP="00670206">
      <w:pPr>
        <w:pStyle w:val="Heading2"/>
        <w:rPr>
          <w:color w:val="000000" w:themeColor="text1"/>
        </w:rPr>
      </w:pPr>
      <w:r>
        <w:t>Anchor (Original Text)</w:t>
      </w:r>
      <w:r w:rsidR="00000000">
        <w:t>:</w:t>
      </w:r>
      <w:r>
        <w:t xml:space="preserve"> </w:t>
      </w:r>
      <w:r w:rsidR="00000000" w:rsidRPr="00670206">
        <w:rPr>
          <w:rFonts w:ascii="Times New Roman" w:eastAsia="Times New Roman" w:hAnsi="Times New Roman"/>
          <w:color w:val="000000" w:themeColor="text1"/>
          <w:sz w:val="20"/>
        </w:rPr>
        <w:t>“The phenomenon of Superstars, wherein relatively small numbers of people earn enormous amounts of money and dominate the activities in which they engage, seems to be increasingly important in the modern world.”</w:t>
      </w:r>
    </w:p>
    <w:p w14:paraId="7B735AC2" w14:textId="77777777" w:rsidR="00C26336" w:rsidRDefault="00000000">
      <w:pPr>
        <w:pStyle w:val="Heading2"/>
      </w:pPr>
      <w:r>
        <w:t>Key Quotations Worth Underlining</w:t>
      </w:r>
    </w:p>
    <w:p w14:paraId="136DC103" w14:textId="77777777" w:rsidR="00C26336" w:rsidRDefault="00000000">
      <w:pPr>
        <w:spacing w:after="20"/>
      </w:pPr>
      <w:r>
        <w:rPr>
          <w:b/>
        </w:rPr>
        <w:t>“relatively small numbers of people earn enormous amounts of money and dominate the activities in which they engage”</w:t>
      </w:r>
    </w:p>
    <w:p w14:paraId="74923F38" w14:textId="77777777" w:rsidR="00C26336" w:rsidRDefault="00000000">
      <w:pPr>
        <w:spacing w:after="20"/>
      </w:pPr>
      <w:r>
        <w:rPr>
          <w:b/>
        </w:rPr>
        <w:t>“In certain kinds of economic activity there is concentration of output among a few individuals, marked skewness in the associated distributions of income and very large rewards at the top.”</w:t>
      </w:r>
    </w:p>
    <w:p w14:paraId="29902ADA" w14:textId="77777777" w:rsidR="00C26336" w:rsidRDefault="00000000">
      <w:pPr>
        <w:spacing w:after="20"/>
      </w:pPr>
      <w:r>
        <w:rPr>
          <w:b/>
        </w:rPr>
        <w:t>“The market for classical music has never been larger than it is now, yet the number of full-time soloists on any given instrument is also on the order of only a few hundred...”</w:t>
      </w:r>
    </w:p>
    <w:p w14:paraId="1AC8A911" w14:textId="77777777" w:rsidR="00C26336" w:rsidRDefault="00000000">
      <w:pPr>
        <w:spacing w:after="20"/>
      </w:pPr>
      <w:r>
        <w:rPr>
          <w:b/>
        </w:rPr>
        <w:t>“There are also known to be substantial differences in income between them and those in the second rank, even though most consumers would have difficulty detecting more than minor differences in a ‘blind’ hearing.”</w:t>
      </w:r>
    </w:p>
    <w:p w14:paraId="1F0AA9AD" w14:textId="77777777" w:rsidR="00C26336" w:rsidRDefault="00000000">
      <w:pPr>
        <w:spacing w:after="20"/>
      </w:pPr>
      <w:r>
        <w:rPr>
          <w:b/>
        </w:rPr>
        <w:t>“A relatively small number of researchers account for a large fraction of citations and perhaps even articles written.”</w:t>
      </w:r>
    </w:p>
    <w:p w14:paraId="771C03AC" w14:textId="77777777" w:rsidR="00C26336" w:rsidRDefault="00000000">
      <w:pPr>
        <w:spacing w:after="20"/>
      </w:pPr>
      <w:r>
        <w:rPr>
          <w:b/>
        </w:rPr>
        <w:t>“There are two common elements in all of them: first, a close connection between personal reward and the size of one’s own market; and second, a strong tendency for both market size and reward to be skewed toward the most talented people in the activity.”</w:t>
      </w:r>
    </w:p>
    <w:p w14:paraId="08C5D5AC" w14:textId="77777777" w:rsidR="00C26336" w:rsidRDefault="00000000">
      <w:pPr>
        <w:spacing w:after="20"/>
      </w:pPr>
      <w:r>
        <w:rPr>
          <w:b/>
        </w:rPr>
        <w:t>“But that principle applies as well to shoemakers as to rock musicians, so something more is involved.”</w:t>
      </w:r>
    </w:p>
    <w:p w14:paraId="28A2E873" w14:textId="77777777" w:rsidR="00C26336" w:rsidRDefault="00000000">
      <w:pPr>
        <w:spacing w:after="20"/>
      </w:pPr>
      <w:r>
        <w:rPr>
          <w:b/>
        </w:rPr>
        <w:t>“the competitive model is virtually silent about any special role played by either the size of the total market or the amount of it controlled by any single person”</w:t>
      </w:r>
    </w:p>
    <w:p w14:paraId="0CBC49C4" w14:textId="77777777" w:rsidR="00C26336" w:rsidRDefault="00000000">
      <w:pPr>
        <w:pStyle w:val="Heading2"/>
      </w:pPr>
      <w:r>
        <w:t>Integrated Commentary</w:t>
      </w:r>
    </w:p>
    <w:p w14:paraId="2E668A58" w14:textId="77777777" w:rsidR="00C26336" w:rsidRDefault="00000000">
      <w:r>
        <w:rPr>
          <w:color w:val="0000CC"/>
        </w:rPr>
        <w:t xml:space="preserve">Rosen begins with a deceptively simple observation: </w:t>
      </w:r>
      <w:r>
        <w:rPr>
          <w:b/>
        </w:rPr>
        <w:t>“relatively small numbers of people earn enormous amounts of money and dominate the activities in which they engage.”</w:t>
      </w:r>
      <w:r>
        <w:rPr>
          <w:color w:val="0000CC"/>
        </w:rPr>
        <w:t xml:space="preserve"> This opening sentence should not be read as a casual description of celebrity. It is the paper’s problem statement. Rosen is not merely interested in famous performers, nor is he writing a cultural essay about stardom. He is identifying a recurring distributional pattern: in some activities, both output and income become concentrated in a very small upper tail. The same person does not merely earn a little more. The same person dominates a market. That distinction matters because dominance implies a mechanism of concentration, not just a ranking of ability.</w:t>
      </w:r>
    </w:p>
    <w:p w14:paraId="2ED616E7" w14:textId="77777777" w:rsidR="00C26336" w:rsidRDefault="00000000">
      <w:r>
        <w:rPr>
          <w:color w:val="C00000"/>
        </w:rPr>
        <w:t>For your project, this is exactly the sort of phenomenon that requires mechanism extraction rather than descriptive labeling. A promotion list, a citation distribution, a sports draft, a command selection process, or an academic job market can all produce extreme concentration at the top. The temptation is to say that the winners were simply the most talented. Rosen’s opening pushes against that temptation. It asks why the reward structure is so steep, why the market share is so concentrated, and why the top tail stretches so much farther than ordinary differences in quality would seem to justify.</w:t>
      </w:r>
    </w:p>
    <w:p w14:paraId="663979F3" w14:textId="77777777" w:rsidR="00C26336" w:rsidRDefault="00000000">
      <w:r>
        <w:rPr>
          <w:color w:val="0000CC"/>
        </w:rPr>
        <w:t xml:space="preserve">The phrase </w:t>
      </w:r>
      <w:r>
        <w:rPr>
          <w:b/>
        </w:rPr>
        <w:t>“concentration of output among a few individuals”</w:t>
      </w:r>
      <w:r>
        <w:rPr>
          <w:color w:val="0000CC"/>
        </w:rPr>
        <w:t xml:space="preserve"> is as important as the phrase about income. Rosen is not only saying that some people are paid more. He is saying that some people do more of the market’s work, or at least capture more of the market’s transactions. This is why his examples range from comedy to classical music to textbooks to citations. In each case, the key pattern is not just inequality of reward but inequality of reach. The star reaches more consumers, more readers, more students, more viewers, more citation networks, or more institutional attention.</w:t>
      </w:r>
    </w:p>
    <w:p w14:paraId="46085DE8" w14:textId="77777777" w:rsidR="00C26336" w:rsidRDefault="00000000">
      <w:r>
        <w:rPr>
          <w:color w:val="C00000"/>
        </w:rPr>
        <w:t>This is one of the first places where Rosen becomes directly useful for thinking about advancement under constrained distinction. In many selection systems, the scarce object is not simply money. It may be attention, evaluation bandwidth, prestigious assignments, command opportunities, advisor sponsorship, high-visibility publications, or access to elite peer groups. Rosen’s language of market size can be translated into organizational language as visibility size, opportunity size, or audience size. Once an individual receives a larger audience, subsequent rewards may no longer be proportional to underlying ability.</w:t>
      </w:r>
    </w:p>
    <w:p w14:paraId="4A076612" w14:textId="77777777" w:rsidR="00C26336" w:rsidRDefault="00000000">
      <w:r>
        <w:rPr>
          <w:color w:val="0000CC"/>
        </w:rPr>
        <w:t>Rosen’s first empirical example—full-time comedians—is doing more conceptual work than it may initially appear. He notes that the number of full-time comedians is small even though demand for comic relief has not plausibly disappeared. The point is not comedy. The point is that a large demand can be served by a small number of suppliers when the conditions of the market permit it. Television matters here because it allows one performer to reach an audience that would previously have required many performers in many local venues.</w:t>
      </w:r>
    </w:p>
    <w:p w14:paraId="18E3A3BF" w14:textId="77777777" w:rsidR="00C26336" w:rsidRDefault="00000000">
      <w:r>
        <w:rPr>
          <w:color w:val="C00000"/>
        </w:rPr>
        <w:t xml:space="preserve">That observation anticipates the paper’s later technology argument. A market becomes superstar-prone when audience size can expand faster than effort. In organizational terms, this is the difference between local contribution and scalable recognition. A </w:t>
      </w:r>
      <w:r>
        <w:rPr>
          <w:color w:val="C00000"/>
        </w:rPr>
        <w:lastRenderedPageBreak/>
        <w:t>person whose work can be broadcast, cited, replicated, ranked, or symbolically amplified can accumulate outcomes that are not limited by ordinary one-to-one production constraints.</w:t>
      </w:r>
    </w:p>
    <w:p w14:paraId="700D9CBE" w14:textId="77777777" w:rsidR="00C26336" w:rsidRDefault="00000000">
      <w:r>
        <w:rPr>
          <w:color w:val="0000CC"/>
        </w:rPr>
        <w:t xml:space="preserve">The classical music example sharpens the puzzle. Rosen writes that first-rank performers have very large incomes and that there are substantial income differences between them and second-rank performers, </w:t>
      </w:r>
      <w:r>
        <w:rPr>
          <w:b/>
        </w:rPr>
        <w:t>“even though most consumers would have difficulty detecting more than minor differences in a ‘blind’ hearing.”</w:t>
      </w:r>
      <w:r>
        <w:rPr>
          <w:color w:val="0000CC"/>
        </w:rPr>
        <w:t xml:space="preserve"> This sentence deserves heavy underlining because it separates reward difference from perceptual difference. Rosen is pointing to a mismatch between the magnitude of the observed reward gap and the magnitude of the quality gap that ordinary consumers can detect. Superstar inequality is not explained by saying the top person is better. The explanatory burden is to show how a small or difficult-to-detect superiority becomes economically enormous.</w:t>
      </w:r>
    </w:p>
    <w:p w14:paraId="5543145E" w14:textId="77777777" w:rsidR="00C26336" w:rsidRDefault="00000000">
      <w:r>
        <w:rPr>
          <w:color w:val="C00000"/>
        </w:rPr>
        <w:t>This is also where Rosen converges with Menger’s central concern: how difference becomes converted into hierarchy and inequality. Menger’s chain can be written as Difference → Comparison → Ranking → Opportunity → Amplification → Inequality. Rosen begins with a similar pattern but gives it an economic mechanism: quality differences are processed through market size and scalable consumption. A tiny advantage becomes a larger audience; a larger audience becomes a larger reward; the larger reward then confirms the apparent superiority of the star.</w:t>
      </w:r>
    </w:p>
    <w:p w14:paraId="097130D8" w14:textId="77777777" w:rsidR="00C26336" w:rsidRDefault="00000000">
      <w:r>
        <w:rPr>
          <w:color w:val="0000CC"/>
        </w:rPr>
        <w:t xml:space="preserve">The textbook and research examples are especially important because they prevent the reader from quarantining the argument inside entertainment. </w:t>
      </w:r>
      <w:r>
        <w:rPr>
          <w:b/>
        </w:rPr>
        <w:t>“A relatively small number of researchers account for a large fraction of citations and perhaps even articles written.”</w:t>
      </w:r>
      <w:r>
        <w:rPr>
          <w:color w:val="0000CC"/>
        </w:rPr>
        <w:t xml:space="preserve"> Rosen is quietly telling academics that they live inside the same structure they might otherwise analyze from a distance. Citations are not merely acknowledgments. They are traces of attention. Once attention concentrates, academic reputation begins to behave like a market for superstar visibility.</w:t>
      </w:r>
    </w:p>
    <w:p w14:paraId="566B8803" w14:textId="77777777" w:rsidR="00C26336" w:rsidRDefault="00000000">
      <w:r>
        <w:rPr>
          <w:color w:val="C00000"/>
        </w:rPr>
        <w:t>For your research program, the citation example is a warning against treating measured outcomes as transparent indicators of merit. A citation count, like a promotion outcome or elite assignment, may reflect quality; but it may also reflect visibility, accumulated advantage, network location, and the fact that later evaluators use earlier attention as a signal. This is the bridge from Rosen to Merton. Rosen emphasizes market reach; Merton emphasizes cumulative recognition. Both explain why final outcome distributions may be far more unequal than initial ability distributions.</w:t>
      </w:r>
    </w:p>
    <w:p w14:paraId="764DC81C" w14:textId="77777777" w:rsidR="00C26336" w:rsidRDefault="00000000">
      <w:r>
        <w:rPr>
          <w:color w:val="0000CC"/>
        </w:rPr>
        <w:t xml:space="preserve">The conceptual center of this opening section is Rosen’s statement that all these cases share two common elements: </w:t>
      </w:r>
      <w:r>
        <w:rPr>
          <w:b/>
        </w:rPr>
        <w:t>“a close connection between personal reward and the size of one’s own market”</w:t>
      </w:r>
      <w:r>
        <w:rPr>
          <w:color w:val="0000CC"/>
        </w:rPr>
        <w:t xml:space="preserve"> and </w:t>
      </w:r>
      <w:r>
        <w:rPr>
          <w:b/>
        </w:rPr>
        <w:t>“a strong tendency for both market size and reward to be skewed toward the most talented people in the activity.”</w:t>
      </w:r>
      <w:r>
        <w:rPr>
          <w:color w:val="0000CC"/>
        </w:rPr>
        <w:t xml:space="preserve"> This is the architecture of the paper in miniature. Rosen is going to connect talent, market size, and reward. The crucial move is that market size sits between talent and reward. Talent does not map directly into income. Talent affects market size; market size affects income; and the relationship can be nonlinear.</w:t>
      </w:r>
    </w:p>
    <w:p w14:paraId="2102BF07" w14:textId="77777777" w:rsidR="00C26336" w:rsidRDefault="00000000">
      <w:r>
        <w:rPr>
          <w:color w:val="C00000"/>
        </w:rPr>
        <w:t>This middle variable—market size—is the reason Rosen remains so useful. Many theories of advancement move too quickly from individual quality to outcome. Rosen inserts a structural mediator. In your terms, he shows that the competitive environment transforms differences before rewards are assigned. The result is not a simple meritocratic mapping but an amplification system.</w:t>
      </w:r>
    </w:p>
    <w:p w14:paraId="016735C1" w14:textId="77777777" w:rsidR="00C26336" w:rsidRDefault="00000000">
      <w:r>
        <w:rPr>
          <w:color w:val="0000CC"/>
        </w:rPr>
        <w:t xml:space="preserve">The line </w:t>
      </w:r>
      <w:r>
        <w:rPr>
          <w:b/>
        </w:rPr>
        <w:t>“something more is involved”</w:t>
      </w:r>
      <w:r>
        <w:rPr>
          <w:color w:val="0000CC"/>
        </w:rPr>
        <w:t xml:space="preserve"> is the hinge of the chapter. Standard theory can explain why someone who sells more earns more. But that principle, Rosen notes, applies to shoemakers as well as rock musicians. The superstar phenomenon requires an additional explanation because the distribution is not merely unequal; it is extremely skewed. The question is why some activities allow the best-known or highest-valued individuals to command very large markets while others remain more locally distributed.</w:t>
      </w:r>
    </w:p>
    <w:p w14:paraId="6F85E827" w14:textId="77777777" w:rsidR="00C26336" w:rsidRDefault="00000000">
      <w:r>
        <w:rPr>
          <w:color w:val="C00000"/>
        </w:rPr>
        <w:t>This sentence should become a recurring margin note for the entire companion: something more is involved. Whenever a system produces extreme concentration, the analytic task is to find the “something more.” Is it scalable technology? Imperfect substitution? Reputation? Peer comparison? Rank-order evaluation? Network visibility? Gatekeeping? Scarce slots? Rosen gives one answer, but the broader research lesson is methodological: do not stop at observed inequality; identify the amplifier.</w:t>
      </w:r>
    </w:p>
    <w:p w14:paraId="7F282577" w14:textId="77777777" w:rsidR="00C26336" w:rsidRDefault="00000000">
      <w:r>
        <w:rPr>
          <w:color w:val="0000CC"/>
        </w:rPr>
        <w:t xml:space="preserve">Rosen closes the opening section by stating that the competitive model is </w:t>
      </w:r>
      <w:r>
        <w:rPr>
          <w:b/>
        </w:rPr>
        <w:t>“virtually silent”</w:t>
      </w:r>
      <w:r>
        <w:rPr>
          <w:color w:val="0000CC"/>
        </w:rPr>
        <w:t xml:space="preserve"> about the role of total market size or the amount of the market controlled by a single person. This is a major theoretical claim. In a standard competitive model, products are undifferentiated and sellers are interchangeable. Superstar markets violate that assumption. The identity of the seller matters. Consumers do not merely buy a service; they buy this singer, this surgeon, this author, this athlete, this researcher, this broadcaster. Once the seller’s identity becomes part of the product, personal market scale becomes economically decisive.</w:t>
      </w:r>
    </w:p>
    <w:p w14:paraId="423230DB" w14:textId="77777777" w:rsidR="00C26336" w:rsidRDefault="00000000">
      <w:r>
        <w:rPr>
          <w:color w:val="C00000"/>
        </w:rPr>
        <w:t>This is highly relevant to elite organizational systems. In many promotion and selection environments, individuals are formally evaluated against standardized criteria, but informally they become differentiated by reputation, narrative, sponsorship, and perceived distinctiveness. The moment candidates are no longer interchangeable, the system can begin to exhibit Rosen-like dynamics. A small distinction can become a large advantage if it changes who gets seen, selected, discussed, or trusted.</w:t>
      </w:r>
    </w:p>
    <w:p w14:paraId="1A890752" w14:textId="77777777" w:rsidR="00C26336" w:rsidRDefault="00000000">
      <w:pPr>
        <w:pStyle w:val="Heading2"/>
      </w:pPr>
      <w:r>
        <w:t>What Rosen Is Really Trying to Explain</w:t>
      </w:r>
    </w:p>
    <w:p w14:paraId="15EA8C64" w14:textId="77777777" w:rsidR="00C26336" w:rsidRDefault="00000000">
      <w:r>
        <w:rPr>
          <w:color w:val="0000CC"/>
        </w:rPr>
        <w:t>The visible question is: why do superstars earn so much? The deeper question is: why are rewards so much more unequal than talent? This distinction is essential. If the best performer were ten times better and earned ten times more, there would be no special puzzle. The superstar puzzle arises when small differences in perceived quality generate enormous differences in income, output, and visibility. Rosen’s later mathematical model is designed to explain that mismatch.</w:t>
      </w:r>
    </w:p>
    <w:p w14:paraId="62188343" w14:textId="77777777" w:rsidR="00C26336" w:rsidRDefault="00000000">
      <w:r>
        <w:rPr>
          <w:color w:val="C00000"/>
        </w:rPr>
        <w:lastRenderedPageBreak/>
        <w:t>This is the conceptual bridge to cumulative advantage theory. Merton’s Matthew Effect shows how recognition accumulates disproportionately to those who already possess recognition. Rosen’s superstar model shows how market scale can produce disproportionate earnings for those who possess slight advantages in perceived quality. Barabási later generalizes similar intuitions into success systems where performance, networks, visibility, and reward become partially decoupled. The shared insight is that outcome inequality is often produced by a process, not merely by initial quality.</w:t>
      </w:r>
    </w:p>
    <w:p w14:paraId="61707E40" w14:textId="77777777" w:rsidR="00C26336" w:rsidRDefault="00000000">
      <w:pPr>
        <w:pStyle w:val="Heading2"/>
      </w:pPr>
      <w:r>
        <w:t>Mechanism Map for Chapter 1</w:t>
      </w:r>
    </w:p>
    <w:tbl>
      <w:tblPr>
        <w:tblStyle w:val="TableGrid"/>
        <w:tblW w:w="0" w:type="auto"/>
        <w:tblLook w:val="04A0" w:firstRow="1" w:lastRow="0" w:firstColumn="1" w:lastColumn="0" w:noHBand="0" w:noVBand="1"/>
      </w:tblPr>
      <w:tblGrid>
        <w:gridCol w:w="2628"/>
        <w:gridCol w:w="2628"/>
        <w:gridCol w:w="2628"/>
        <w:gridCol w:w="2628"/>
      </w:tblGrid>
      <w:tr w:rsidR="00C26336" w14:paraId="2C987DC2" w14:textId="77777777">
        <w:tc>
          <w:tcPr>
            <w:tcW w:w="2628" w:type="dxa"/>
          </w:tcPr>
          <w:p w14:paraId="33A84015" w14:textId="77777777" w:rsidR="00C26336" w:rsidRDefault="00000000">
            <w:r>
              <w:t>Stage</w:t>
            </w:r>
          </w:p>
        </w:tc>
        <w:tc>
          <w:tcPr>
            <w:tcW w:w="2628" w:type="dxa"/>
          </w:tcPr>
          <w:p w14:paraId="58AF2F82" w14:textId="77777777" w:rsidR="00C26336" w:rsidRDefault="00000000">
            <w:r>
              <w:t>Rosen’s Language</w:t>
            </w:r>
          </w:p>
        </w:tc>
        <w:tc>
          <w:tcPr>
            <w:tcW w:w="2628" w:type="dxa"/>
          </w:tcPr>
          <w:p w14:paraId="53BE6BD0" w14:textId="77777777" w:rsidR="00C26336" w:rsidRDefault="00000000">
            <w:r>
              <w:t>Mechanism</w:t>
            </w:r>
          </w:p>
        </w:tc>
        <w:tc>
          <w:tcPr>
            <w:tcW w:w="2628" w:type="dxa"/>
          </w:tcPr>
          <w:p w14:paraId="4B3ADF62" w14:textId="77777777" w:rsidR="00C26336" w:rsidRDefault="00000000">
            <w:r>
              <w:t>Project Translation</w:t>
            </w:r>
          </w:p>
        </w:tc>
      </w:tr>
      <w:tr w:rsidR="00C26336" w14:paraId="538225D8" w14:textId="77777777">
        <w:tc>
          <w:tcPr>
            <w:tcW w:w="2628" w:type="dxa"/>
          </w:tcPr>
          <w:p w14:paraId="711D3611" w14:textId="77777777" w:rsidR="00C26336" w:rsidRDefault="00000000">
            <w:r>
              <w:t>Initial difference</w:t>
            </w:r>
          </w:p>
        </w:tc>
        <w:tc>
          <w:tcPr>
            <w:tcW w:w="2628" w:type="dxa"/>
          </w:tcPr>
          <w:p w14:paraId="08B02C08" w14:textId="77777777" w:rsidR="00C26336" w:rsidRDefault="00000000">
            <w:r>
              <w:t>most talented people</w:t>
            </w:r>
          </w:p>
        </w:tc>
        <w:tc>
          <w:tcPr>
            <w:tcW w:w="2628" w:type="dxa"/>
          </w:tcPr>
          <w:p w14:paraId="6995DA23" w14:textId="77777777" w:rsidR="00C26336" w:rsidRDefault="00000000">
            <w:r>
              <w:t>Perceived quality gradient</w:t>
            </w:r>
          </w:p>
        </w:tc>
        <w:tc>
          <w:tcPr>
            <w:tcW w:w="2628" w:type="dxa"/>
          </w:tcPr>
          <w:p w14:paraId="34DE6980" w14:textId="77777777" w:rsidR="00C26336" w:rsidRDefault="00000000">
            <w:r>
              <w:t>Candidates are not perfectly interchangeable</w:t>
            </w:r>
          </w:p>
        </w:tc>
      </w:tr>
      <w:tr w:rsidR="00C26336" w14:paraId="665BAFE7" w14:textId="77777777">
        <w:tc>
          <w:tcPr>
            <w:tcW w:w="2628" w:type="dxa"/>
          </w:tcPr>
          <w:p w14:paraId="42F2C136" w14:textId="77777777" w:rsidR="00C26336" w:rsidRDefault="00000000">
            <w:r>
              <w:t>Market allocation</w:t>
            </w:r>
          </w:p>
        </w:tc>
        <w:tc>
          <w:tcPr>
            <w:tcW w:w="2628" w:type="dxa"/>
          </w:tcPr>
          <w:p w14:paraId="75EB041D" w14:textId="77777777" w:rsidR="00C26336" w:rsidRDefault="00000000">
            <w:r>
              <w:t>size of one’s own market</w:t>
            </w:r>
          </w:p>
        </w:tc>
        <w:tc>
          <w:tcPr>
            <w:tcW w:w="2628" w:type="dxa"/>
          </w:tcPr>
          <w:p w14:paraId="5409C206" w14:textId="77777777" w:rsidR="00C26336" w:rsidRDefault="00000000">
            <w:r>
              <w:t>Attention and transactions concentrate</w:t>
            </w:r>
          </w:p>
        </w:tc>
        <w:tc>
          <w:tcPr>
            <w:tcW w:w="2628" w:type="dxa"/>
          </w:tcPr>
          <w:p w14:paraId="156532D4" w14:textId="77777777" w:rsidR="00C26336" w:rsidRDefault="00000000">
            <w:r>
              <w:t>Some actors receive larger visibility/opportunity pools</w:t>
            </w:r>
          </w:p>
        </w:tc>
      </w:tr>
      <w:tr w:rsidR="00C26336" w14:paraId="7AAAB3E7" w14:textId="77777777">
        <w:tc>
          <w:tcPr>
            <w:tcW w:w="2628" w:type="dxa"/>
          </w:tcPr>
          <w:p w14:paraId="6678164B" w14:textId="77777777" w:rsidR="00C26336" w:rsidRDefault="00000000">
            <w:r>
              <w:t>Reward transformation</w:t>
            </w:r>
          </w:p>
        </w:tc>
        <w:tc>
          <w:tcPr>
            <w:tcW w:w="2628" w:type="dxa"/>
          </w:tcPr>
          <w:p w14:paraId="27FC323C" w14:textId="77777777" w:rsidR="00C26336" w:rsidRDefault="00000000">
            <w:r>
              <w:t>personal reward</w:t>
            </w:r>
          </w:p>
        </w:tc>
        <w:tc>
          <w:tcPr>
            <w:tcW w:w="2628" w:type="dxa"/>
          </w:tcPr>
          <w:p w14:paraId="111FEC5C" w14:textId="77777777" w:rsidR="00C26336" w:rsidRDefault="00000000">
            <w:r>
              <w:t>Market size converts attention into income</w:t>
            </w:r>
          </w:p>
        </w:tc>
        <w:tc>
          <w:tcPr>
            <w:tcW w:w="2628" w:type="dxa"/>
          </w:tcPr>
          <w:p w14:paraId="10BB409E" w14:textId="77777777" w:rsidR="00C26336" w:rsidRDefault="00000000">
            <w:r>
              <w:t>Assignments, promotions, citations, sponsorships compound</w:t>
            </w:r>
          </w:p>
        </w:tc>
      </w:tr>
      <w:tr w:rsidR="00C26336" w14:paraId="4C9D5F0B" w14:textId="77777777">
        <w:tc>
          <w:tcPr>
            <w:tcW w:w="2628" w:type="dxa"/>
          </w:tcPr>
          <w:p w14:paraId="01C4A234" w14:textId="77777777" w:rsidR="00C26336" w:rsidRDefault="00000000">
            <w:r>
              <w:t>Distributional outcome</w:t>
            </w:r>
          </w:p>
        </w:tc>
        <w:tc>
          <w:tcPr>
            <w:tcW w:w="2628" w:type="dxa"/>
          </w:tcPr>
          <w:p w14:paraId="6F8F4CFA" w14:textId="77777777" w:rsidR="00C26336" w:rsidRDefault="00000000">
            <w:r>
              <w:t>marked skewness</w:t>
            </w:r>
          </w:p>
        </w:tc>
        <w:tc>
          <w:tcPr>
            <w:tcW w:w="2628" w:type="dxa"/>
          </w:tcPr>
          <w:p w14:paraId="6788F37A" w14:textId="77777777" w:rsidR="00C26336" w:rsidRDefault="00000000">
            <w:r>
              <w:t>Right-tail stretching</w:t>
            </w:r>
          </w:p>
        </w:tc>
        <w:tc>
          <w:tcPr>
            <w:tcW w:w="2628" w:type="dxa"/>
          </w:tcPr>
          <w:p w14:paraId="0BF18C3B" w14:textId="77777777" w:rsidR="00C26336" w:rsidRDefault="00000000">
            <w:r>
              <w:t>Observed outcomes become more unequal than underlying ability</w:t>
            </w:r>
          </w:p>
        </w:tc>
      </w:tr>
    </w:tbl>
    <w:p w14:paraId="4C53F7E5" w14:textId="77777777" w:rsidR="00C26336" w:rsidRDefault="00000000">
      <w:pPr>
        <w:pStyle w:val="Heading2"/>
      </w:pPr>
      <w:r>
        <w:t>Hidden Assumptions Introduced in the Opening</w:t>
      </w:r>
    </w:p>
    <w:p w14:paraId="4C59F04C" w14:textId="77777777" w:rsidR="00C26336" w:rsidRDefault="00000000">
      <w:r>
        <w:rPr>
          <w:b/>
        </w:rPr>
        <w:t xml:space="preserve">Talent is sufficiently observable. </w:t>
      </w:r>
      <w:r>
        <w:rPr>
          <w:color w:val="0000CC"/>
        </w:rPr>
        <w:t>Rosen will later assume a quality index q that is costlessly observable. This is analytically useful but sociologically fragile.</w:t>
      </w:r>
    </w:p>
    <w:p w14:paraId="316460DD" w14:textId="77777777" w:rsidR="00C26336" w:rsidRDefault="00000000">
      <w:r>
        <w:rPr>
          <w:b/>
        </w:rPr>
        <w:t xml:space="preserve">Consumers agree enough about quality for demand to concentrate. </w:t>
      </w:r>
      <w:r>
        <w:rPr>
          <w:color w:val="0000CC"/>
        </w:rPr>
        <w:t>If audiences radically disagree about who is best, superstar concentration weakens.</w:t>
      </w:r>
    </w:p>
    <w:p w14:paraId="72E4BC2C" w14:textId="77777777" w:rsidR="00C26336" w:rsidRDefault="00000000">
      <w:r>
        <w:rPr>
          <w:b/>
        </w:rPr>
        <w:t xml:space="preserve">Market size can expand. </w:t>
      </w:r>
      <w:r>
        <w:rPr>
          <w:color w:val="0000CC"/>
        </w:rPr>
        <w:t>Without scalable audiences, even the best performer remains constrained by time, place, and direct contact.</w:t>
      </w:r>
    </w:p>
    <w:p w14:paraId="4C13E589" w14:textId="77777777" w:rsidR="00C26336" w:rsidRDefault="00000000">
      <w:r>
        <w:rPr>
          <w:b/>
        </w:rPr>
        <w:t xml:space="preserve">Reward follows market size. </w:t>
      </w:r>
      <w:r>
        <w:rPr>
          <w:color w:val="0000CC"/>
        </w:rPr>
        <w:t>The theory works best when larger audiences or client bases translate into larger incomes or status rewards.</w:t>
      </w:r>
    </w:p>
    <w:p w14:paraId="325994DC" w14:textId="77777777" w:rsidR="00C26336" w:rsidRDefault="00000000">
      <w:r>
        <w:rPr>
          <w:b/>
        </w:rPr>
        <w:t xml:space="preserve">The best and the second-best are imperfect substitutes. </w:t>
      </w:r>
      <w:r>
        <w:rPr>
          <w:color w:val="0000CC"/>
        </w:rPr>
        <w:t>If many good performers were treated as equivalent, rewards would spread more evenly.</w:t>
      </w:r>
    </w:p>
    <w:p w14:paraId="31B07877" w14:textId="77777777" w:rsidR="00C26336" w:rsidRDefault="00000000">
      <w:pPr>
        <w:pStyle w:val="Heading2"/>
      </w:pPr>
      <w:r>
        <w:t>Margin Notes Worth Scribbling in the Manuscript</w:t>
      </w:r>
    </w:p>
    <w:p w14:paraId="5A0A3E14" w14:textId="77777777" w:rsidR="00C26336" w:rsidRDefault="00000000">
      <w:r>
        <w:t>• Rosen starts with the phenomenon, not the mechanism.</w:t>
      </w:r>
    </w:p>
    <w:p w14:paraId="55FC5EBB" w14:textId="77777777" w:rsidR="00C26336" w:rsidRDefault="00000000">
      <w:r>
        <w:t>• The puzzle is not inequality alone; it is extreme skew.</w:t>
      </w:r>
    </w:p>
    <w:p w14:paraId="4DCB0120" w14:textId="77777777" w:rsidR="00C26336" w:rsidRDefault="00000000">
      <w:r>
        <w:t>• Market size is the missing variable between talent and reward.</w:t>
      </w:r>
    </w:p>
    <w:p w14:paraId="7FF7169E" w14:textId="77777777" w:rsidR="00C26336" w:rsidRDefault="00000000">
      <w:r>
        <w:t>• Outcome concentration does not prove large talent differences.</w:t>
      </w:r>
    </w:p>
    <w:p w14:paraId="452B9E1D" w14:textId="77777777" w:rsidR="00C26336" w:rsidRDefault="00000000">
      <w:r>
        <w:t>• Something more is involved = find the amplifier.</w:t>
      </w:r>
    </w:p>
    <w:p w14:paraId="355D9BF9" w14:textId="77777777" w:rsidR="00C26336" w:rsidRDefault="00000000">
      <w:r>
        <w:t>• Rosen’s opening already contains the whole causal architecture of the paper.</w:t>
      </w:r>
    </w:p>
    <w:p w14:paraId="63356656" w14:textId="77777777" w:rsidR="00C26336" w:rsidRDefault="00000000">
      <w:r>
        <w:t>• Translate market size into attention size, opportunity size, or visibility size for organizations.</w:t>
      </w:r>
    </w:p>
    <w:p w14:paraId="12A3EB01" w14:textId="77777777" w:rsidR="00C26336" w:rsidRDefault="00000000">
      <w:pPr>
        <w:pStyle w:val="Heading2"/>
      </w:pPr>
      <w:r>
        <w:t>Five-Year Takeaway</w:t>
      </w:r>
    </w:p>
    <w:p w14:paraId="357B3F35" w14:textId="77777777" w:rsidR="00C26336" w:rsidRDefault="00000000">
      <w:r>
        <w:rPr>
          <w:color w:val="0000CC"/>
        </w:rPr>
        <w:t xml:space="preserve">The idea to remember five years later is this: </w:t>
      </w:r>
      <w:r>
        <w:rPr>
          <w:b/>
        </w:rPr>
        <w:t>superstar inequality is not primarily a story about extraordinary people; it is a story about systems that allow small perceived differences to command vastly different market sizes.</w:t>
      </w:r>
      <w:r>
        <w:rPr>
          <w:color w:val="0000CC"/>
        </w:rPr>
        <w:t xml:space="preserve"> Once market size becomes scalable, rewards can become much more unequal than talent. That is Rosen’s opening puzzle and the foundation for everything that follows.</w:t>
      </w:r>
    </w:p>
    <w:sectPr w:rsidR="00C26336"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986849">
    <w:abstractNumId w:val="8"/>
  </w:num>
  <w:num w:numId="2" w16cid:durableId="1526213522">
    <w:abstractNumId w:val="6"/>
  </w:num>
  <w:num w:numId="3" w16cid:durableId="1446003779">
    <w:abstractNumId w:val="5"/>
  </w:num>
  <w:num w:numId="4" w16cid:durableId="1470365805">
    <w:abstractNumId w:val="4"/>
  </w:num>
  <w:num w:numId="5" w16cid:durableId="1659920391">
    <w:abstractNumId w:val="7"/>
  </w:num>
  <w:num w:numId="6" w16cid:durableId="412289012">
    <w:abstractNumId w:val="3"/>
  </w:num>
  <w:num w:numId="7" w16cid:durableId="1918050169">
    <w:abstractNumId w:val="2"/>
  </w:num>
  <w:num w:numId="8" w16cid:durableId="162665455">
    <w:abstractNumId w:val="1"/>
  </w:num>
  <w:num w:numId="9" w16cid:durableId="478079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48"/>
    <w:rsid w:val="0029639D"/>
    <w:rsid w:val="00326F90"/>
    <w:rsid w:val="00670206"/>
    <w:rsid w:val="00AA1D8D"/>
    <w:rsid w:val="00B47730"/>
    <w:rsid w:val="00C263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3B997"/>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2142</Words>
  <Characters>12215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2026-06-22T20:10:00Z</dcterms:modified>
  <cp:category/>
</cp:coreProperties>
</file>