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5436CB" w14:textId="77777777" w:rsidR="00BB3AA4" w:rsidRDefault="00BB3AA4" w:rsidP="00BB3AA4">
      <w:pPr>
        <w:jc w:val="center"/>
        <w:rPr>
          <w:b/>
          <w:color w:val="0000FF"/>
          <w:sz w:val="36"/>
        </w:rPr>
      </w:pPr>
      <w:r>
        <w:rPr>
          <w:b/>
          <w:color w:val="0000FF"/>
          <w:sz w:val="36"/>
        </w:rPr>
        <w:t>Rosen Companion Volume</w:t>
      </w:r>
    </w:p>
    <w:p w14:paraId="7AADA506" w14:textId="77777777" w:rsidR="00BB3AA4" w:rsidRDefault="00BB3AA4" w:rsidP="00BB3AA4">
      <w:pPr>
        <w:jc w:val="center"/>
        <w:rPr>
          <w:b/>
          <w:color w:val="0000FF"/>
          <w:sz w:val="36"/>
        </w:rPr>
      </w:pPr>
      <w:r w:rsidRPr="00BB3AA4">
        <w:rPr>
          <w:b/>
          <w:color w:val="0000FF"/>
          <w:sz w:val="36"/>
        </w:rPr>
        <w:t>Chapter 3: The Magnification Principle</w:t>
      </w:r>
    </w:p>
    <w:p w14:paraId="5AA5A835" w14:textId="51F9E406" w:rsidR="00BB3AA4" w:rsidRDefault="00BB3AA4" w:rsidP="00BB3AA4">
      <w:pPr>
        <w:jc w:val="center"/>
      </w:pPr>
      <w:r>
        <w:rPr>
          <w:color w:val="0000FF"/>
        </w:rPr>
        <w:t>________________________________________________________________________________</w:t>
      </w:r>
    </w:p>
    <w:p w14:paraId="21EE3CFD" w14:textId="000205AD" w:rsidR="000001FB" w:rsidRDefault="00BB3AA4">
      <w:r w:rsidRPr="00F00454">
        <w:rPr>
          <w:rFonts w:asciiTheme="majorHAnsi" w:hAnsiTheme="majorHAnsi" w:cstheme="majorHAnsi"/>
          <w:b/>
          <w:color w:val="0070C0"/>
          <w:sz w:val="26"/>
          <w:szCs w:val="26"/>
        </w:rPr>
        <w:t>Anchor (Original Text):</w:t>
      </w:r>
      <w:r w:rsidRPr="00F00454">
        <w:rPr>
          <w:b/>
          <w:color w:val="0070C0"/>
          <w:sz w:val="28"/>
          <w:szCs w:val="28"/>
        </w:rPr>
        <w:t xml:space="preserve"> </w:t>
      </w:r>
      <w:r w:rsidR="00000000">
        <w:rPr>
          <w:b/>
        </w:rPr>
        <w:t xml:space="preserve"> “Properties of sellers’ maximum net revenue functions, R(q), will have special interest.”</w:t>
      </w:r>
    </w:p>
    <w:p w14:paraId="4BA67CDE" w14:textId="77777777" w:rsidR="000001FB" w:rsidRDefault="00000000">
      <w:pPr>
        <w:pStyle w:val="Heading2"/>
      </w:pPr>
      <w:r>
        <w:t>Key Quotations Worth Underlining</w:t>
      </w:r>
    </w:p>
    <w:p w14:paraId="4D112B03" w14:textId="77777777" w:rsidR="000001FB" w:rsidRDefault="00000000">
      <w:r>
        <w:rPr>
          <w:b/>
        </w:rPr>
        <w:t>“Properties of sellers’ maximum net revenue functions, R(q), will have special interest.”</w:t>
      </w:r>
    </w:p>
    <w:p w14:paraId="26ABEE2E" w14:textId="77777777" w:rsidR="000001FB" w:rsidRDefault="00000000">
      <w:r>
        <w:rPr>
          <w:b/>
        </w:rPr>
        <w:t>“small differences in talent may become translated into large differences in earnings.”</w:t>
      </w:r>
    </w:p>
    <w:p w14:paraId="2CDD1741" w14:textId="77777777" w:rsidR="000001FB" w:rsidRDefault="00000000">
      <w:r>
        <w:rPr>
          <w:b/>
        </w:rPr>
        <w:t>“convexity”</w:t>
      </w:r>
    </w:p>
    <w:p w14:paraId="38D1E976" w14:textId="77777777" w:rsidR="000001FB" w:rsidRDefault="00000000">
      <w:r>
        <w:rPr>
          <w:b/>
        </w:rPr>
        <w:t>“the distribution of earnings is more skewed than the distribution of talent.”</w:t>
      </w:r>
    </w:p>
    <w:p w14:paraId="67F62D54" w14:textId="77777777" w:rsidR="000001FB" w:rsidRDefault="00000000">
      <w:pPr>
        <w:spacing w:after="20"/>
      </w:pPr>
      <w:r>
        <w:rPr>
          <w:color w:val="0000FF"/>
        </w:rPr>
        <w:t>This chapter contains the intellectual center of the entire paper. If Chapter 1 identified the puzzle and Chapter 2 introduced market size, Chapter 3 explains the mechanism that connects them. Rosen is no longer asking whether superstar outcomes exist. He is asking how they are produced. His answer is that certain market structures magnify small differences. The language of the paper is mathematical, but the underlying idea is surprisingly intuitive. Under some conditions, the economic consequences of a difference become much larger than the difference itself.</w:t>
      </w:r>
    </w:p>
    <w:p w14:paraId="6A35EB12" w14:textId="77777777" w:rsidR="000001FB" w:rsidRDefault="00000000">
      <w:pPr>
        <w:spacing w:after="20"/>
      </w:pPr>
      <w:r>
        <w:rPr>
          <w:color w:val="0000FF"/>
        </w:rPr>
        <w:t>The key concept is convexity. Readers should not be intimidated by the terminology. Convexity simply means that rewards rise faster than performance differences. In a linear world, a performer who is ten percent better might earn ten percent more. In Rosen's world, a performer who is ten percent better may earn fifty percent more, one hundred percent more, or even several times more. The relationship between performance and reward bends upward.</w:t>
      </w:r>
    </w:p>
    <w:p w14:paraId="3187FF89" w14:textId="77777777" w:rsidR="000001FB" w:rsidRDefault="00000000">
      <w:pPr>
        <w:spacing w:after="20"/>
      </w:pPr>
      <w:r>
        <w:rPr>
          <w:color w:val="FF0000"/>
        </w:rPr>
        <w:t>This is the first major amplification mechanism in the paper. Rosen is effectively arguing that inequality is not merely a reflection of underlying differences. It is also a product of the structure through which those differences are translated into outcomes. The translation process matters.</w:t>
      </w:r>
    </w:p>
    <w:p w14:paraId="4962F71F" w14:textId="77777777" w:rsidR="000001FB" w:rsidRDefault="00000000">
      <w:pPr>
        <w:pStyle w:val="Heading2"/>
      </w:pPr>
      <w:r>
        <w:t>Why Convexity Matters</w:t>
      </w:r>
    </w:p>
    <w:p w14:paraId="74AF3D9F" w14:textId="77777777" w:rsidR="000001FB" w:rsidRDefault="00000000">
      <w:pPr>
        <w:spacing w:after="20"/>
      </w:pPr>
      <w:r>
        <w:rPr>
          <w:color w:val="0000FF"/>
        </w:rPr>
        <w:t>Many readers assume that reward distributions reveal the distribution of talent. Rosen challenges that assumption directly. The central claim of this chapter is that reward distributions can be dramatically more unequal than talent distributions. If rewards are convex, then observed outcomes become poor measures of the underlying differences that generated them.</w:t>
      </w:r>
    </w:p>
    <w:p w14:paraId="01DBE30B" w14:textId="77777777" w:rsidR="000001FB" w:rsidRDefault="00000000">
      <w:pPr>
        <w:spacing w:after="20"/>
      </w:pPr>
      <w:r>
        <w:rPr>
          <w:color w:val="0000FF"/>
        </w:rPr>
        <w:t>This insight helps explain why superstar markets often appear mysterious. Observers see enormous income gaps and naturally infer enormous talent gaps. Rosen asks us to consider another possibility. Perhaps the underlying differences are relatively modest and the market is doing most of the amplifying.</w:t>
      </w:r>
    </w:p>
    <w:p w14:paraId="6BA1CE39" w14:textId="77777777" w:rsidR="000001FB" w:rsidRDefault="00000000">
      <w:pPr>
        <w:spacing w:after="20"/>
      </w:pPr>
      <w:r>
        <w:rPr>
          <w:color w:val="FF0000"/>
        </w:rPr>
        <w:t>This distinction has implications far beyond entertainment. Promotion systems, academic careers, consulting firms, law partnerships, military advancement systems, and entrepreneurial ecosystems often display reward distributions that are substantially more unequal than observed differences in capability.</w:t>
      </w:r>
    </w:p>
    <w:p w14:paraId="39714783" w14:textId="77777777" w:rsidR="000001FB" w:rsidRDefault="00000000">
      <w:pPr>
        <w:pStyle w:val="Heading2"/>
      </w:pPr>
      <w:r>
        <w:t>The Amplification Chain</w:t>
      </w:r>
    </w:p>
    <w:p w14:paraId="49D13F16" w14:textId="77777777" w:rsidR="000001FB" w:rsidRDefault="00000000">
      <w:r>
        <w:t>Small Quality Difference → Slight Consumer Preference → Larger Market Share → Larger Revenue Base → Disproportionate Reward Difference</w:t>
      </w:r>
    </w:p>
    <w:p w14:paraId="7B6E084E" w14:textId="77777777" w:rsidR="000001FB" w:rsidRDefault="00000000">
      <w:pPr>
        <w:spacing w:after="20"/>
      </w:pPr>
      <w:r>
        <w:rPr>
          <w:color w:val="0000FF"/>
        </w:rPr>
        <w:t>This chain captures the logic of the chapter. No individual step appears dramatic. The power emerges from accumulation. A small preference advantage creates a slightly larger audience. The larger audience creates more revenue. Additional revenue creates additional opportunities. Over time, the outcome may appear vastly larger than the initial difference.</w:t>
      </w:r>
    </w:p>
    <w:p w14:paraId="474185F5" w14:textId="77777777" w:rsidR="000001FB" w:rsidRDefault="00000000">
      <w:pPr>
        <w:spacing w:after="20"/>
      </w:pPr>
      <w:r>
        <w:rPr>
          <w:color w:val="FF0000"/>
        </w:rPr>
        <w:t>This is where Rosen begins to overlap conceptually with later work on cumulative advantage. The mechanism differs, but the structure is similar. Small differences enter a system and are repeatedly magnified until large inequalities emerge.</w:t>
      </w:r>
    </w:p>
    <w:p w14:paraId="37BCD7F4" w14:textId="77777777" w:rsidR="000001FB" w:rsidRDefault="00000000">
      <w:pPr>
        <w:pStyle w:val="Heading2"/>
      </w:pPr>
      <w:r>
        <w:lastRenderedPageBreak/>
        <w:t>What Rosen Is Really Saying</w:t>
      </w:r>
    </w:p>
    <w:p w14:paraId="62B57E36" w14:textId="77777777" w:rsidR="000001FB" w:rsidRDefault="00000000">
      <w:pPr>
        <w:spacing w:after="20"/>
      </w:pPr>
      <w:r>
        <w:rPr>
          <w:color w:val="0000FF"/>
        </w:rPr>
        <w:t>A useful way to read this chapter is to imagine two musicians whose quality differs only slightly. If consumers consistently prefer one over the other, even by a small margin, demand begins to accumulate. Once technologies of reproduction and distribution are introduced, the preferred performer can serve a much larger audience. Revenue then becomes concentrated. The final earnings gap may bear little resemblance to the original quality gap.</w:t>
      </w:r>
    </w:p>
    <w:p w14:paraId="67B7BDE6" w14:textId="77777777" w:rsidR="000001FB" w:rsidRDefault="00000000">
      <w:pPr>
        <w:spacing w:after="20"/>
      </w:pPr>
      <w:r>
        <w:rPr>
          <w:color w:val="0000FF"/>
        </w:rPr>
        <w:t>This is why Rosen's theory remains powerful. He is not claiming that talent is irrelevant. He is claiming that talent and market structure interact. Neither factor alone explains superstar outcomes. The phenomenon emerges from their combination.</w:t>
      </w:r>
    </w:p>
    <w:p w14:paraId="0EFD0A0F" w14:textId="77777777" w:rsidR="000001FB" w:rsidRDefault="00000000">
      <w:pPr>
        <w:pStyle w:val="Heading2"/>
      </w:pPr>
      <w:r>
        <w:t>Mechanism Extraction</w:t>
      </w:r>
    </w:p>
    <w:p w14:paraId="1C778B56" w14:textId="77777777" w:rsidR="000001FB" w:rsidRDefault="00000000">
      <w:r>
        <w:t>Phenomenon: Extreme inequality in rewards.</w:t>
      </w:r>
    </w:p>
    <w:p w14:paraId="31292A53" w14:textId="77777777" w:rsidR="000001FB" w:rsidRDefault="00000000">
      <w:r>
        <w:t>Mechanism: Convex translation of quality into revenue.</w:t>
      </w:r>
    </w:p>
    <w:p w14:paraId="134981F4" w14:textId="77777777" w:rsidR="000001FB" w:rsidRDefault="00000000">
      <w:r>
        <w:t>Amplification Process: Small differences generate increasingly larger economic consequences.</w:t>
      </w:r>
    </w:p>
    <w:p w14:paraId="060B3247" w14:textId="77777777" w:rsidR="000001FB" w:rsidRDefault="00000000">
      <w:r>
        <w:t>Assumptions: Quality differences influence choice; markets permit scale; rewards track market success.</w:t>
      </w:r>
    </w:p>
    <w:p w14:paraId="76948FF4" w14:textId="77777777" w:rsidR="000001FB" w:rsidRDefault="00000000">
      <w:r>
        <w:t>Boundary Conditions: Differentiated markets rather than commodity markets.</w:t>
      </w:r>
    </w:p>
    <w:p w14:paraId="3C636C64" w14:textId="77777777" w:rsidR="000001FB" w:rsidRDefault="00000000">
      <w:r>
        <w:t>Alternative Explanations: Luck, network effects, reputation, institutional gatekeeping.</w:t>
      </w:r>
    </w:p>
    <w:p w14:paraId="4D420F9E" w14:textId="77777777" w:rsidR="000001FB" w:rsidRDefault="00000000">
      <w:pPr>
        <w:pStyle w:val="Heading2"/>
      </w:pPr>
      <w:r>
        <w:t>Hidden Assumptions</w:t>
      </w:r>
    </w:p>
    <w:p w14:paraId="7A5E11B0" w14:textId="77777777" w:rsidR="000001FB" w:rsidRDefault="00000000">
      <w:r>
        <w:t>• Consumers respond systematically to quality differences.</w:t>
      </w:r>
    </w:p>
    <w:p w14:paraId="05D97F5B" w14:textId="77777777" w:rsidR="000001FB" w:rsidRDefault="00000000">
      <w:r>
        <w:t>• Quality can be perceived.</w:t>
      </w:r>
    </w:p>
    <w:p w14:paraId="03F787A0" w14:textId="77777777" w:rsidR="000001FB" w:rsidRDefault="00000000">
      <w:r>
        <w:t>• Markets allow successful performers to expand reach.</w:t>
      </w:r>
    </w:p>
    <w:p w14:paraId="4A1AB621" w14:textId="77777777" w:rsidR="000001FB" w:rsidRDefault="00000000">
      <w:r>
        <w:t>• Revenue responds nonlinearly to market share.</w:t>
      </w:r>
    </w:p>
    <w:p w14:paraId="7DC9E1E2" w14:textId="77777777" w:rsidR="000001FB" w:rsidRDefault="00000000">
      <w:pPr>
        <w:pStyle w:val="Heading2"/>
      </w:pPr>
      <w:r>
        <w:t>The Underline Test</w:t>
      </w:r>
    </w:p>
    <w:p w14:paraId="44EB8965" w14:textId="77777777" w:rsidR="000001FB" w:rsidRDefault="00000000">
      <w:r>
        <w:rPr>
          <w:b/>
        </w:rPr>
        <w:t>The deepest insight of the chapter is that market structures can magnify differences; outcomes therefore reveal both talent and the mechanism translating talent into rewards.</w:t>
      </w:r>
    </w:p>
    <w:p w14:paraId="1B02CFEB" w14:textId="77777777" w:rsidR="000001FB" w:rsidRDefault="00000000">
      <w:pPr>
        <w:pStyle w:val="Heading2"/>
      </w:pPr>
      <w:r>
        <w:t>Five-Year Memory</w:t>
      </w:r>
    </w:p>
    <w:p w14:paraId="55EF373F" w14:textId="77777777" w:rsidR="000001FB" w:rsidRDefault="00000000">
      <w:r>
        <w:rPr>
          <w:b/>
        </w:rPr>
        <w:t>Small differences do not automatically create large inequalities. Large inequalities emerge when a system contains mechanisms that amplify those differences.</w:t>
      </w:r>
    </w:p>
    <w:p w14:paraId="552753A9" w14:textId="77777777" w:rsidR="000001FB" w:rsidRDefault="00000000">
      <w:pPr>
        <w:pStyle w:val="Heading2"/>
      </w:pPr>
      <w:r>
        <w:t>Margin Notes Worth Scribbling in the Manuscript</w:t>
      </w:r>
    </w:p>
    <w:p w14:paraId="60C16A30" w14:textId="77777777" w:rsidR="000001FB" w:rsidRDefault="00000000">
      <w:r>
        <w:t>• Convexity = rewards grow faster than differences.</w:t>
      </w:r>
    </w:p>
    <w:p w14:paraId="77138D93" w14:textId="77777777" w:rsidR="000001FB" w:rsidRDefault="00000000">
      <w:r>
        <w:t>• Outcome inequality may exceed talent inequality.</w:t>
      </w:r>
    </w:p>
    <w:p w14:paraId="442B2DF3" w14:textId="77777777" w:rsidR="000001FB" w:rsidRDefault="00000000">
      <w:r>
        <w:t>• Amplification is the core mechanism.</w:t>
      </w:r>
    </w:p>
    <w:p w14:paraId="478E8C2F" w14:textId="77777777" w:rsidR="000001FB" w:rsidRDefault="00000000">
      <w:r>
        <w:t>• The translation process matters as much as the initial difference.</w:t>
      </w:r>
    </w:p>
    <w:p w14:paraId="42A4B6CC" w14:textId="77777777" w:rsidR="000001FB" w:rsidRDefault="00000000">
      <w:r>
        <w:t>• This is the conceptual heart of the paper.</w:t>
      </w:r>
    </w:p>
    <w:sectPr w:rsidR="000001FB"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0388909">
    <w:abstractNumId w:val="8"/>
  </w:num>
  <w:num w:numId="2" w16cid:durableId="705562716">
    <w:abstractNumId w:val="6"/>
  </w:num>
  <w:num w:numId="3" w16cid:durableId="1864631809">
    <w:abstractNumId w:val="5"/>
  </w:num>
  <w:num w:numId="4" w16cid:durableId="1873229723">
    <w:abstractNumId w:val="4"/>
  </w:num>
  <w:num w:numId="5" w16cid:durableId="850876078">
    <w:abstractNumId w:val="7"/>
  </w:num>
  <w:num w:numId="6" w16cid:durableId="518593256">
    <w:abstractNumId w:val="3"/>
  </w:num>
  <w:num w:numId="7" w16cid:durableId="111437741">
    <w:abstractNumId w:val="2"/>
  </w:num>
  <w:num w:numId="8" w16cid:durableId="1685279909">
    <w:abstractNumId w:val="1"/>
  </w:num>
  <w:num w:numId="9" w16cid:durableId="11290817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FB"/>
    <w:rsid w:val="00034616"/>
    <w:rsid w:val="0006063C"/>
    <w:rsid w:val="0015074B"/>
    <w:rsid w:val="00201848"/>
    <w:rsid w:val="0029639D"/>
    <w:rsid w:val="00326F90"/>
    <w:rsid w:val="00AA1D8D"/>
    <w:rsid w:val="00B47730"/>
    <w:rsid w:val="00BB3A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260EC"/>
  <w14:defaultImageDpi w14:val="300"/>
  <w15:docId w15:val="{8D72C65E-40B0-EA47-9814-8AD9AAC8C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850</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Levine, Charles R CTR</cp:lastModifiedBy>
  <cp:revision>2</cp:revision>
  <dcterms:created xsi:type="dcterms:W3CDTF">2013-12-23T23:15:00Z</dcterms:created>
  <dcterms:modified xsi:type="dcterms:W3CDTF">2026-06-22T20:04:00Z</dcterms:modified>
  <cp:category/>
</cp:coreProperties>
</file>