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AA3DD8" w14:textId="77777777" w:rsidR="00522FA6" w:rsidRDefault="00000000" w:rsidP="00B12A76">
      <w:pPr>
        <w:jc w:val="center"/>
      </w:pPr>
      <w:r>
        <w:rPr>
          <w:b/>
          <w:color w:val="0000FF"/>
          <w:sz w:val="36"/>
        </w:rPr>
        <w:t>Rosen Companion Volume</w:t>
      </w:r>
    </w:p>
    <w:p w14:paraId="7C1387F8" w14:textId="77777777" w:rsidR="00522FA6" w:rsidRDefault="00000000" w:rsidP="00B12A76">
      <w:pPr>
        <w:jc w:val="center"/>
      </w:pPr>
      <w:r>
        <w:rPr>
          <w:b/>
          <w:color w:val="0000FF"/>
          <w:sz w:val="32"/>
        </w:rPr>
        <w:t>Chapter 6: Building the Demand Model</w:t>
      </w:r>
    </w:p>
    <w:p w14:paraId="145422B8" w14:textId="77777777" w:rsidR="00522FA6" w:rsidRDefault="00000000">
      <w:r>
        <w:rPr>
          <w:color w:val="0000FF"/>
        </w:rPr>
        <w:t>_______________________________________________________________________________________________</w:t>
      </w:r>
    </w:p>
    <w:p w14:paraId="7AC4966D" w14:textId="77777777" w:rsidR="00522FA6" w:rsidRDefault="00000000">
      <w:pPr>
        <w:pStyle w:val="Heading2"/>
      </w:pPr>
      <w:r>
        <w:t>Anchor (Original Text)</w:t>
      </w:r>
    </w:p>
    <w:p w14:paraId="62CBCC88" w14:textId="77777777" w:rsidR="00522FA6" w:rsidRDefault="00000000">
      <w:r>
        <w:t>“Assume the consumer has a well-behaved weakly separable utility function ...”</w:t>
      </w:r>
    </w:p>
    <w:p w14:paraId="3F725DB1" w14:textId="77777777" w:rsidR="00522FA6" w:rsidRDefault="00000000">
      <w:pPr>
        <w:pStyle w:val="Heading2"/>
      </w:pPr>
      <w:r>
        <w:t>Key Quotations Worth Underlining</w:t>
      </w:r>
    </w:p>
    <w:p w14:paraId="21811270" w14:textId="77777777" w:rsidR="00522FA6" w:rsidRDefault="00000000">
      <w:r>
        <w:rPr>
          <w:b/>
        </w:rPr>
        <w:t>“Assume the consumer has a well-behaved weakly separable utility function ...”</w:t>
      </w:r>
    </w:p>
    <w:p w14:paraId="6FAD22EF" w14:textId="77777777" w:rsidR="00522FA6" w:rsidRDefault="00000000">
      <w:r>
        <w:rPr>
          <w:b/>
        </w:rPr>
        <w:t>“quality”</w:t>
      </w:r>
    </w:p>
    <w:p w14:paraId="60221944" w14:textId="77777777" w:rsidR="00522FA6" w:rsidRDefault="00000000">
      <w:r>
        <w:rPr>
          <w:b/>
        </w:rPr>
        <w:t>“quantity”</w:t>
      </w:r>
    </w:p>
    <w:p w14:paraId="17303BDE" w14:textId="77777777" w:rsidR="00522FA6" w:rsidRDefault="00000000">
      <w:r>
        <w:rPr>
          <w:b/>
        </w:rPr>
        <w:t>“consumption of services of differing quality”</w:t>
      </w:r>
    </w:p>
    <w:p w14:paraId="30757849" w14:textId="77777777" w:rsidR="00522FA6" w:rsidRDefault="00000000">
      <w:pPr>
        <w:pStyle w:val="Heading2"/>
      </w:pPr>
      <w:r>
        <w:t>Integrated Commentary</w:t>
      </w:r>
    </w:p>
    <w:p w14:paraId="25944AAF" w14:textId="77777777" w:rsidR="00522FA6" w:rsidRDefault="00000000">
      <w:r>
        <w:rPr>
          <w:b/>
        </w:rPr>
        <w:t xml:space="preserve">“Assume the consumer has a well-behaved weakly separable utility function ...” </w:t>
      </w:r>
      <w:r>
        <w:rPr>
          <w:color w:val="0000FF"/>
        </w:rPr>
        <w:t>This is one of the places where many readers begin to worry that the paper is becoming too technical. In reality, Rosen is constructing a simplified model of consumer choice. The mathematics matters, but the deeper question is straightforward: how do consumers decide between quality and quantity?</w:t>
      </w:r>
    </w:p>
    <w:p w14:paraId="4501DDF6" w14:textId="77777777" w:rsidR="00522FA6" w:rsidRDefault="00000000">
      <w:r>
        <w:rPr>
          <w:color w:val="0000FF"/>
        </w:rPr>
        <w:t>Every consumer faces tradeoffs. One can purchase a larger amount of an ordinary experience or a smaller amount of a higher-quality experience. Rosen needs a formal framework for describing these choices because the superstar phenomenon ultimately emerges from the aggregation of many individual decisions.</w:t>
      </w:r>
    </w:p>
    <w:p w14:paraId="73ACFDA8" w14:textId="77777777" w:rsidR="00522FA6" w:rsidRDefault="00000000">
      <w:r>
        <w:rPr>
          <w:color w:val="FF0000"/>
        </w:rPr>
        <w:t xml:space="preserve">This is a useful reminder that large-scale inequalities often originate in countless small decisions. No central planner creates a superstar. Consumers collectively do so through repeated acts of selection. </w:t>
      </w:r>
      <w:r>
        <w:rPr>
          <w:color w:val="0000FF"/>
        </w:rPr>
        <w:t>The model is therefore less about individual celebrities and more about the structure of choice itself.</w:t>
      </w:r>
    </w:p>
    <w:p w14:paraId="4E8C0752" w14:textId="77777777" w:rsidR="00522FA6" w:rsidRDefault="00000000">
      <w:r>
        <w:rPr>
          <w:b/>
        </w:rPr>
        <w:t xml:space="preserve">“quality” </w:t>
      </w:r>
      <w:r>
        <w:rPr>
          <w:color w:val="0000FF"/>
        </w:rPr>
        <w:t>Throughout the paper, quality functions as a stand-in for talent, performance, skill, reputation, or perceived excellence. Rosen intentionally compresses many dimensions into a single variable. This simplification allows him to focus on amplification rather than measurement.</w:t>
      </w:r>
    </w:p>
    <w:p w14:paraId="6D01C734" w14:textId="77777777" w:rsidR="00522FA6" w:rsidRDefault="00000000">
      <w:r>
        <w:rPr>
          <w:color w:val="FF0000"/>
        </w:rPr>
        <w:t xml:space="preserve">Readers should remember that this simplification is both a strength and a limitation. </w:t>
      </w:r>
      <w:r>
        <w:rPr>
          <w:color w:val="0000FF"/>
        </w:rPr>
        <w:t>The model becomes elegant, but many real-world markets involve disagreement about quality. One person's superstar is another person's average performer.</w:t>
      </w:r>
    </w:p>
    <w:p w14:paraId="7843FDBD" w14:textId="77777777" w:rsidR="00522FA6" w:rsidRDefault="00000000">
      <w:r>
        <w:rPr>
          <w:b/>
        </w:rPr>
        <w:t xml:space="preserve">“quantity” </w:t>
      </w:r>
      <w:r>
        <w:rPr>
          <w:color w:val="0000FF"/>
        </w:rPr>
        <w:t>Quantity is the counterpart to quality. Consumers are not merely choosing who to consume. They are choosing how much to consume. The interaction between quality and quantity becomes crucial because superior performers may attract larger audiences even when their objective superiority is modest.</w:t>
      </w:r>
    </w:p>
    <w:p w14:paraId="636A326B" w14:textId="77777777" w:rsidR="00522FA6" w:rsidRDefault="00000000">
      <w:r>
        <w:rPr>
          <w:b/>
        </w:rPr>
        <w:t xml:space="preserve">“consumption of services of differing quality” </w:t>
      </w:r>
      <w:r>
        <w:rPr>
          <w:color w:val="0000FF"/>
        </w:rPr>
        <w:t>This phrase captures the core challenge of the chapter. Consumers must allocate attention across alternatives of varying quality. Once those choices become aggregated across an entire market, patterns begin to emerge. Some providers attract disproportionately large audiences. Others struggle to attract attention at all.</w:t>
      </w:r>
    </w:p>
    <w:p w14:paraId="7C1D2F53" w14:textId="77777777" w:rsidR="00522FA6" w:rsidRDefault="00000000">
      <w:r>
        <w:rPr>
          <w:color w:val="0000FF"/>
        </w:rPr>
        <w:t>The brilliance of Rosen's approach is that he builds the superstar phenomenon from the bottom up. Rather than beginning with inequality, he begins with individual choice. The eventual concentration of rewards emerges as the cumulative consequence of many decentralized decisions.</w:t>
      </w:r>
    </w:p>
    <w:p w14:paraId="06AD780B" w14:textId="77777777" w:rsidR="00522FA6" w:rsidRDefault="00000000">
      <w:r>
        <w:rPr>
          <w:color w:val="FF0000"/>
        </w:rPr>
        <w:t xml:space="preserve">This bottom-up logic connects Rosen to a much broader family of social theories. </w:t>
      </w:r>
      <w:r>
        <w:rPr>
          <w:color w:val="0000FF"/>
        </w:rPr>
        <w:t>Markets, organizations, scientific communities, and online platforms often display emergent outcomes. No one intends the final distribution, yet repeated local choices produce highly concentrated results.</w:t>
      </w:r>
    </w:p>
    <w:p w14:paraId="47E2FF42" w14:textId="77777777" w:rsidR="00522FA6" w:rsidRDefault="00000000">
      <w:r>
        <w:rPr>
          <w:color w:val="0000FF"/>
        </w:rPr>
        <w:lastRenderedPageBreak/>
        <w:t>Readers should not become lost in the mathematics of this section. The important takeaway is conceptual. Rosen is creating a formal bridge between individual preferences and collective inequality. The demand model is the machinery that allows later chapters to generate superstar outcomes systematically rather than anecdotally.</w:t>
      </w:r>
    </w:p>
    <w:p w14:paraId="6A6768D5" w14:textId="77777777" w:rsidR="00522FA6" w:rsidRDefault="00000000">
      <w:pPr>
        <w:pStyle w:val="Heading2"/>
      </w:pPr>
      <w:r>
        <w:t>Mechanism Extraction</w:t>
      </w:r>
    </w:p>
    <w:p w14:paraId="1C2D95C3" w14:textId="77777777" w:rsidR="00522FA6" w:rsidRDefault="00000000">
      <w:r>
        <w:t>Phenomenon: Concentration of demand among a small number of providers.</w:t>
      </w:r>
    </w:p>
    <w:p w14:paraId="1BD72046" w14:textId="77777777" w:rsidR="00522FA6" w:rsidRDefault="00000000">
      <w:r>
        <w:t>Mechanism: Aggregated consumer choice.</w:t>
      </w:r>
    </w:p>
    <w:p w14:paraId="26FDED61" w14:textId="77777777" w:rsidR="00522FA6" w:rsidRDefault="00000000">
      <w:r>
        <w:t>Amplification Process: Individual preferences → demand concentration → audience concentration → reward concentration.</w:t>
      </w:r>
    </w:p>
    <w:p w14:paraId="768874CE" w14:textId="77777777" w:rsidR="00522FA6" w:rsidRDefault="00000000">
      <w:r>
        <w:t>Assumptions: Consumers can evaluate quality and act on preferences.</w:t>
      </w:r>
    </w:p>
    <w:p w14:paraId="6BF6097B" w14:textId="77777777" w:rsidR="00522FA6" w:rsidRDefault="00000000">
      <w:r>
        <w:t>Boundary Conditions: Markets with meaningful quality differentiation.</w:t>
      </w:r>
    </w:p>
    <w:p w14:paraId="58D69D42" w14:textId="77777777" w:rsidR="00522FA6" w:rsidRDefault="00000000">
      <w:r>
        <w:t>Alternative Explanations: Social influence, reputation cascades, institutional filtering.</w:t>
      </w:r>
    </w:p>
    <w:p w14:paraId="3C5BC445" w14:textId="77777777" w:rsidR="00522FA6" w:rsidRDefault="00000000">
      <w:pPr>
        <w:pStyle w:val="Heading2"/>
      </w:pPr>
      <w:r>
        <w:t>Margin Notes Worth Scribbling in the Manuscript</w:t>
      </w:r>
    </w:p>
    <w:p w14:paraId="278555FF" w14:textId="77777777" w:rsidR="00522FA6" w:rsidRDefault="00000000">
      <w:r>
        <w:t>• The model starts with consumer choice.</w:t>
      </w:r>
    </w:p>
    <w:p w14:paraId="4140E3B0" w14:textId="77777777" w:rsidR="00522FA6" w:rsidRDefault="00000000">
      <w:r>
        <w:t>• Quality is a simplifying variable.</w:t>
      </w:r>
    </w:p>
    <w:p w14:paraId="716BBEC9" w14:textId="77777777" w:rsidR="00522FA6" w:rsidRDefault="00000000">
      <w:r>
        <w:t>• Superstars emerge from many small decisions.</w:t>
      </w:r>
    </w:p>
    <w:p w14:paraId="4D831BC8" w14:textId="77777777" w:rsidR="00522FA6" w:rsidRDefault="00000000">
      <w:r>
        <w:t>• Demand concentration begins at the individual level.</w:t>
      </w:r>
    </w:p>
    <w:p w14:paraId="39CD9DC0" w14:textId="77777777" w:rsidR="00522FA6" w:rsidRDefault="00000000">
      <w:r>
        <w:t>• Bottom-up processes can create extreme inequality.</w:t>
      </w:r>
    </w:p>
    <w:sectPr w:rsidR="00522FA6"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325428">
    <w:abstractNumId w:val="8"/>
  </w:num>
  <w:num w:numId="2" w16cid:durableId="1160921180">
    <w:abstractNumId w:val="6"/>
  </w:num>
  <w:num w:numId="3" w16cid:durableId="1121267864">
    <w:abstractNumId w:val="5"/>
  </w:num>
  <w:num w:numId="4" w16cid:durableId="122966370">
    <w:abstractNumId w:val="4"/>
  </w:num>
  <w:num w:numId="5" w16cid:durableId="553737672">
    <w:abstractNumId w:val="7"/>
  </w:num>
  <w:num w:numId="6" w16cid:durableId="2007315602">
    <w:abstractNumId w:val="3"/>
  </w:num>
  <w:num w:numId="7" w16cid:durableId="401491981">
    <w:abstractNumId w:val="2"/>
  </w:num>
  <w:num w:numId="8" w16cid:durableId="890262782">
    <w:abstractNumId w:val="1"/>
  </w:num>
  <w:num w:numId="9" w16cid:durableId="3574344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848"/>
    <w:rsid w:val="0029639D"/>
    <w:rsid w:val="00326F90"/>
    <w:rsid w:val="00522FA6"/>
    <w:rsid w:val="00AA1D8D"/>
    <w:rsid w:val="00B12A7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52FEF"/>
  <w14:defaultImageDpi w14:val="300"/>
  <w15:docId w15:val="{8D72C65E-40B0-EA47-9814-8AD9AAC8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2013-12-23T23:15:00Z</dcterms:created>
  <dcterms:modified xsi:type="dcterms:W3CDTF">2026-06-22T20:05:00Z</dcterms:modified>
  <cp:category/>
</cp:coreProperties>
</file>