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E63F3D" w14:textId="77777777" w:rsidR="008D377B" w:rsidRDefault="00000000">
      <w:pPr>
        <w:pStyle w:val="Heading1"/>
      </w:pPr>
      <w:r>
        <w:t>Rosen Companion Volume Production Standard (Master Style Guide)</w:t>
      </w:r>
    </w:p>
    <w:p w14:paraId="7814CFC3" w14:textId="77777777" w:rsidR="008D377B" w:rsidRDefault="00000000">
      <w:pPr>
        <w:pStyle w:val="Heading2"/>
      </w:pPr>
      <w:r>
        <w:t>PURPOSE</w:t>
      </w:r>
    </w:p>
    <w:p w14:paraId="51736C6B" w14:textId="77777777" w:rsidR="008D377B" w:rsidRDefault="00000000">
      <w:r>
        <w:t>Create a Guided Reading Companion Volume that sits beside Rosen's original manuscript. The companion is not a summary, annotation set, literature review, or textbook chapter. It is a scholarly reading companion that helps the reader understand difficult passages, uncover mechanisms, and connect ideas while reading Rosen side-by-side.</w:t>
      </w:r>
    </w:p>
    <w:p w14:paraId="54131305" w14:textId="77777777" w:rsidR="008D377B" w:rsidRDefault="00000000">
      <w:pPr>
        <w:pStyle w:val="Heading2"/>
      </w:pPr>
      <w:r>
        <w:t>FILE NAMING</w:t>
      </w:r>
    </w:p>
    <w:p w14:paraId="7ACD91F6" w14:textId="77777777" w:rsidR="008D377B" w:rsidRDefault="00000000">
      <w:r>
        <w:t>Use: Rosen_Companion_Chapter_#_ChapterName.docx. Appendices use: Rosen_Companion_Appendix_X_Title.docx.</w:t>
      </w:r>
    </w:p>
    <w:p w14:paraId="3B6580D4" w14:textId="77777777" w:rsidR="008D377B" w:rsidRDefault="00000000">
      <w:pPr>
        <w:pStyle w:val="Heading2"/>
      </w:pPr>
      <w:r>
        <w:t>PAGE LAYOUT</w:t>
      </w:r>
    </w:p>
    <w:p w14:paraId="400C2599" w14:textId="77777777" w:rsidR="008D377B" w:rsidRDefault="00000000">
      <w:r>
        <w:t>Top margin 0.35 in, Bottom 0.35 in, Left 0.40 in, Right 0.40 in. Dense print-first layout. Minimize wasted space. Optimize for printing, highlighting, annotation, and side-by-side reading with the manuscript.</w:t>
      </w:r>
    </w:p>
    <w:p w14:paraId="2D0B3D98" w14:textId="77777777" w:rsidR="008D377B" w:rsidRDefault="00000000">
      <w:pPr>
        <w:pStyle w:val="Heading2"/>
      </w:pPr>
      <w:r>
        <w:t>HEADER STANDARD</w:t>
      </w:r>
    </w:p>
    <w:p w14:paraId="2346AFFC" w14:textId="02A8E38C" w:rsidR="008D377B" w:rsidRDefault="00000000">
      <w:r>
        <w:t>Every chapter begins with: (1) Blue title line 'Rosen Companion Volume'</w:t>
      </w:r>
      <w:r w:rsidR="00BB5899">
        <w:t xml:space="preserve"> - centered</w:t>
      </w:r>
      <w:r>
        <w:t>; (2) Blue chapter title line 'Chapter X: Title'; (3) Blue horizontal rule immediately beneath title block with minimal spacing.</w:t>
      </w:r>
    </w:p>
    <w:p w14:paraId="69DA2020" w14:textId="77777777" w:rsidR="008D377B" w:rsidRDefault="00000000">
      <w:pPr>
        <w:pStyle w:val="Heading2"/>
      </w:pPr>
      <w:r>
        <w:t>REQUIRED CHAPTER SECTIONS</w:t>
      </w:r>
    </w:p>
    <w:p w14:paraId="700F53B3" w14:textId="1A581A8A" w:rsidR="008D377B" w:rsidRDefault="00000000">
      <w:r>
        <w:t>1. Anchor (Original Text)</w:t>
      </w:r>
      <w:r w:rsidR="00BB5899">
        <w:t xml:space="preserve">: </w:t>
      </w:r>
      <w:r>
        <w:t>. 2. Key Quotations Worth Underlining. 3. Integrated Commentary. 4. Mechanism Extraction. 5. Margin Notes Worth Scribbling in the Manuscript.</w:t>
      </w:r>
    </w:p>
    <w:p w14:paraId="170ADF55" w14:textId="77777777" w:rsidR="008D377B" w:rsidRDefault="00000000">
      <w:pPr>
        <w:pStyle w:val="Heading2"/>
      </w:pPr>
      <w:r>
        <w:t>ANCHOR SECTION</w:t>
      </w:r>
    </w:p>
    <w:p w14:paraId="71E8832D" w14:textId="77777777" w:rsidR="00841B96" w:rsidRDefault="00841B96" w:rsidP="00841B96">
      <w:r>
        <w:t xml:space="preserve">See the </w:t>
      </w:r>
      <w:r w:rsidRPr="00841B96">
        <w:t>Companion_Volume_Creation_Protocol_v2</w:t>
      </w:r>
      <w:r>
        <w:t xml:space="preserve"> document.</w:t>
      </w:r>
    </w:p>
    <w:p w14:paraId="3C771573" w14:textId="77777777" w:rsidR="008D377B" w:rsidRDefault="00000000">
      <w:pPr>
        <w:pStyle w:val="Heading2"/>
      </w:pPr>
      <w:r>
        <w:t>KEY QUOTATIONS</w:t>
      </w:r>
    </w:p>
    <w:p w14:paraId="3F7EBDF6" w14:textId="77777777" w:rsidR="008D377B" w:rsidRDefault="00000000">
      <w:r>
        <w:t>A curated list of the most important quotations from Rosen. Quotations appear in BLACK and BOLD. Use complete ideas whenever possible rather than isolated fragments.</w:t>
      </w:r>
    </w:p>
    <w:p w14:paraId="7C4A5065" w14:textId="77777777" w:rsidR="008D377B" w:rsidRDefault="00000000">
      <w:pPr>
        <w:pStyle w:val="Heading2"/>
      </w:pPr>
      <w:r>
        <w:t>INTEGRATED COMMENTARY</w:t>
      </w:r>
    </w:p>
    <w:p w14:paraId="49FB1E37" w14:textId="77777777" w:rsidR="008D377B" w:rsidRDefault="00000000">
      <w:r>
        <w:t>This is the heart of the companion. It should be substantially longer than any other section. It should read as a continuous guided-reading essay. The companion should feel like an expert scholar sitting beside the reader explaining Rosen in real time.</w:t>
      </w:r>
    </w:p>
    <w:p w14:paraId="41C2F0A2" w14:textId="77777777" w:rsidR="008D377B" w:rsidRDefault="00000000">
      <w:pPr>
        <w:pStyle w:val="Heading2"/>
      </w:pPr>
      <w:r>
        <w:t>COMMENTARY STYLE</w:t>
      </w:r>
    </w:p>
    <w:p w14:paraId="6E9649B8" w14:textId="77777777" w:rsidR="008D377B" w:rsidRDefault="00000000">
      <w:r>
        <w:t>Do NOT write quote → explanation → quote → explanation. Instead write a flowing narrative. Quotations are inserted only when Rosen's exact wording materially advances the discussion. The commentary serves the ideas; quotations support the commentary.</w:t>
      </w:r>
    </w:p>
    <w:p w14:paraId="16971401" w14:textId="77777777" w:rsidR="008D377B" w:rsidRDefault="00000000">
      <w:pPr>
        <w:pStyle w:val="Heading2"/>
      </w:pPr>
      <w:r>
        <w:t>BLUE TEXT</w:t>
      </w:r>
    </w:p>
    <w:p w14:paraId="3CE71D17" w14:textId="77777777" w:rsidR="008D377B" w:rsidRDefault="00000000">
      <w:r>
        <w:t>Blue text is interpretation, explanation, clarification, conceptual translation, simplification of dense language, mechanism identification, and intellectual guidance.</w:t>
      </w:r>
    </w:p>
    <w:p w14:paraId="0953D413" w14:textId="77777777" w:rsidR="008D377B" w:rsidRDefault="00000000">
      <w:pPr>
        <w:pStyle w:val="Heading2"/>
      </w:pPr>
      <w:r>
        <w:t>RED TEXT</w:t>
      </w:r>
    </w:p>
    <w:p w14:paraId="50FFD36D" w14:textId="36E7B3C6" w:rsidR="00841B96" w:rsidRDefault="00000000" w:rsidP="00841B96">
      <w:r>
        <w:t>Red text is implication, application, critique, significance, transferability, warnings, broader connections, research implications, methodological implications, and why the idea matters.</w:t>
      </w:r>
      <w:r w:rsidR="00BB5899">
        <w:t xml:space="preserve">  Red text is</w:t>
      </w:r>
      <w:r w:rsidR="00841B96">
        <w:t xml:space="preserve"> ONLY for connecting to my existing work.  </w:t>
      </w:r>
      <w:r w:rsidR="00841B96">
        <w:t xml:space="preserve">See the </w:t>
      </w:r>
      <w:r w:rsidR="00841B96" w:rsidRPr="00841B96">
        <w:t>Companion_Volume_Creation_Protocol_v2</w:t>
      </w:r>
      <w:r w:rsidR="00841B96">
        <w:t xml:space="preserve"> document.</w:t>
      </w:r>
    </w:p>
    <w:p w14:paraId="6FFB92C6" w14:textId="015ED757" w:rsidR="008D377B" w:rsidRDefault="008D377B"/>
    <w:p w14:paraId="213AA6C6" w14:textId="77777777" w:rsidR="008D377B" w:rsidRDefault="00000000">
      <w:pPr>
        <w:pStyle w:val="Heading2"/>
      </w:pPr>
      <w:r>
        <w:t>BLACK BOLD TEXT</w:t>
      </w:r>
    </w:p>
    <w:p w14:paraId="621CC289" w14:textId="77777777" w:rsidR="008D377B" w:rsidRDefault="00000000">
      <w:r>
        <w:t>BLACK BOLD is reserved for Rosen quotations. Quotations should appear naturally within the flow of the commentary when useful.</w:t>
      </w:r>
    </w:p>
    <w:p w14:paraId="045FDBFD" w14:textId="77777777" w:rsidR="008D377B" w:rsidRDefault="00000000">
      <w:pPr>
        <w:pStyle w:val="Heading2"/>
      </w:pPr>
      <w:r>
        <w:t>PARAGRAPH RULES</w:t>
      </w:r>
    </w:p>
    <w:p w14:paraId="6C8720B2" w14:textId="77777777" w:rsidR="008D377B" w:rsidRDefault="00000000">
      <w:r>
        <w:t>Paragraph breaks indicate changes in ideas. Color changes DO NOT require new paragraphs. Blue and red text may appear within the same paragraph. Quotations may be embedded naturally within a paragraph.</w:t>
      </w:r>
    </w:p>
    <w:p w14:paraId="16FE37D0" w14:textId="77777777" w:rsidR="008D377B" w:rsidRDefault="00000000">
      <w:pPr>
        <w:pStyle w:val="Heading2"/>
      </w:pPr>
      <w:r>
        <w:t>NARRATIVE GOAL</w:t>
      </w:r>
    </w:p>
    <w:p w14:paraId="31AFF6A9" w14:textId="77777777" w:rsidR="008D377B" w:rsidRDefault="00000000">
      <w:r>
        <w:t>The reader should feel: 'I understand Rosen more clearly now.' The reader should NOT feel: 'I just read notes about Rosen.'</w:t>
      </w:r>
    </w:p>
    <w:p w14:paraId="469691E7" w14:textId="77777777" w:rsidR="008D377B" w:rsidRDefault="00000000">
      <w:pPr>
        <w:pStyle w:val="Heading2"/>
      </w:pPr>
      <w:r>
        <w:t>DENSITY STANDARD</w:t>
      </w:r>
    </w:p>
    <w:p w14:paraId="196822F6" w14:textId="77777777" w:rsidR="008D377B" w:rsidRDefault="00000000">
      <w:r>
        <w:t>Verbosity is encouraged when it adds insight. More interpretation is generally better than less. Revisit ideas from multiple angles. Explain assumptions. Explain why Rosen is making a move. Connect chapters together. Maximize useful insight per printed page.</w:t>
      </w:r>
    </w:p>
    <w:p w14:paraId="4B11FB40" w14:textId="77777777" w:rsidR="008D377B" w:rsidRDefault="00000000">
      <w:pPr>
        <w:pStyle w:val="Heading2"/>
      </w:pPr>
      <w:r>
        <w:t>MECHANISM EXTRACTION</w:t>
      </w:r>
    </w:p>
    <w:p w14:paraId="0BE0B5D2" w14:textId="77777777" w:rsidR="008D377B" w:rsidRDefault="00000000">
      <w:r>
        <w:t>Identify phenomenon, mechanism, amplification process, assumptions, boundary conditions, and key insight. This section remains concise relative to Integrated Commentary.</w:t>
      </w:r>
    </w:p>
    <w:p w14:paraId="46ABFE86" w14:textId="77777777" w:rsidR="008D377B" w:rsidRDefault="00000000">
      <w:pPr>
        <w:pStyle w:val="Heading2"/>
      </w:pPr>
      <w:r>
        <w:t>MARGIN NOTES</w:t>
      </w:r>
    </w:p>
    <w:p w14:paraId="4F502E39" w14:textId="77777777" w:rsidR="008D377B" w:rsidRDefault="00000000">
      <w:r>
        <w:t>Short bullets that a reader could literally write in the manuscript margin. High-value observations only.</w:t>
      </w:r>
    </w:p>
    <w:p w14:paraId="520A2EDA" w14:textId="77777777" w:rsidR="008D377B" w:rsidRDefault="00000000">
      <w:pPr>
        <w:pStyle w:val="Heading2"/>
      </w:pPr>
      <w:r>
        <w:t>VOICE</w:t>
      </w:r>
    </w:p>
    <w:p w14:paraId="6BB43B7B" w14:textId="77777777" w:rsidR="008D377B" w:rsidRDefault="00000000">
      <w:r>
        <w:t>Scholarly but accessible. Explain difficult economic concepts in plain language. Translate technical language into ordinary language without sacrificing precision.</w:t>
      </w:r>
    </w:p>
    <w:p w14:paraId="7C5AD929" w14:textId="77777777" w:rsidR="008D377B" w:rsidRDefault="00000000">
      <w:pPr>
        <w:pStyle w:val="Heading2"/>
      </w:pPr>
      <w:r>
        <w:t>QUALITY TEST</w:t>
      </w:r>
    </w:p>
    <w:p w14:paraId="444A0749" w14:textId="77777777" w:rsidR="008D377B" w:rsidRDefault="00000000">
      <w:r>
        <w:t>Before finalizing a chapter ask: Does it resemble the strong Menger companion chapters? Does it resemble Chapter 1 of the Rosen companion? Is the commentary idea-driven rather than quote-driven? Are blue, red, and black quotations used correctly?</w:t>
      </w:r>
    </w:p>
    <w:p w14:paraId="35910AEB" w14:textId="77777777" w:rsidR="00841B96" w:rsidRDefault="00841B96"/>
    <w:p w14:paraId="3554474F" w14:textId="25C84FEB" w:rsidR="00841B96" w:rsidRDefault="00841B96">
      <w:r>
        <w:t>Here is an example of a good INTEGRATED COMMENTARY</w:t>
      </w:r>
    </w:p>
    <w:p w14:paraId="79DE82CE" w14:textId="77777777" w:rsidR="00841B96" w:rsidRDefault="00841B96" w:rsidP="00841B96">
      <w:pPr>
        <w:ind w:firstLine="720"/>
        <w:rPr>
          <w:color w:val="FF0000"/>
        </w:rPr>
      </w:pPr>
      <w:r>
        <w:rPr>
          <w:color w:val="0000FF"/>
        </w:rPr>
        <w:t xml:space="preserve">This chapter is one of the most important remaining sections of the paper because Menger finally turns from individual attributes and evaluative mechanisms toward the organizational ecology in which talent develops. The title itself, </w:t>
      </w:r>
      <w:r>
        <w:rPr>
          <w:b/>
        </w:rPr>
        <w:t xml:space="preserve">“Assortative matching : talent and its selective ecology,” </w:t>
      </w:r>
      <w:r>
        <w:rPr>
          <w:color w:val="0000FF"/>
        </w:rPr>
        <w:t>is worth pausing over. The phrase 'selective ecology' signals that talent is not merely something inside a person. Talent is embedded in environments that sort, match, expose, develop, and reward individuals. Menger is asking us to think ecologically: who works with whom, who trains with whom, who is admitted into which projects, who gains access to stronger collaborators, and how those arrangements shape future performance.</w:t>
      </w:r>
      <w:r>
        <w:rPr>
          <w:color w:val="FF0000"/>
        </w:rPr>
        <w:t xml:space="preserve"> This is extremely relevant to your project even though Menger is not asking your exact question. Local talent concentration is, in many ways, a measurable trace of selective ecology. If talented individuals are systematically sorted into talent-rich environments, then those environments may simultaneously provide developmental advantages and intensify competition.</w:t>
      </w:r>
    </w:p>
    <w:p w14:paraId="06E30D4A" w14:textId="76503143" w:rsidR="00841B96" w:rsidRDefault="00841B96" w:rsidP="00841B96">
      <w:pPr>
        <w:spacing w:after="0"/>
        <w:ind w:firstLine="720"/>
        <w:rPr>
          <w:color w:val="FF0000"/>
        </w:rPr>
      </w:pPr>
      <w:r>
        <w:rPr>
          <w:color w:val="0000FF"/>
        </w:rPr>
        <w:lastRenderedPageBreak/>
        <w:t xml:space="preserve">Menger’s first major claim is that the multiplicative model of talent requires an organizational counterpart. He writes that </w:t>
      </w:r>
      <w:r>
        <w:rPr>
          <w:b/>
        </w:rPr>
        <w:t xml:space="preserve">“there is a structure of work organization that amounts to an assortative matching game.” </w:t>
      </w:r>
      <w:r>
        <w:rPr>
          <w:color w:val="0000FF"/>
        </w:rPr>
        <w:t>This is a crucial extension of the previous chapter. If talent were purely individual, then we could study it by measuring individuals alone. But if performance depends on combinations of people, settings, collaborators, training partners, and institutional supports, then the organization of work becomes part of the production function. Talent is produced and expressed through relational arrangements.</w:t>
      </w:r>
      <w:r>
        <w:rPr>
          <w:color w:val="FF0000"/>
        </w:rPr>
        <w:t xml:space="preserve"> This is one of those places where the paper begins to sound almost tailor-made for a future network-science conversation. The question becomes: can we model the arrangement of people around an individual as part of the mechanism that shapes advancement? That does not mean the current manuscript must become a network paper. But it strongly supports the idea that local peer structure is not incidental.</w:t>
      </w:r>
      <w:r>
        <w:rPr>
          <w:color w:val="FF0000"/>
        </w:rPr>
        <w:t xml:space="preserve"> </w:t>
      </w:r>
      <w:r>
        <w:rPr>
          <w:color w:val="0000FF"/>
        </w:rPr>
        <w:t xml:space="preserve">Menger invokes Chambliss’s famous idea of 'qualitative jumps' to make this point vivid. He explains that </w:t>
      </w:r>
      <w:r>
        <w:rPr>
          <w:b/>
        </w:rPr>
        <w:t xml:space="preserve">“these jumps result from a ‘change in settings’, that is an improved work organization with better coaches, new training partners, and higher level contests.” </w:t>
      </w:r>
      <w:r>
        <w:rPr>
          <w:color w:val="0000FF"/>
        </w:rPr>
        <w:t>This quotation is powerful because it reframes development. Improvement is not merely the result of internal motivation or innate ability. It can occur because the individual enters a different setting. Better coaches, stronger peers, higher-level contests, and more demanding projects change what the person is exposed to and what the person is required to become. The setting alters the developmental trajectory.</w:t>
      </w:r>
      <w:r>
        <w:rPr>
          <w:color w:val="FF0000"/>
        </w:rPr>
        <w:t xml:space="preserve"> For basketball, this is immediately intuitive: stronger teammates, better coaching, and higher competition can accelerate development. For the Army, certain assignments, units, schools, mentors, and peer cohorts may function similarly. For academia, graduate programs, departments, labs, coauthors, and advisor networks can dramatically change what an early scholar becomes capable of producing.</w:t>
      </w:r>
    </w:p>
    <w:p w14:paraId="36DE2EFE" w14:textId="77777777" w:rsidR="00841B96" w:rsidRDefault="00841B96" w:rsidP="00841B96">
      <w:pPr>
        <w:spacing w:after="0"/>
        <w:ind w:firstLine="720"/>
        <w:rPr>
          <w:color w:val="FF0000"/>
        </w:rPr>
      </w:pPr>
      <w:r>
        <w:rPr>
          <w:color w:val="0000FF"/>
        </w:rPr>
        <w:t xml:space="preserve">The next quotation may be the core of the chapter: </w:t>
      </w:r>
      <w:r>
        <w:rPr>
          <w:b/>
        </w:rPr>
        <w:t xml:space="preserve">“the unique characteristic of assortative matching is that it provides ‘matched’ individuals with higher returns on their respective abilities than they would otherwise obtain in the case of random matching.” </w:t>
      </w:r>
      <w:r>
        <w:rPr>
          <w:color w:val="0000FF"/>
        </w:rPr>
        <w:t>This sentence deserves substantial attention. Menger is not merely saying that talented people like to work with other talented people. He is saying that matching changes returns to ability. In random matching, an individual’s ability may not be fully activated. In assortative matching, ability is paired with complementary ability, stronger collaborators, better infrastructure, and more demanding expectations. The result is that the same underlying ability may produce different outcomes depending on the matching environment.</w:t>
      </w:r>
      <w:r>
        <w:rPr>
          <w:color w:val="FF0000"/>
        </w:rPr>
        <w:t xml:space="preserve"> This is one of the clearest ways Menger can help your thinking. A talented individual does not carry a fixed advancement probability everywhere. The environment can alter the return on that individual’s ability. Your project may be studying a further complication: when the local environment contains many strong peers, the developmental return may rise while the advancement probability may eventually become constrained by competition.</w:t>
      </w:r>
    </w:p>
    <w:p w14:paraId="7F5819C1" w14:textId="77777777" w:rsidR="00DD13F3" w:rsidRDefault="00841B96" w:rsidP="00DD13F3">
      <w:pPr>
        <w:spacing w:after="0"/>
        <w:ind w:firstLine="720"/>
        <w:rPr>
          <w:color w:val="FF0000"/>
        </w:rPr>
      </w:pPr>
      <w:r>
        <w:rPr>
          <w:color w:val="0000FF"/>
        </w:rPr>
        <w:t xml:space="preserve">Menger then generalizes the argument from individuals to projects and careers. He writes that </w:t>
      </w:r>
      <w:r>
        <w:rPr>
          <w:b/>
        </w:rPr>
        <w:t xml:space="preserve">“Assembling professionals of approximately equal level—each in their respective function—has a multiplicative effect on a given project’s chances for success and on the project collaborators’ chances of accumulating reputation.” </w:t>
      </w:r>
      <w:r>
        <w:rPr>
          <w:color w:val="0000FF"/>
        </w:rPr>
        <w:t>This statement connects assortative matching to both production and reputation. Strong teams increase the likelihood that the project succeeds, but they also increase the chance that participants accumulate reputational capital. In other words, matching affects both what is produced and how participants are subsequently evaluated. The mechanism is developmental, productive, and reputational at the same time.</w:t>
      </w:r>
      <w:r>
        <w:rPr>
          <w:color w:val="FF0000"/>
        </w:rPr>
        <w:t xml:space="preserve"> This three-part structure—developmental, productive, reputational—may be very useful when you later explain why talent-rich environments have ambiguous effects. They may improve skills and increase exposure, but they may also change the reference group against which advancement is judged. That duality is extremely close to the core intuition of Advancement Under Constrained Distinction.</w:t>
      </w:r>
    </w:p>
    <w:p w14:paraId="5FEB12F2" w14:textId="77777777" w:rsidR="00DD13F3" w:rsidRDefault="00841B96" w:rsidP="00DD13F3">
      <w:pPr>
        <w:spacing w:after="0"/>
        <w:ind w:firstLine="720"/>
        <w:rPr>
          <w:color w:val="FF0000"/>
        </w:rPr>
      </w:pPr>
      <w:r>
        <w:rPr>
          <w:color w:val="0000FF"/>
        </w:rPr>
        <w:t xml:space="preserve">The academic discussion is especially important for your intellectual community. Menger writes that </w:t>
      </w:r>
      <w:r>
        <w:rPr>
          <w:b/>
        </w:rPr>
        <w:t xml:space="preserve">“The academic world builds with unprecedented strength on the same assortative game…” </w:t>
      </w:r>
      <w:r>
        <w:rPr>
          <w:color w:val="0000FF"/>
        </w:rPr>
        <w:t xml:space="preserve">He then argues that top universities attract leading scholars and highly selected students, impose costly research-based educational technologies, benefit from team organization, and exploit networked architectures shaped by assortative matching. This is not a marginal example. Academia is one of Menger’s central cases. It is where talent sorting, prestige, </w:t>
      </w:r>
      <w:r>
        <w:rPr>
          <w:color w:val="0000FF"/>
        </w:rPr>
        <w:lastRenderedPageBreak/>
        <w:t>research productivity, peer learning, and inequality amplification become visibly intertwined.</w:t>
      </w:r>
      <w:r>
        <w:rPr>
          <w:color w:val="FF0000"/>
        </w:rPr>
        <w:t xml:space="preserve"> This is one reason you were right to insist on reading the entire manuscript. Even if the Army and basketball cases are central to your empirical project, the academic sections connect directly to Alex’s world: science of science, research productivity, elite institutions, prestige, and the concentration of opportunity.</w:t>
      </w:r>
    </w:p>
    <w:p w14:paraId="54FBA6B5" w14:textId="77777777" w:rsidR="00DD13F3" w:rsidRDefault="00841B96" w:rsidP="00DD13F3">
      <w:pPr>
        <w:spacing w:after="0"/>
        <w:ind w:firstLine="720"/>
        <w:rPr>
          <w:color w:val="FF0000"/>
        </w:rPr>
      </w:pPr>
      <w:r>
        <w:rPr>
          <w:color w:val="0000FF"/>
        </w:rPr>
        <w:t xml:space="preserve">Perhaps the richest paragraph begins with </w:t>
      </w:r>
      <w:r>
        <w:rPr>
          <w:b/>
        </w:rPr>
        <w:t xml:space="preserve">“The mechanism is intriguing.” </w:t>
      </w:r>
      <w:r>
        <w:rPr>
          <w:color w:val="0000FF"/>
        </w:rPr>
        <w:t>Menger explains that assortative matching works in two directions at once. On one hand, matching reduces uncertainty by allowing hierarchies to become visible after repeated comparison tournaments. Strong individuals are gradually sorted into stronger collaborations. On the other hand, matching also creates new abilities by placing individuals in environments that allow them to accumulate skills, reputation, and opportunities. This is a very subtle argument. Matching both reveals and produces quality. It is simultaneously a signal and a developmental mechanism.</w:t>
      </w:r>
      <w:r>
        <w:rPr>
          <w:color w:val="FF0000"/>
        </w:rPr>
        <w:t xml:space="preserve"> This distinction may be crucial for your project. Local talent concentration may partly reflect prior selection—strong people have been sorted together. But it may also actively change the people inside it by shaping development, opportunity, and comparison. That means local talent concentration is not merely a descriptive statistic; it may be a dynamic environment.</w:t>
      </w:r>
      <w:r w:rsidR="00DD13F3">
        <w:rPr>
          <w:color w:val="FF0000"/>
        </w:rPr>
        <w:t xml:space="preserve"> </w:t>
      </w:r>
      <w:r>
        <w:rPr>
          <w:color w:val="0000FF"/>
        </w:rPr>
        <w:t xml:space="preserve">Menger states this dual role clearly when he writes that </w:t>
      </w:r>
      <w:r>
        <w:rPr>
          <w:b/>
        </w:rPr>
        <w:t xml:space="preserve">“the quality of professional matching acts like a signal… but it also affects that individual’s chances of accumulating new skills…” </w:t>
      </w:r>
      <w:r>
        <w:rPr>
          <w:color w:val="0000FF"/>
        </w:rPr>
        <w:t>This is one of the best sentences in the chapter. Matching tells others something about the individual’s status, but it also changes what the individual becomes capable of doing. Signal and substance are intertwined. Prestige is not merely a reflection of quality; it may also help generate future quality by placing individuals into higher-quality environments.</w:t>
      </w:r>
      <w:r>
        <w:rPr>
          <w:color w:val="FF0000"/>
        </w:rPr>
        <w:t xml:space="preserve"> This observation should resonate strongly with academic careers. Being in a prestigious department, lab, or coauthor network signals quality, but it also changes access to ideas, resources, collaborators, and attention. The same logic may apply to elite Army assignments or high-profile basketball programs.</w:t>
      </w:r>
    </w:p>
    <w:p w14:paraId="437D9281" w14:textId="77777777" w:rsidR="00DD13F3" w:rsidRDefault="00841B96" w:rsidP="00DD13F3">
      <w:pPr>
        <w:spacing w:after="0"/>
        <w:ind w:firstLine="720"/>
        <w:rPr>
          <w:color w:val="FF0000"/>
        </w:rPr>
      </w:pPr>
      <w:r>
        <w:rPr>
          <w:color w:val="0000FF"/>
        </w:rPr>
        <w:t xml:space="preserve">The final conceptual correction Menger makes is also important. He argues that </w:t>
      </w:r>
      <w:r>
        <w:rPr>
          <w:b/>
        </w:rPr>
        <w:t>“</w:t>
      </w:r>
      <w:proofErr w:type="spellStart"/>
      <w:r>
        <w:rPr>
          <w:b/>
        </w:rPr>
        <w:t>assortativeness</w:t>
      </w:r>
      <w:proofErr w:type="spellEnd"/>
      <w:r>
        <w:rPr>
          <w:b/>
        </w:rPr>
        <w:t xml:space="preserve"> is not merely a matter of managing positional signals.” </w:t>
      </w:r>
      <w:r>
        <w:rPr>
          <w:color w:val="0000FF"/>
        </w:rPr>
        <w:t>This is his pushback against a purely status-based reading. Assortative matching is not only about signaling where people stand in a hierarchy. It can also create innovation, risk, learning, and diversity. If elite people only worked with other elite people in predictable ways, the system would become sterile. New work often requires risky combinations, mismatches, and collaborations that do not simply reproduce existing hierarchy. Menger is therefore careful to avoid making assortative matching too static.</w:t>
      </w:r>
      <w:r>
        <w:rPr>
          <w:color w:val="FF0000"/>
        </w:rPr>
        <w:t xml:space="preserve"> This is a useful caution. A talent-rich environment is not automatically good or bad. Its effect likely depends on the structure of opportunity, the nature of collaboration, the evaluation system, and the scarcity of advancement. That is exactly why your nonlinear framework is more interesting than a simple 'better peers are better' claim.</w:t>
      </w:r>
    </w:p>
    <w:p w14:paraId="063211F6" w14:textId="436A3D93" w:rsidR="00841B96" w:rsidRDefault="00841B96" w:rsidP="00841B96">
      <w:pPr>
        <w:ind w:firstLine="720"/>
      </w:pPr>
      <w:r>
        <w:rPr>
          <w:color w:val="0000FF"/>
        </w:rPr>
        <w:t>Stepping back, this chapter may be Menger’s strongest bridge between talent and network structure. The individual matters, but the individual is embedded in a selective ecology. Talent develops through exposure, collaboration, competition, and matching. Inequality is therefore produced not only by differences among individuals but also by the patterned arrangement of individuals across environments. This is the kind of argument that makes the paper feel deeply relevant to science of science, academic labor markets, sports development, and organizational sociology.</w:t>
      </w:r>
      <w:r w:rsidR="00DD13F3">
        <w:rPr>
          <w:color w:val="0000FF"/>
        </w:rPr>
        <w:t xml:space="preserve"> </w:t>
      </w:r>
      <w:r>
        <w:rPr>
          <w:color w:val="FF0000"/>
        </w:rPr>
        <w:t>If I were summarizing this chapter for Alex, I would say: Menger argues that assortative matching is not merely a sorting outcome; it is a developmental and reputational mechanism. That sentence alone could become a major conceptual bridge between this paper and your broader research program.</w:t>
      </w:r>
    </w:p>
    <w:p w14:paraId="50346C78" w14:textId="77777777" w:rsidR="00841B96" w:rsidRDefault="00841B96"/>
    <w:sectPr w:rsidR="00841B96"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591279">
    <w:abstractNumId w:val="8"/>
  </w:num>
  <w:num w:numId="2" w16cid:durableId="915211148">
    <w:abstractNumId w:val="6"/>
  </w:num>
  <w:num w:numId="3" w16cid:durableId="1186794088">
    <w:abstractNumId w:val="5"/>
  </w:num>
  <w:num w:numId="4" w16cid:durableId="848103092">
    <w:abstractNumId w:val="4"/>
  </w:num>
  <w:num w:numId="5" w16cid:durableId="1370567415">
    <w:abstractNumId w:val="7"/>
  </w:num>
  <w:num w:numId="6" w16cid:durableId="1127243028">
    <w:abstractNumId w:val="3"/>
  </w:num>
  <w:num w:numId="7" w16cid:durableId="2145389963">
    <w:abstractNumId w:val="2"/>
  </w:num>
  <w:num w:numId="8" w16cid:durableId="710153020">
    <w:abstractNumId w:val="1"/>
  </w:num>
  <w:num w:numId="9" w16cid:durableId="21043736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848"/>
    <w:rsid w:val="0029639D"/>
    <w:rsid w:val="00326F90"/>
    <w:rsid w:val="00841B96"/>
    <w:rsid w:val="008D377B"/>
    <w:rsid w:val="00AA1D8D"/>
    <w:rsid w:val="00B47730"/>
    <w:rsid w:val="00BB5899"/>
    <w:rsid w:val="00CB0664"/>
    <w:rsid w:val="00DD1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9ED54"/>
  <w14:defaultImageDpi w14:val="300"/>
  <w15:docId w15:val="{8D72C65E-40B0-EA47-9814-8AD9AAC8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2129</Words>
  <Characters>12137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2026-06-22T21:09:00Z</dcterms:modified>
  <cp:category/>
</cp:coreProperties>
</file>