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9143EC8" w14:textId="77777777" w:rsidR="0060380C" w:rsidRDefault="00000000">
      <w:pPr>
        <w:pStyle w:val="Title"/>
      </w:pPr>
      <w:r>
        <w:t>Universal Companion Volume Architecture &amp; Production System</w:t>
      </w:r>
    </w:p>
    <w:p w14:paraId="48B96250" w14:textId="77777777" w:rsidR="0060380C" w:rsidRDefault="00000000">
      <w:r>
        <w:t>Purpose: This document teaches a future agent how to think about, design, produce, audit, and maintain a Companion Volume from scratch. It is intended to serve as the single source of truth for companion creation and to minimize format drift, interpretation drift, and production inconsistency.</w:t>
      </w:r>
    </w:p>
    <w:p w14:paraId="0AFD60DF" w14:textId="77777777" w:rsidR="0060380C" w:rsidRDefault="00000000">
      <w:pPr>
        <w:pStyle w:val="Heading1"/>
      </w:pPr>
      <w:r>
        <w:t>PART I — WHAT A COMPANION VOLUME IS</w:t>
      </w:r>
    </w:p>
    <w:p w14:paraId="3579FB44" w14:textId="77777777" w:rsidR="0060380C" w:rsidRDefault="00000000">
      <w:r>
        <w:t>A Companion Volume is a guided-reading layer that sits beside a source manuscript. The reader reads the manuscript and companion together. The companion exists to improve understanding, reveal mechanisms, translate dense passages, expose assumptions, and help the reader notice what matters. A companion is not a replacement for the source; it is a cognitive aid that increases the value of reading the source.</w:t>
      </w:r>
    </w:p>
    <w:p w14:paraId="23A938A5" w14:textId="77777777" w:rsidR="0060380C" w:rsidRDefault="00000000">
      <w:pPr>
        <w:pStyle w:val="Heading1"/>
      </w:pPr>
      <w:r>
        <w:t>PART II — WHAT A COMPANION VOLUME IS NOT</w:t>
      </w:r>
    </w:p>
    <w:p w14:paraId="2DEEDCB9" w14:textId="77777777" w:rsidR="0060380C" w:rsidRDefault="00000000">
      <w:r>
        <w:t>A companion is not a summary, not Cliff Notes, not annotations, not a textbook, not a literature review, not a book report, not a quote collection, and not an independent article. If the companion can be read without the manuscript and still fully function, it has probably drifted away from its purpose.</w:t>
      </w:r>
    </w:p>
    <w:p w14:paraId="3F966353" w14:textId="77777777" w:rsidR="0060380C" w:rsidRDefault="00000000">
      <w:pPr>
        <w:pStyle w:val="Heading1"/>
      </w:pPr>
      <w:r>
        <w:t>PART III — READER EXPERIENCE MODEL</w:t>
      </w:r>
    </w:p>
    <w:p w14:paraId="076D30E3" w14:textId="77777777" w:rsidR="0060380C" w:rsidRDefault="00000000">
      <w:r>
        <w:t>The reader should feel as though an expert scholar is sitting beside them. The companion should reduce confusion without reducing intellectual depth. The reader should repeatedly think: 'I understand this passage more clearly now.' The companion should increase engagement with the manuscript rather than replace it.</w:t>
      </w:r>
    </w:p>
    <w:p w14:paraId="02F91DC1" w14:textId="77777777" w:rsidR="0060380C" w:rsidRDefault="00000000">
      <w:pPr>
        <w:pStyle w:val="Heading1"/>
      </w:pPr>
      <w:r>
        <w:t>PART IV — MANUSCRIPT DECOMPOSITION</w:t>
      </w:r>
    </w:p>
    <w:p w14:paraId="29F72BD0" w14:textId="77777777" w:rsidR="0060380C" w:rsidRDefault="00000000">
      <w:r>
        <w:t>Before writing begins, decompose the manuscript into conceptual units. Chapters are defined by major conceptual transitions, not arbitrary page counts. Each companion chapter corresponds to one meaningful unit of thought. Dense sections may be split if it improves comprehension. Sparse sections may be combined if they form one conceptual unit.</w:t>
      </w:r>
    </w:p>
    <w:p w14:paraId="0A5894F9" w14:textId="77777777" w:rsidR="0060380C" w:rsidRDefault="00000000">
      <w:pPr>
        <w:pStyle w:val="Heading1"/>
      </w:pPr>
      <w:r>
        <w:t>PART V — ANCHOR TEXT THEORY</w:t>
      </w:r>
    </w:p>
    <w:p w14:paraId="0357C6BD" w14:textId="562A0441" w:rsidR="0060380C" w:rsidRDefault="00000000">
      <w:r>
        <w:t>The Anchor Text is not the best quote. It is a navigational coordinate. The Anchor Text is the exact opening text from the manuscript paragraph where the companion chapter begins, continuing through the first natural break. The Anchor defines the chapter boundary and tells the reader where to begin in the manuscript</w:t>
      </w:r>
      <w:r w:rsidR="00D221FE">
        <w:t xml:space="preserve"> to match the chapter information against the manuscript text it is based on</w:t>
      </w:r>
    </w:p>
    <w:p w14:paraId="596FEF90" w14:textId="77777777" w:rsidR="0060380C" w:rsidRDefault="00000000">
      <w:pPr>
        <w:pStyle w:val="Heading1"/>
      </w:pPr>
      <w:r>
        <w:t>PART VI — COMPANION CHAPTER ARCHITECTURE</w:t>
      </w:r>
    </w:p>
    <w:p w14:paraId="36465C47" w14:textId="77777777" w:rsidR="0060380C" w:rsidRDefault="00000000">
      <w:r>
        <w:t>Typical structure: Header; Anchor (Original Text); Key Quotations Worth Underlining; Integrated Commentary; Mechanism Extraction (when warranted); Margin Notes Worth Scribbling in the Manuscript; Optional Five-Year Takeaway; Optional Diagrams. Each section has a specific role and should not be omitted without reason.</w:t>
      </w:r>
    </w:p>
    <w:p w14:paraId="444ED806" w14:textId="77777777" w:rsidR="0060380C" w:rsidRDefault="00000000">
      <w:pPr>
        <w:pStyle w:val="Heading1"/>
      </w:pPr>
      <w:r>
        <w:lastRenderedPageBreak/>
        <w:t>PART VII — INTEGRATED COMMENTARY THEORY</w:t>
      </w:r>
    </w:p>
    <w:p w14:paraId="1FC23BEB" w14:textId="77777777" w:rsidR="0060380C" w:rsidRDefault="00000000">
      <w:r>
        <w:t>Integrated Commentary is the heart of the companion. It is a continuous guided-reading narrative. It is idea-driven rather than quote-driven. Quotations appear when they materially help understanding. The companion should not devolve into quote-explanation-quote-explanation formatting. Commentary should feel like a conversation with the manuscript.</w:t>
      </w:r>
    </w:p>
    <w:p w14:paraId="798162C3" w14:textId="77777777" w:rsidR="0060380C" w:rsidRDefault="00000000">
      <w:pPr>
        <w:pStyle w:val="Heading1"/>
      </w:pPr>
      <w:r>
        <w:t>PART VIII — COLOR SYSTEM</w:t>
      </w:r>
    </w:p>
    <w:p w14:paraId="73B6BC1C" w14:textId="77777777" w:rsidR="0060380C" w:rsidRDefault="00000000">
      <w:r>
        <w:t>BLACK BOLD: source quotations. BLUE: explanation, interpretation, conceptual translation, mechanism identification, clarification, hidden assumptions when strongly supported. RED: implications for the reader's research, coding, modeling, simulations, organizational systems, amplification research, cumulative advantage research, or future work. Red is not generic significance commentary.</w:t>
      </w:r>
    </w:p>
    <w:p w14:paraId="445B8651" w14:textId="77777777" w:rsidR="0060380C" w:rsidRDefault="00000000">
      <w:pPr>
        <w:pStyle w:val="Heading1"/>
      </w:pPr>
      <w:r>
        <w:t>PART IX — QUOTATION PHILOSOPHY</w:t>
      </w:r>
    </w:p>
    <w:p w14:paraId="063CACEB" w14:textId="77777777" w:rsidR="0060380C" w:rsidRDefault="00000000">
      <w:r>
        <w:t>There is no target quotation count. Quotation density should emerge from manuscript density. Some chapters may require one quotation; others may require many. Use quotations when they are profound, encapsulate a major idea, signal a transition, or deserve preservation in the author's exact words.</w:t>
      </w:r>
    </w:p>
    <w:p w14:paraId="60C25E87" w14:textId="77777777" w:rsidR="0060380C" w:rsidRDefault="00000000">
      <w:pPr>
        <w:pStyle w:val="Heading1"/>
      </w:pPr>
      <w:r>
        <w:t>PART X — ITERATIVE DEEPENING</w:t>
      </w:r>
    </w:p>
    <w:p w14:paraId="1BB152DD" w14:textId="77777777" w:rsidR="0060380C" w:rsidRDefault="00000000">
      <w:r>
        <w:t>Important ideas should be revisited when each revisit adds understanding. Introduce, expand, connect, and deepen. Avoid repetitive restatement. Seek progressive enrichment of understanding.</w:t>
      </w:r>
    </w:p>
    <w:p w14:paraId="7CC49863" w14:textId="77777777" w:rsidR="0060380C" w:rsidRDefault="00000000">
      <w:pPr>
        <w:pStyle w:val="Heading1"/>
      </w:pPr>
      <w:r>
        <w:t>PART XI — RESEARCH INTEGRATION</w:t>
      </w:r>
    </w:p>
    <w:p w14:paraId="1D16FF55" w14:textId="77777777" w:rsidR="0060380C" w:rsidRDefault="00000000">
      <w:r>
        <w:t>Research connections must serve the reader's active research agenda. Connect manuscript ideas to modeling, simulation, coding, organizational systems, cumulative advantage, amplification systems, or ongoing projects when genuinely useful. Omit forced connections.</w:t>
      </w:r>
    </w:p>
    <w:p w14:paraId="164E32FA" w14:textId="77777777" w:rsidR="0060380C" w:rsidRDefault="00000000">
      <w:pPr>
        <w:pStyle w:val="Heading1"/>
      </w:pPr>
      <w:r>
        <w:t>PART XII — EQUATIONS</w:t>
      </w:r>
    </w:p>
    <w:p w14:paraId="51066527" w14:textId="77777777" w:rsidR="0060380C" w:rsidRDefault="00000000">
      <w:r>
        <w:t>Reproduce important equations when discussed. Use Word equations or LaTeX-style formatting when possible. Explain intuition before derivation. Focus on what the equation is doing conceptually. Do not turn the companion into a mathematics textbook.</w:t>
      </w:r>
    </w:p>
    <w:p w14:paraId="7D637C2E" w14:textId="77777777" w:rsidR="0060380C" w:rsidRDefault="00000000">
      <w:pPr>
        <w:pStyle w:val="Heading1"/>
      </w:pPr>
      <w:r>
        <w:t>PART XIII — DIAGRAMS AND VISUALS</w:t>
      </w:r>
    </w:p>
    <w:p w14:paraId="6C9FE9F1" w14:textId="77777777" w:rsidR="0060380C" w:rsidRDefault="00000000">
      <w:r>
        <w:t>Create diagrams whenever they materially improve understanding. Visuals may reproduce manuscript figures or introduce superior explanatory diagrams. Every diagram requires a caption. Preferred visuals include amplification chains, causal loops, hierarchy formation diagrams, process maps, and conceptual frameworks.</w:t>
      </w:r>
    </w:p>
    <w:p w14:paraId="4DDEBEB5" w14:textId="77777777" w:rsidR="0060380C" w:rsidRDefault="00000000">
      <w:pPr>
        <w:pStyle w:val="Heading1"/>
      </w:pPr>
      <w:r>
        <w:t>PART XIV — FOOTNOTES</w:t>
      </w:r>
    </w:p>
    <w:p w14:paraId="7546FED7" w14:textId="77777777" w:rsidR="0060380C" w:rsidRDefault="00000000">
      <w:r>
        <w:t>Important footnotes should be integrated into commentary. Footnotes often contain assumptions, caveats, or boundary conditions that materially affect understanding.</w:t>
      </w:r>
    </w:p>
    <w:p w14:paraId="3FAB7D2F" w14:textId="77777777" w:rsidR="0060380C" w:rsidRDefault="00000000">
      <w:pPr>
        <w:pStyle w:val="Heading1"/>
      </w:pPr>
      <w:r>
        <w:lastRenderedPageBreak/>
        <w:t>PART XV — MECHANISM EXTRACTION</w:t>
      </w:r>
    </w:p>
    <w:p w14:paraId="30EE5050" w14:textId="77777777" w:rsidR="0060380C" w:rsidRDefault="00000000">
      <w:r>
        <w:t>When a substantive mechanism exists, explicitly identify: phenomenon, mechanism, amplification chain, assumptions, boundary conditions, and key insight. Mechanism Extraction helps the reader separate description from causal explanation.</w:t>
      </w:r>
    </w:p>
    <w:p w14:paraId="418BD78B" w14:textId="77777777" w:rsidR="0060380C" w:rsidRDefault="00000000">
      <w:pPr>
        <w:pStyle w:val="Heading1"/>
      </w:pPr>
      <w:r>
        <w:t>PART XVI — MARGIN NOTES</w:t>
      </w:r>
    </w:p>
    <w:p w14:paraId="2CD8B81A" w14:textId="77777777" w:rsidR="0060380C" w:rsidRDefault="00000000">
      <w:r>
        <w:t>Margin Notes are high-value observations suitable for writing directly into the manuscript margin. They should be concise, memorable, and insight-rich.</w:t>
      </w:r>
    </w:p>
    <w:p w14:paraId="111B97AA" w14:textId="77777777" w:rsidR="0060380C" w:rsidRDefault="00000000">
      <w:pPr>
        <w:pStyle w:val="Heading1"/>
      </w:pPr>
      <w:r>
        <w:t>PART XVII — VOICE</w:t>
      </w:r>
    </w:p>
    <w:p w14:paraId="6A95FC8B" w14:textId="77777777" w:rsidR="0060380C" w:rsidRDefault="00000000">
      <w:r>
        <w:t>Use confidence proportional to certainty. Direct reader address is encouraged when useful. Strong textual support allows confident interpretation. Weaker support requires tentative language. Do not overstate certainty.</w:t>
      </w:r>
    </w:p>
    <w:p w14:paraId="17064BA5" w14:textId="77777777" w:rsidR="0060380C" w:rsidRDefault="00000000">
      <w:pPr>
        <w:pStyle w:val="Heading1"/>
      </w:pPr>
      <w:r>
        <w:t>PART XVIII — FAILURE MODES</w:t>
      </w:r>
    </w:p>
    <w:p w14:paraId="6790C90A" w14:textId="77777777" w:rsidR="0060380C" w:rsidRDefault="00000000">
      <w:r>
        <w:t>Common failures: becoming a summary; becoming lecture notes; becoming quote-driven; becoming a literature review; losing contact with the manuscript; overusing project commentary; underexplaining difficult passages; ignoring assumptions; focusing on formatting instead of reader understanding.</w:t>
      </w:r>
    </w:p>
    <w:p w14:paraId="387D6524" w14:textId="77777777" w:rsidR="0060380C" w:rsidRDefault="00000000">
      <w:pPr>
        <w:pStyle w:val="Heading1"/>
      </w:pPr>
      <w:r>
        <w:t>PART XIX — PRODUCTION WORKFLOW</w:t>
      </w:r>
    </w:p>
    <w:p w14:paraId="3D9DEE1F" w14:textId="77777777" w:rsidR="0060380C" w:rsidRDefault="00000000">
      <w:r>
        <w:t>1. Read manuscript section. 2. Identify conceptual boundary. 3. Establish Anchor Text. 4. Identify profound quotations. 5. Draft Integrated Commentary. 6. Add research-linked red commentary where warranted. 7. Add diagrams if useful. 8. Add Mechanism Extraction. 9. Add Margin Notes. 10. Perform QA review.</w:t>
      </w:r>
    </w:p>
    <w:p w14:paraId="6EC4DF25" w14:textId="77777777" w:rsidR="0060380C" w:rsidRDefault="00000000">
      <w:pPr>
        <w:pStyle w:val="Heading1"/>
      </w:pPr>
      <w:r>
        <w:t>PART XX — QUALITY ASSURANCE</w:t>
      </w:r>
    </w:p>
    <w:p w14:paraId="11B17E03" w14:textId="77777777" w:rsidR="0060380C" w:rsidRDefault="00000000">
      <w:r>
        <w:t>Verify: chapter boundary is conceptual; anchor follows boundary rule; quotations are black bold; commentary is idea-driven; blue and red are used correctly; equations are handled appropriately; diagrams are present when useful; mechanism extraction exists when warranted; margin notes are present; chapter supports side-by-side reading.</w:t>
      </w:r>
    </w:p>
    <w:p w14:paraId="613BFE66" w14:textId="77777777" w:rsidR="0060380C" w:rsidRDefault="00000000">
      <w:pPr>
        <w:pStyle w:val="Heading1"/>
      </w:pPr>
      <w:r>
        <w:t>PART XXI — EDITORIAL JUDGMENT FRAMEWORK</w:t>
      </w:r>
    </w:p>
    <w:p w14:paraId="559B6991" w14:textId="77777777" w:rsidR="0060380C" w:rsidRDefault="00000000">
      <w:r>
        <w:t>When rules do not directly apply, optimize for reader understanding. Favor clarity over cleverness, insight over brevity, and conceptual depth over surface coverage. The goal is not to write more. The goal is to help the reader understand more.</w:t>
      </w:r>
    </w:p>
    <w:p w14:paraId="462DC9B3" w14:textId="77777777" w:rsidR="0060380C" w:rsidRDefault="00000000">
      <w:pPr>
        <w:pStyle w:val="Heading1"/>
      </w:pPr>
      <w:r>
        <w:t>PART XXII — ASSUME NOTHING PROTOCOL</w:t>
      </w:r>
    </w:p>
    <w:p w14:paraId="659FB2B0" w14:textId="77777777" w:rsidR="0060380C" w:rsidRDefault="00000000">
      <w:r>
        <w:t>If a rule is unclear, documents conflict, information is missing, a decision materially affects output, or uncertainty exists: STOP. Ask. Do not guess. Do not infer. Questions are part of the production process. No question is a bad question. Reader alignment is more important than speed. Shared understanding is more valuable than rapid output.</w:t>
      </w:r>
    </w:p>
    <w:sectPr w:rsidR="0060380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68495536">
    <w:abstractNumId w:val="8"/>
  </w:num>
  <w:num w:numId="2" w16cid:durableId="1221671683">
    <w:abstractNumId w:val="6"/>
  </w:num>
  <w:num w:numId="3" w16cid:durableId="133914032">
    <w:abstractNumId w:val="5"/>
  </w:num>
  <w:num w:numId="4" w16cid:durableId="2139294510">
    <w:abstractNumId w:val="4"/>
  </w:num>
  <w:num w:numId="5" w16cid:durableId="1475834501">
    <w:abstractNumId w:val="7"/>
  </w:num>
  <w:num w:numId="6" w16cid:durableId="1527913464">
    <w:abstractNumId w:val="3"/>
  </w:num>
  <w:num w:numId="7" w16cid:durableId="936139058">
    <w:abstractNumId w:val="2"/>
  </w:num>
  <w:num w:numId="8" w16cid:durableId="761418209">
    <w:abstractNumId w:val="1"/>
  </w:num>
  <w:num w:numId="9" w16cid:durableId="69927780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1848"/>
    <w:rsid w:val="0029639D"/>
    <w:rsid w:val="00326F90"/>
    <w:rsid w:val="0060380C"/>
    <w:rsid w:val="00AA1D8D"/>
    <w:rsid w:val="00B47730"/>
    <w:rsid w:val="00CB0664"/>
    <w:rsid w:val="00D221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EE1800"/>
  <w14:defaultImageDpi w14:val="300"/>
  <w15:docId w15:val="{8D72C65E-40B0-EA47-9814-8AD9AAC8C1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1117</Words>
  <Characters>6372</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Levine, Charles R CTR</cp:lastModifiedBy>
  <cp:revision>2</cp:revision>
  <dcterms:created xsi:type="dcterms:W3CDTF">2013-12-23T23:15:00Z</dcterms:created>
  <dcterms:modified xsi:type="dcterms:W3CDTF">2026-06-22T22:13:00Z</dcterms:modified>
  <cp:category/>
</cp:coreProperties>
</file>