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FF"/>
          <w:sz w:val="48"/>
        </w:rPr>
        <w:t>Universal Companion Volume Creation Manual</w:t>
      </w:r>
    </w:p>
    <w:p>
      <w:pPr>
        <w:jc w:val="center"/>
      </w:pPr>
      <w:r>
        <w:rPr>
          <w:i/>
          <w:sz w:val="28"/>
        </w:rPr>
        <w:t>A Complete Agent Training System for Creating Guided Reading Editions</w:t>
      </w:r>
    </w:p>
    <w:p/>
    <w:p>
      <w:pPr>
        <w:jc w:val="center"/>
      </w:pPr>
      <w:r>
        <w:rPr>
          <w:b/>
          <w:sz w:val="26"/>
        </w:rPr>
        <w:t>Comprehensive Edition</w:t>
      </w:r>
    </w:p>
    <w:p/>
    <w:p>
      <w:r>
        <w:t>This manual is designed for an agent with zero prior knowledge of this project. The agent should be able to receive this manual and a manuscript and understand what a Companion Volume is, how to decompose the manuscript, how to create chapters, how to format them, how to use quotations and color-coded commentary, how to integrate research context, how to audit quality, and when to stop and ask questions instead of assuming.</w:t>
      </w:r>
    </w:p>
    <w:p>
      <w:r>
        <w:t>This manual intentionally begins broadly, like explaining the game before explaining the rulebook. Formatting rules appear later because formatting only makes sense after the agent understands the purpose and architecture of the companion.</w:t>
      </w:r>
    </w:p>
    <w:p>
      <w:r>
        <w:t>The highest priority is reader understanding. The second highest priority is manuscript fidelity. The third highest priority is consistency across chapters. Speed is not a priority.</w:t>
      </w:r>
    </w:p>
    <w:p>
      <w:r>
        <w:br w:type="page"/>
      </w:r>
    </w:p>
    <w:p>
      <w:pPr>
        <w:pStyle w:val="Heading1"/>
      </w:pPr>
      <w:r>
        <w:t>How to Use This Manual</w:t>
      </w:r>
    </w:p>
    <w:p>
      <w:r>
        <w:t>A future agent should read Parts I through V before creating anything. Those parts define the purpose and architecture of a Companion Volume. Parts VI through XI explain production rules, examples, and auditing. The appendices provide templates and operational checklists.</w:t>
      </w:r>
    </w:p>
    <w:p>
      <w:r>
        <w:t>Minimum materials for a new companion project:</w:t>
      </w:r>
    </w:p>
    <w:p>
      <w:r>
        <w:t>• This manual.</w:t>
      </w:r>
    </w:p>
    <w:p>
      <w:r>
        <w:t>• The manuscript to be companioned.</w:t>
      </w:r>
    </w:p>
    <w:p>
      <w:r>
        <w:t>• A reader/research profile if available. If unavailable, use the default reader model in Part IX.</w:t>
      </w:r>
    </w:p>
    <w:p>
      <w:r>
        <w:t>• A canonical example chapter if available. If unavailable, use the embedded examples in this manual.</w:t>
      </w:r>
    </w:p>
    <w:p>
      <w:r>
        <w:t>If the user provides additional style guides, exemplar chapters, or project notes, reconcile them against this manual. If any conflict appears, ask the user before proceeding.</w:t>
      </w:r>
    </w:p>
    <w:p>
      <w:pPr>
        <w:pStyle w:val="Heading2"/>
      </w:pPr>
      <w:r>
        <w:t>The Football Analogy: Learn the Game Before the Rules</w:t>
      </w:r>
    </w:p>
    <w:p>
      <w:r>
        <w:t>You do not teach football by starting with penalties and line markings. You first explain that two teams attempt to move a ball down a field to score, while the other team attempts to stop them. After that basic game is understood, the rules make sense. Companion creation works the same way.</w:t>
      </w:r>
    </w:p>
    <w:p>
      <w:r>
        <w:t>The basic game is: a reader is reading a dense manuscript and wants to think with it, not merely understand the surface of it. The companion walks beside the reader, translating compression into accessible explanation, identifying mechanisms, preserving important quotations, and connecting the ideas to the reader's research when appropriate.</w:t>
      </w:r>
    </w:p>
    <w:p>
      <w:r>
        <w:t>Only after this game is understood should an agent think about margins, font sizes, color coding, or section order.</w:t>
      </w:r>
    </w:p>
    <w:p>
      <w:pPr>
        <w:pStyle w:val="Heading1"/>
      </w:pPr>
      <w:r>
        <w:t>Part I — What a Companion Volume Is</w:t>
      </w:r>
    </w:p>
    <w:p>
      <w:r>
        <w:t>A Companion Volume is a guided reading edition of a manuscript. It is built for side-by-side reading. The reader should have the manuscript open and the companion open. The companion tells the reader where to begin, what to notice, what the author is doing, which phrases deserve attention, what assumptions are being made, and how the ideas connect across the paper.</w:t>
      </w:r>
    </w:p>
    <w:p>
      <w:r>
        <w:t>The companion is not a replacement for the manuscript. It is a cognitive scaffold. If the companion becomes fully independent, it has drifted toward textbook or summary. A successful companion makes the reader want to return to the original manuscript because the manuscript now makes more sense.</w:t>
      </w:r>
    </w:p>
    <w:p>
      <w:r>
        <w:t>A Companion Volume is especially useful when the manuscript is dense rather than obscure. The reader may understand every word but still need help unpacking the sentence because the author has compressed several assumptions, mechanisms, and implications into a small space.</w:t>
      </w:r>
    </w:p>
    <w:p>
      <w:pPr>
        <w:pStyle w:val="Heading2"/>
      </w:pPr>
      <w:r>
        <w:t>Primary Success Criterion</w:t>
      </w:r>
    </w:p>
    <w:p>
      <w:r>
        <w:t>A chapter succeeds when the reader can read the manuscript and companion side-by-side and feel guided by an expert. This includes comprehension and discovery: the reader understands the text more clearly and notices important ideas that would otherwise have been missed.</w:t>
      </w:r>
    </w:p>
    <w:p>
      <w:pPr>
        <w:pStyle w:val="Heading2"/>
      </w:pPr>
      <w:r>
        <w:t>What the Companion Should Feel Like</w:t>
      </w:r>
    </w:p>
    <w:p>
      <w:r>
        <w:t>• An expert scholar sitting beside the reader.</w:t>
      </w:r>
    </w:p>
    <w:p>
      <w:r>
        <w:t>• A slow, careful guided walk through the manuscript.</w:t>
      </w:r>
    </w:p>
    <w:p>
      <w:r>
        <w:t>• A translator of dense academic prose into accessible conceptual language.</w:t>
      </w:r>
    </w:p>
    <w:p>
      <w:r>
        <w:t>• A mechanism extractor.</w:t>
      </w:r>
    </w:p>
    <w:p>
      <w:r>
        <w:t>• A source of margin-note-worthy insights.</w:t>
      </w:r>
    </w:p>
    <w:p>
      <w:r>
        <w:t>• A bridge between the manuscript and the reader's research agenda.</w:t>
      </w:r>
    </w:p>
    <w:p>
      <w:pPr>
        <w:pStyle w:val="Heading2"/>
      </w:pPr>
      <w:r>
        <w:t>What the Companion Must Not Become</w:t>
      </w:r>
    </w:p>
    <w:tbl>
      <w:tblPr>
        <w:tblW w:type="auto" w:w="0"/>
        <w:jc w:val="center"/>
        <w:tblLook w:firstColumn="1" w:firstRow="1" w:lastColumn="0" w:lastRow="0" w:noHBand="0" w:noVBand="1" w:val="04A0"/>
      </w:tblPr>
      <w:tblGrid>
        <w:gridCol w:w="5400"/>
        <w:gridCol w:w="5400"/>
      </w:tblGrid>
      <w:tr>
        <w:tc>
          <w:tcPr>
            <w:tcW w:type="dxa" w:w="5400"/>
            <w:shd w:fill="D9EAF7"/>
          </w:tcPr>
          <w:p>
            <w:r>
              <w:t>Failure Type</w:t>
            </w:r>
          </w:p>
        </w:tc>
        <w:tc>
          <w:tcPr>
            <w:tcW w:type="dxa" w:w="5400"/>
            <w:shd w:fill="D9EAF7"/>
          </w:tcPr>
          <w:p>
            <w:r>
              <w:t>Why It Fails</w:t>
            </w:r>
          </w:p>
        </w:tc>
      </w:tr>
      <w:tr>
        <w:tc>
          <w:tcPr>
            <w:tcW w:type="dxa" w:w="5400"/>
          </w:tcPr>
          <w:p>
            <w:r>
              <w:t>Summary</w:t>
            </w:r>
          </w:p>
        </w:tc>
        <w:tc>
          <w:tcPr>
            <w:tcW w:type="dxa" w:w="5400"/>
          </w:tcPr>
          <w:p>
            <w:r>
              <w:t>It compresses instead of expanding; it may be useful but it is not a companion.</w:t>
            </w:r>
          </w:p>
        </w:tc>
      </w:tr>
      <w:tr>
        <w:tc>
          <w:tcPr>
            <w:tcW w:type="dxa" w:w="5400"/>
          </w:tcPr>
          <w:p>
            <w:r>
              <w:t>Quote catalogue</w:t>
            </w:r>
          </w:p>
        </w:tc>
        <w:tc>
          <w:tcPr>
            <w:tcW w:type="dxa" w:w="5400"/>
          </w:tcPr>
          <w:p>
            <w:r>
              <w:t>It lists important lines but does not create a guided reading experience.</w:t>
            </w:r>
          </w:p>
        </w:tc>
      </w:tr>
      <w:tr>
        <w:tc>
          <w:tcPr>
            <w:tcW w:type="dxa" w:w="5400"/>
          </w:tcPr>
          <w:p>
            <w:r>
              <w:t>Annotation dump</w:t>
            </w:r>
          </w:p>
        </w:tc>
        <w:tc>
          <w:tcPr>
            <w:tcW w:type="dxa" w:w="5400"/>
          </w:tcPr>
          <w:p>
            <w:r>
              <w:t>It attaches comments to passages but does not produce a flowing interpretive narrative.</w:t>
            </w:r>
          </w:p>
        </w:tc>
      </w:tr>
      <w:tr>
        <w:tc>
          <w:tcPr>
            <w:tcW w:type="dxa" w:w="5400"/>
          </w:tcPr>
          <w:p>
            <w:r>
              <w:t>Literature review</w:t>
            </w:r>
          </w:p>
        </w:tc>
        <w:tc>
          <w:tcPr>
            <w:tcW w:type="dxa" w:w="5400"/>
          </w:tcPr>
          <w:p>
            <w:r>
              <w:t>It shifts attention away from the manuscript and toward other works.</w:t>
            </w:r>
          </w:p>
        </w:tc>
      </w:tr>
      <w:tr>
        <w:tc>
          <w:tcPr>
            <w:tcW w:type="dxa" w:w="5400"/>
          </w:tcPr>
          <w:p>
            <w:r>
              <w:t>Textbook</w:t>
            </w:r>
          </w:p>
        </w:tc>
        <w:tc>
          <w:tcPr>
            <w:tcW w:type="dxa" w:w="5400"/>
          </w:tcPr>
          <w:p>
            <w:r>
              <w:t>It teaches a field rather than helping the reader read one manuscript.</w:t>
            </w:r>
          </w:p>
        </w:tc>
      </w:tr>
      <w:tr>
        <w:tc>
          <w:tcPr>
            <w:tcW w:type="dxa" w:w="5400"/>
          </w:tcPr>
          <w:p>
            <w:r>
              <w:t>Lecture notes</w:t>
            </w:r>
          </w:p>
        </w:tc>
        <w:tc>
          <w:tcPr>
            <w:tcW w:type="dxa" w:w="5400"/>
          </w:tcPr>
          <w:p>
            <w:r>
              <w:t>It explains topics but loses the manuscript's sequence and argument.</w:t>
            </w:r>
          </w:p>
        </w:tc>
      </w:tr>
      <w:tr>
        <w:tc>
          <w:tcPr>
            <w:tcW w:type="dxa" w:w="5400"/>
          </w:tcPr>
          <w:p>
            <w:r>
              <w:t>Opinion essay</w:t>
            </w:r>
          </w:p>
        </w:tc>
        <w:tc>
          <w:tcPr>
            <w:tcW w:type="dxa" w:w="5400"/>
          </w:tcPr>
          <w:p>
            <w:r>
              <w:t>It develops the agent's thoughts rather than staying faithful to the source.</w:t>
            </w:r>
          </w:p>
        </w:tc>
      </w:tr>
    </w:tbl>
    <w:p>
      <w:pPr>
        <w:pStyle w:val="Heading1"/>
      </w:pPr>
      <w:r>
        <w:t>Part II — Reader Model and Research Context</w:t>
      </w:r>
    </w:p>
    <w:p>
      <w:r>
        <w:t>If a project-specific reader profile is available, use it. If none is available, use this default model: the reader is an intelligent graduate-level researcher with strong scientific, mathematical, network science, and data science background. The reader may be less formally trained in labor economics, sociology, organizational theory, or management scholarship, so specialized terms from those fields should be translated into accessible language.</w:t>
      </w:r>
    </w:p>
    <w:p>
      <w:r>
        <w:t>The reader is willing to read long documents and prefers depth over brevity. The reader prints documents, annotates physically, and values dense print-oriented pages over visually sparse pages. The reader wants conceptual mastery, long-term retention, and transferable mechanisms.</w:t>
      </w:r>
    </w:p>
    <w:p>
      <w:pPr>
        <w:pStyle w:val="Heading2"/>
      </w:pPr>
      <w:r>
        <w:t>Default Research Context for Red Commentary</w:t>
      </w:r>
    </w:p>
    <w:p>
      <w:r>
        <w:t>Red commentary should connect manuscript ideas to the reader's research context. It is not generic 'why this matters' commentary. It should be used for connections to past, present, or future research, coding, model building, simulation, network science, data science, cumulative advantage, organizational selection, advancement systems, relative evaluation, ranking systems, opportunity allocation, or amplification mechanisms.</w:t>
      </w:r>
    </w:p>
    <w:p>
      <w:r>
        <w:t>If no meaningful project connection exists, do not force red text. A chapter may have little red commentary if the manuscript section does not naturally connect to the reader's research agenda.</w:t>
      </w:r>
    </w:p>
    <w:p>
      <w:pPr>
        <w:pStyle w:val="Heading1"/>
      </w:pPr>
      <w:r>
        <w:t>Part III — Manuscript Decomposition</w:t>
      </w:r>
    </w:p>
    <w:p>
      <w:r>
        <w:t>The first production task is not writing. It is decomposition. The agent must identify the manuscript's conceptual units. A conceptual unit is a coherent stretch of text in which the author develops one major idea, mechanism, transition, argument, or model component.</w:t>
      </w:r>
    </w:p>
    <w:p>
      <w:r>
        <w:t>Companion chapters are based on major conceptual transitions in the manuscript. They are not based on page counts. They are not necessarily identical to formal manuscript sections, although formal section breaks often help.</w:t>
      </w:r>
    </w:p>
    <w:p>
      <w:pPr>
        <w:pStyle w:val="Heading2"/>
      </w:pPr>
      <w:r>
        <w:t>Chapter Boundary Decision Rules</w:t>
      </w:r>
    </w:p>
    <w:p>
      <w:r>
        <w:t>• Prioritize major conceptual transitions in the author's argument.</w:t>
      </w:r>
    </w:p>
    <w:p>
      <w:r>
        <w:t>• Use formal manuscript section breaks when they align with conceptual transitions.</w:t>
      </w:r>
    </w:p>
    <w:p>
      <w:r>
        <w:t>• Split very dense units if splitting improves reader comprehension.</w:t>
      </w:r>
    </w:p>
    <w:p>
      <w:r>
        <w:t>• Combine sparse adjacent units if they form one coherent thought.</w:t>
      </w:r>
    </w:p>
    <w:p>
      <w:r>
        <w:t>• If a boundary choice materially affects the companion structure and is ambiguous, ask the user.</w:t>
      </w:r>
    </w:p>
    <w:p>
      <w:pPr>
        <w:pStyle w:val="Heading2"/>
      </w:pPr>
      <w:r>
        <w:t>Anchor Text Rule</w:t>
      </w:r>
    </w:p>
    <w:p>
      <w:r>
        <w:t>The Anchor Text is the exact opening text from the manuscript paragraph where the companion chapter begins, continuing through the first natural break. It is a boundary marker, not the best quotation.</w:t>
      </w:r>
    </w:p>
    <w:p>
      <w:r>
        <w:t>The next chapter's Anchor Text defines the next boundary. Together, the anchors map the companion volume onto the manuscript.</w:t>
      </w:r>
    </w:p>
    <w:p>
      <w:pPr>
        <w:pStyle w:val="Heading3"/>
      </w:pPr>
      <w:r>
        <w:t>Anchor Good/Bad Examples</w:t>
      </w:r>
    </w:p>
    <w:tbl>
      <w:tblPr>
        <w:tblW w:type="auto" w:w="0"/>
        <w:tblLook w:firstColumn="1" w:firstRow="1" w:lastColumn="0" w:lastRow="0" w:noHBand="0" w:noVBand="1" w:val="04A0"/>
      </w:tblPr>
      <w:tblGrid>
        <w:gridCol w:w="3600"/>
        <w:gridCol w:w="3600"/>
        <w:gridCol w:w="3600"/>
      </w:tblGrid>
      <w:tr>
        <w:tc>
          <w:tcPr>
            <w:tcW w:type="dxa" w:w="3600"/>
            <w:shd w:fill="D9EAF7"/>
          </w:tcPr>
          <w:p>
            <w:r>
              <w:t>Case</w:t>
            </w:r>
          </w:p>
        </w:tc>
        <w:tc>
          <w:tcPr>
            <w:tcW w:type="dxa" w:w="3600"/>
            <w:shd w:fill="D9EAF7"/>
          </w:tcPr>
          <w:p>
            <w:r>
              <w:t>Correct</w:t>
            </w:r>
          </w:p>
        </w:tc>
        <w:tc>
          <w:tcPr>
            <w:tcW w:type="dxa" w:w="3600"/>
            <w:shd w:fill="D9EAF7"/>
          </w:tcPr>
          <w:p>
            <w:r>
              <w:t>Incorrect</w:t>
            </w:r>
          </w:p>
        </w:tc>
      </w:tr>
      <w:tr>
        <w:tc>
          <w:tcPr>
            <w:tcW w:type="dxa" w:w="3600"/>
          </w:tcPr>
          <w:p>
            <w:r>
              <w:t>The paragraph begins with a mundane transition.</w:t>
            </w:r>
          </w:p>
        </w:tc>
        <w:tc>
          <w:tcPr>
            <w:tcW w:type="dxa" w:w="3600"/>
          </w:tcPr>
          <w:p>
            <w:r>
              <w:t>Use the mundane opening if that is where the conceptual unit begins.</w:t>
            </w:r>
          </w:p>
        </w:tc>
        <w:tc>
          <w:tcPr>
            <w:tcW w:type="dxa" w:w="3600"/>
          </w:tcPr>
          <w:p>
            <w:r>
              <w:t>Skip ahead to a more profound sentence and use that as anchor.</w:t>
            </w:r>
          </w:p>
        </w:tc>
      </w:tr>
      <w:tr>
        <w:tc>
          <w:tcPr>
            <w:tcW w:type="dxa" w:w="3600"/>
          </w:tcPr>
          <w:p>
            <w:r>
              <w:t>The best sentence appears in the middle of the paragraph.</w:t>
            </w:r>
          </w:p>
        </w:tc>
        <w:tc>
          <w:tcPr>
            <w:tcW w:type="dxa" w:w="3600"/>
          </w:tcPr>
          <w:p>
            <w:r>
              <w:t>Use the middle sentence as a Key Quotation if important.</w:t>
            </w:r>
          </w:p>
        </w:tc>
        <w:tc>
          <w:tcPr>
            <w:tcW w:type="dxa" w:w="3600"/>
          </w:tcPr>
          <w:p>
            <w:r>
              <w:t>Use it as Anchor even though it does not define the boundary.</w:t>
            </w:r>
          </w:p>
        </w:tc>
      </w:tr>
      <w:tr>
        <w:tc>
          <w:tcPr>
            <w:tcW w:type="dxa" w:w="3600"/>
          </w:tcPr>
          <w:p>
            <w:r>
              <w:t>The opening sentence is very long.</w:t>
            </w:r>
          </w:p>
        </w:tc>
        <w:tc>
          <w:tcPr>
            <w:tcW w:type="dxa" w:w="3600"/>
          </w:tcPr>
          <w:p>
            <w:r>
              <w:t>Use exact opening text through first natural break.</w:t>
            </w:r>
          </w:p>
        </w:tc>
        <w:tc>
          <w:tcPr>
            <w:tcW w:type="dxa" w:w="3600"/>
          </w:tcPr>
          <w:p>
            <w:r>
              <w:t>Paraphrase or shorten thematically.</w:t>
            </w:r>
          </w:p>
        </w:tc>
      </w:tr>
    </w:tbl>
    <w:p>
      <w:pPr>
        <w:pStyle w:val="Heading1"/>
      </w:pPr>
      <w:r>
        <w:t>Part IV — Anatomy of a Companion Chapter</w:t>
      </w:r>
    </w:p>
    <w:p>
      <w:r>
        <w:rPr>
          <w:b/>
        </w:rPr>
        <w:t xml:space="preserve">Header: </w:t>
      </w:r>
      <w:r>
        <w:t>Standardized title block that makes chapters consistent.</w:t>
      </w:r>
    </w:p>
    <w:p>
      <w:r>
        <w:rPr>
          <w:b/>
        </w:rPr>
        <w:t xml:space="preserve">Anchor (Original Text): </w:t>
      </w:r>
      <w:r>
        <w:t>Boundary marker from the source manuscript.</w:t>
      </w:r>
    </w:p>
    <w:p>
      <w:r>
        <w:rPr>
          <w:b/>
        </w:rPr>
        <w:t xml:space="preserve">Key Quotations Worth Underlining: </w:t>
      </w:r>
      <w:r>
        <w:t>Curated list of manuscript quotations that deserve preservation.</w:t>
      </w:r>
    </w:p>
    <w:p>
      <w:r>
        <w:rPr>
          <w:b/>
        </w:rPr>
        <w:t xml:space="preserve">Integrated Commentary: </w:t>
      </w:r>
      <w:r>
        <w:t>Primary explanatory body of the chapter.</w:t>
      </w:r>
    </w:p>
    <w:p>
      <w:r>
        <w:rPr>
          <w:b/>
        </w:rPr>
        <w:t xml:space="preserve">Mechanism Extraction: </w:t>
      </w:r>
      <w:r>
        <w:t>Concise extraction of causal or generative mechanisms when present.</w:t>
      </w:r>
    </w:p>
    <w:p>
      <w:r>
        <w:rPr>
          <w:b/>
        </w:rPr>
        <w:t xml:space="preserve">Margin Notes Worth Scribbling in the Manuscript: </w:t>
      </w:r>
      <w:r>
        <w:t>Short observations the reader could write in the margins.</w:t>
      </w:r>
    </w:p>
    <w:p>
      <w:r>
        <w:rPr>
          <w:b/>
        </w:rPr>
        <w:t xml:space="preserve">Five-Year Takeaway: </w:t>
      </w:r>
      <w:r>
        <w:t>Optional. Used only when the chapter has a durable idea worth preserving.</w:t>
      </w:r>
    </w:p>
    <w:p>
      <w:r>
        <w:rPr>
          <w:b/>
        </w:rPr>
        <w:t xml:space="preserve">Diagrams: </w:t>
      </w:r>
      <w:r>
        <w:t>Optional. Used when visual representation materially improves understanding.</w:t>
      </w:r>
    </w:p>
    <w:p>
      <w:pPr>
        <w:pStyle w:val="Heading2"/>
      </w:pPr>
      <w:r>
        <w:t>Section Order</w:t>
      </w:r>
    </w:p>
    <w:p>
      <w:r>
        <w:t>Default chapter order is:</w:t>
      </w:r>
    </w:p>
    <w:p>
      <w:r>
        <w:t>• Header</w:t>
      </w:r>
    </w:p>
    <w:p>
      <w:r>
        <w:t>• Anchor (Original Text)</w:t>
      </w:r>
    </w:p>
    <w:p>
      <w:r>
        <w:t>• Key Quotations Worth Underlining</w:t>
      </w:r>
    </w:p>
    <w:p>
      <w:r>
        <w:t>• Integrated Commentary</w:t>
      </w:r>
    </w:p>
    <w:p>
      <w:r>
        <w:t>• Mechanism Extraction when warranted</w:t>
      </w:r>
    </w:p>
    <w:p>
      <w:r>
        <w:t>• Margin Notes Worth Scribbling in the Manuscript</w:t>
      </w:r>
    </w:p>
    <w:p>
      <w:r>
        <w:t>• Optional Five-Year Takeaway or Diagram when useful</w:t>
      </w:r>
    </w:p>
    <w:p>
      <w:pPr>
        <w:pStyle w:val="Heading1"/>
      </w:pPr>
      <w:r>
        <w:t>Part V — Integrated Commentary</w:t>
      </w:r>
    </w:p>
    <w:p>
      <w:r>
        <w:t>Integrated Commentary is the heart of the companion. It should be substantially richer than a summary and more continuous than annotations. It is the place where the agent accompanies the reader through the manuscript.</w:t>
      </w:r>
    </w:p>
    <w:p>
      <w:r>
        <w:t>The commentary should not mechanically proceed quote by quote. Instead, it should develop a guided reading narrative. Quotations enter when they are useful. The paragraph structure should follow ideas, not the color system.</w:t>
      </w:r>
    </w:p>
    <w:p>
      <w:pPr>
        <w:pStyle w:val="Heading2"/>
      </w:pPr>
      <w:r>
        <w:t>What Integrated Commentary Does</w:t>
      </w:r>
    </w:p>
    <w:p>
      <w:r>
        <w:t>• Explains what the author is doing.</w:t>
      </w:r>
    </w:p>
    <w:p>
      <w:r>
        <w:t>• Translates dense or specialized language into accessible language.</w:t>
      </w:r>
    </w:p>
    <w:p>
      <w:r>
        <w:t>• Identifies mechanisms and causal chains.</w:t>
      </w:r>
    </w:p>
    <w:p>
      <w:r>
        <w:t>• Shows how a section connects to earlier and later sections.</w:t>
      </w:r>
    </w:p>
    <w:p>
      <w:r>
        <w:t>• Highlights hidden assumptions when strongly supported.</w:t>
      </w:r>
    </w:p>
    <w:p>
      <w:r>
        <w:t>• Explains why selected quotations matter.</w:t>
      </w:r>
    </w:p>
    <w:p>
      <w:r>
        <w:t>• Connects to the reader's research context in red when genuinely useful.</w:t>
      </w:r>
    </w:p>
    <w:p>
      <w:r>
        <w:t>• Keeps the reader oriented inside the manuscript.</w:t>
      </w:r>
    </w:p>
    <w:p>
      <w:pPr>
        <w:pStyle w:val="Heading2"/>
      </w:pPr>
      <w:r>
        <w:t>Commentary Effort Should Follow Density</w:t>
      </w:r>
    </w:p>
    <w:p>
      <w:r>
        <w:t>Not every paragraph deserves equal commentary. If a passage is straightforward, explain briefly. If a passage is conceptually overdense, compressed, or understated, slow down and unpack it. This is one of the main functions of a companion.</w:t>
      </w:r>
    </w:p>
    <w:p>
      <w:r>
        <w:t>Signs of overdensity include: multiple claims in one sentence, an unexplained transition, a technical term doing heavy work, an assumption that is not stated, a mechanism implied but not named, or a sentence that seems simple but changes the argument.</w:t>
      </w:r>
    </w:p>
    <w:p>
      <w:pPr>
        <w:pStyle w:val="Heading2"/>
      </w:pPr>
      <w:r>
        <w:t>Iterative Deepening</w:t>
      </w:r>
    </w:p>
    <w:p>
      <w:r>
        <w:t>Important ideas may be revisited if each revisit adds something new. The first mention may define the idea. A later mention may connect it to a mechanism. Another may connect it to the reader's research. This is not redundancy if each pass deepens understanding.</w:t>
      </w:r>
    </w:p>
    <w:p>
      <w:pPr>
        <w:pStyle w:val="Heading1"/>
      </w:pPr>
      <w:r>
        <w:t>Part VI — Color System and Information Types</w:t>
      </w:r>
    </w:p>
    <w:p>
      <w:r>
        <w:t>The color system is a cognitive interface. It tells the reader what kind of information each sentence is providing.</w:t>
      </w:r>
    </w:p>
    <w:tbl>
      <w:tblPr>
        <w:tblW w:type="auto" w:w="0"/>
        <w:tblLook w:firstColumn="1" w:firstRow="1" w:lastColumn="0" w:lastRow="0" w:noHBand="0" w:noVBand="1" w:val="04A0"/>
      </w:tblPr>
      <w:tblGrid>
        <w:gridCol w:w="3600"/>
        <w:gridCol w:w="3600"/>
        <w:gridCol w:w="3600"/>
      </w:tblGrid>
      <w:tr>
        <w:tc>
          <w:tcPr>
            <w:tcW w:type="dxa" w:w="3600"/>
            <w:shd w:fill="D9EAF7"/>
          </w:tcPr>
          <w:p>
            <w:r>
              <w:t>Color</w:t>
            </w:r>
          </w:p>
        </w:tc>
        <w:tc>
          <w:tcPr>
            <w:tcW w:type="dxa" w:w="3600"/>
            <w:shd w:fill="D9EAF7"/>
          </w:tcPr>
          <w:p>
            <w:r>
              <w:t>Meaning</w:t>
            </w:r>
          </w:p>
        </w:tc>
        <w:tc>
          <w:tcPr>
            <w:tcW w:type="dxa" w:w="3600"/>
            <w:shd w:fill="D9EAF7"/>
          </w:tcPr>
          <w:p>
            <w:r>
              <w:t>Use</w:t>
            </w:r>
          </w:p>
        </w:tc>
      </w:tr>
      <w:tr>
        <w:tc>
          <w:tcPr>
            <w:tcW w:type="dxa" w:w="3600"/>
          </w:tcPr>
          <w:p>
            <w:r>
              <w:t>Black Bold</w:t>
            </w:r>
          </w:p>
        </w:tc>
        <w:tc>
          <w:tcPr>
            <w:tcW w:type="dxa" w:w="3600"/>
          </w:tcPr>
          <w:p>
            <w:r>
              <w:t>Direct manuscript quotation</w:t>
            </w:r>
          </w:p>
        </w:tc>
        <w:tc>
          <w:tcPr>
            <w:tcW w:type="dxa" w:w="3600"/>
          </w:tcPr>
          <w:p>
            <w:r>
              <w:t>Use for exact source language only.</w:t>
            </w:r>
          </w:p>
        </w:tc>
      </w:tr>
      <w:tr>
        <w:tc>
          <w:tcPr>
            <w:tcW w:type="dxa" w:w="3600"/>
          </w:tcPr>
          <w:p>
            <w:r>
              <w:t>Blue</w:t>
            </w:r>
          </w:p>
        </w:tc>
        <w:tc>
          <w:tcPr>
            <w:tcW w:type="dxa" w:w="3600"/>
          </w:tcPr>
          <w:p>
            <w:r>
              <w:t>Interpretation and explanation</w:t>
            </w:r>
          </w:p>
        </w:tc>
        <w:tc>
          <w:tcPr>
            <w:tcW w:type="dxa" w:w="3600"/>
          </w:tcPr>
          <w:p>
            <w:r>
              <w:t>Use for conceptual translation, mechanism identification, assumptions when supported, and accessible explanation.</w:t>
            </w:r>
          </w:p>
        </w:tc>
      </w:tr>
      <w:tr>
        <w:tc>
          <w:tcPr>
            <w:tcW w:type="dxa" w:w="3600"/>
          </w:tcPr>
          <w:p>
            <w:r>
              <w:t>Red</w:t>
            </w:r>
          </w:p>
        </w:tc>
        <w:tc>
          <w:tcPr>
            <w:tcW w:type="dxa" w:w="3600"/>
          </w:tcPr>
          <w:p>
            <w:r>
              <w:t>Reader research connection</w:t>
            </w:r>
          </w:p>
        </w:tc>
        <w:tc>
          <w:tcPr>
            <w:tcW w:type="dxa" w:w="3600"/>
          </w:tcPr>
          <w:p>
            <w:r>
              <w:t>Use only for implications tied to research, modeling, coding, simulation, network science, organizational systems, cumulative advantage, or future projects.</w:t>
            </w:r>
          </w:p>
        </w:tc>
      </w:tr>
    </w:tbl>
    <w:p>
      <w:pPr>
        <w:pStyle w:val="Heading2"/>
      </w:pPr>
      <w:r>
        <w:t>Paragraph Rule</w:t>
      </w:r>
    </w:p>
    <w:p>
      <w:r>
        <w:t>Color changes do not require paragraph breaks. Paragraph breaks indicate idea changes. A single paragraph may contain black bold quotation, blue explanation, and red project connection if the ideas belong together.</w:t>
      </w:r>
    </w:p>
    <w:p>
      <w:pPr>
        <w:pStyle w:val="Heading2"/>
      </w:pPr>
      <w:r>
        <w:t>Example of Correct Color Integration</w:t>
      </w:r>
    </w:p>
    <w:p>
      <w:r>
        <w:rPr>
          <w:b w:val="0"/>
          <w:color w:val="0000FF"/>
        </w:rPr>
        <w:t xml:space="preserve">Rosen is not merely saying that some performers are better. He is explaining why consumers may refuse to treat alternatives as interchangeable. </w:t>
      </w:r>
      <w:r>
        <w:rPr>
          <w:b/>
          <w:color w:val="000000"/>
        </w:rPr>
        <w:t xml:space="preserve">“Lesser talent often is a poor substitute for greater talent.” </w:t>
      </w:r>
      <w:r>
        <w:rPr>
          <w:b w:val="0"/>
          <w:color w:val="0000FF"/>
        </w:rPr>
        <w:t xml:space="preserve">This line matters because it turns quality difference into a demand mechanism. </w:t>
      </w:r>
      <w:r>
        <w:rPr>
          <w:b w:val="0"/>
          <w:color w:val="FF0000"/>
        </w:rPr>
        <w:t>For modeling advancement systems, this suggests that small perceived distinctions can become consequential when evaluators treat candidates as non-interchangeable.</w:t>
      </w:r>
    </w:p>
    <w:p>
      <w:r>
        <w:t>Notice that the paragraph changes color but not topic. Therefore it remains one paragraph.</w:t>
      </w:r>
    </w:p>
    <w:p>
      <w:pPr>
        <w:pStyle w:val="Heading1"/>
      </w:pPr>
      <w:r>
        <w:t>Part VII — Quotations</w:t>
      </w:r>
    </w:p>
    <w:p>
      <w:r>
        <w:t>Quotation density is determined by manuscript density, not by a fixed quota. Some manuscript units contain one sentence that encapsulates the section. Others contain several profound or transitional sentences.</w:t>
      </w:r>
    </w:p>
    <w:p>
      <w:r>
        <w:t>Use quotations when the author's exact wording is profound, encapsulating, transitional, conceptually precise, or likely to be underlined by the reader. Do not quote merely to prove that the manuscript was read.</w:t>
      </w:r>
    </w:p>
    <w:p>
      <w:pPr>
        <w:pStyle w:val="Heading2"/>
      </w:pPr>
      <w:r>
        <w:t>Quotation Selection Test</w:t>
      </w:r>
    </w:p>
    <w:p>
      <w:r>
        <w:t>☐ Does this quotation define a concept?</w:t>
      </w:r>
    </w:p>
    <w:p>
      <w:r>
        <w:t>☐ Does it reveal a mechanism?</w:t>
      </w:r>
    </w:p>
    <w:p>
      <w:r>
        <w:t>☐ Does it mark a transition in the argument?</w:t>
      </w:r>
    </w:p>
    <w:p>
      <w:r>
        <w:t>☐ Does it compress a difficult idea?</w:t>
      </w:r>
    </w:p>
    <w:p>
      <w:r>
        <w:t>☐ Would the reader likely underline it?</w:t>
      </w:r>
    </w:p>
    <w:p>
      <w:r>
        <w:t>☐ Would paraphrase lose something important?</w:t>
      </w:r>
    </w:p>
    <w:p>
      <w:pPr>
        <w:pStyle w:val="Heading2"/>
      </w:pPr>
      <w:r>
        <w:t>Bad Quotation Practice</w:t>
      </w:r>
    </w:p>
    <w:p>
      <w:r>
        <w:t>Bad: quoting isolated words such as 'quality' or 'quantity' unless those words are themselves being analyzed. A quotation should usually preserve a complete idea.</w:t>
      </w:r>
    </w:p>
    <w:p>
      <w:r>
        <w:t>Bad: forcing every quotation in the Key Quotations section into the Integrated Commentary. Some quotations are listed because they are worth underlining; not all require extended discussion.</w:t>
      </w:r>
    </w:p>
    <w:p>
      <w:pPr>
        <w:pStyle w:val="Heading1"/>
      </w:pPr>
      <w:r>
        <w:t>Part VIII — Red Text and Research Integration</w:t>
      </w:r>
    </w:p>
    <w:p>
      <w:r>
        <w:t>Red text is narrow. It is not any implication. It is not general significance. It is not 'this matters for society.' It is commentary connecting the manuscript to the reader's research context.</w:t>
      </w:r>
    </w:p>
    <w:p>
      <w:r>
        <w:t>Use red for connections to: code, models, simulations, network science, data science, cumulative advantage, amplification, organizational systems, ranking, evaluation, opportunity allocation, research agenda development, and future theoretical or empirical work.</w:t>
      </w:r>
    </w:p>
    <w:p>
      <w:r>
        <w:t>If the connection is weak, omit red. If a connection is possible but uncertain, use tentative language or ask the user.</w:t>
      </w:r>
    </w:p>
    <w:p>
      <w:pPr>
        <w:pStyle w:val="Heading2"/>
      </w:pPr>
      <w:r>
        <w:t>Good vs Bad Red Text</w:t>
      </w:r>
    </w:p>
    <w:tbl>
      <w:tblPr>
        <w:tblW w:type="auto" w:w="0"/>
        <w:tblLook w:firstColumn="1" w:firstRow="1" w:lastColumn="0" w:lastRow="0" w:noHBand="0" w:noVBand="1" w:val="04A0"/>
      </w:tblPr>
      <w:tblGrid>
        <w:gridCol w:w="5400"/>
        <w:gridCol w:w="5400"/>
      </w:tblGrid>
      <w:tr>
        <w:tc>
          <w:tcPr>
            <w:tcW w:type="dxa" w:w="5400"/>
            <w:shd w:fill="D9EAF7"/>
          </w:tcPr>
          <w:p>
            <w:r>
              <w:t>Bad Red</w:t>
            </w:r>
          </w:p>
        </w:tc>
        <w:tc>
          <w:tcPr>
            <w:tcW w:type="dxa" w:w="5400"/>
            <w:shd w:fill="D9EAF7"/>
          </w:tcPr>
          <w:p>
            <w:r>
              <w:t>Good Red</w:t>
            </w:r>
          </w:p>
        </w:tc>
      </w:tr>
      <w:tr>
        <w:tc>
          <w:tcPr>
            <w:tcW w:type="dxa" w:w="5400"/>
          </w:tcPr>
          <w:p>
            <w:r>
              <w:t>This matters because inequality is important.</w:t>
            </w:r>
          </w:p>
        </w:tc>
        <w:tc>
          <w:tcPr>
            <w:tcW w:type="dxa" w:w="5400"/>
          </w:tcPr>
          <w:p>
            <w:r>
              <w:t>For a model of advancement under constrained distinction, this suggests that small differences may become large opportunity differences when evaluation systems treat candidates as non-interchangeable.</w:t>
            </w:r>
          </w:p>
        </w:tc>
      </w:tr>
    </w:tbl>
    <w:p>
      <w:pPr>
        <w:pStyle w:val="Heading1"/>
      </w:pPr>
      <w:r>
        <w:t>Part IX — Equations, Diagrams, and Footnotes</w:t>
      </w:r>
    </w:p>
    <w:p>
      <w:pPr>
        <w:pStyle w:val="Heading2"/>
      </w:pPr>
      <w:r>
        <w:t>Equations</w:t>
      </w:r>
    </w:p>
    <w:p>
      <w:r>
        <w:t>When an equation is central, reproduce it using Word equation format or LaTeX-style notation if possible. Explain what it does conceptually. Do not provide derivations unless necessary or requested.</w:t>
      </w:r>
    </w:p>
    <w:p>
      <w:r>
        <w:t>Example: R(q) = p(q, m)m − C(m). This can be explained as: net revenue depends on price, market size, and cost. The equation matters because market size enters reward directly.</w:t>
      </w:r>
    </w:p>
    <w:p>
      <w:pPr>
        <w:pStyle w:val="Heading2"/>
      </w:pPr>
      <w:r>
        <w:t>Diagrams</w:t>
      </w:r>
    </w:p>
    <w:p>
      <w:r>
        <w:t>Diagrams are occasional enhancements. Create them when they materially improve understanding. Place near the relevant discussion. Include a caption. Do not add diagrams merely for appearance.</w:t>
      </w:r>
    </w:p>
    <w:p>
      <w:r>
        <w:t>Good diagram candidates: amplification chains, feedback loops, market-size mechanisms, assignment processes, comparison structures, equation intuition diagrams, and timeline mechanisms.</w:t>
      </w:r>
    </w:p>
    <w:p>
      <w:pPr>
        <w:pStyle w:val="Heading2"/>
      </w:pPr>
      <w:r>
        <w:t>Footnotes</w:t>
      </w:r>
    </w:p>
    <w:p>
      <w:r>
        <w:t>Important footnotes should be integrated into the commentary. Footnotes often contain caveats, alternative explanations, or assumptions.</w:t>
      </w:r>
    </w:p>
    <w:p>
      <w:pPr>
        <w:pStyle w:val="Heading1"/>
      </w:pPr>
      <w:r>
        <w:t>Part X — Mechanism Extraction</w:t>
      </w:r>
    </w:p>
    <w:p>
      <w:r>
        <w:t>Mechanism Extraction is required when the chapter contains a substantive causal or generative mechanism. It may be omitted or kept brief for purely transitional chapters.</w:t>
      </w:r>
    </w:p>
    <w:p>
      <w:r>
        <w:t>Mechanism Extraction should identify:</w:t>
      </w:r>
    </w:p>
    <w:p>
      <w:r>
        <w:t>• Phenomenon</w:t>
      </w:r>
    </w:p>
    <w:p>
      <w:r>
        <w:t>• Mechanism</w:t>
      </w:r>
    </w:p>
    <w:p>
      <w:r>
        <w:t>• Amplification chain</w:t>
      </w:r>
    </w:p>
    <w:p>
      <w:r>
        <w:t>• Assumptions</w:t>
      </w:r>
    </w:p>
    <w:p>
      <w:r>
        <w:t>• Boundary conditions</w:t>
      </w:r>
    </w:p>
    <w:p>
      <w:r>
        <w:t>• Alternative explanations or caveats</w:t>
      </w:r>
    </w:p>
    <w:p>
      <w:r>
        <w:t>• Key insight</w:t>
      </w:r>
    </w:p>
    <w:p>
      <w:r>
        <w:t>Mechanisms matter more than labels. Do not merely name an effect. Explain how it produces the outcome.</w:t>
      </w:r>
    </w:p>
    <w:p>
      <w:pPr>
        <w:pStyle w:val="Heading1"/>
      </w:pPr>
      <w:r>
        <w:t>Part XI — Canonical Mini-Example</w:t>
      </w:r>
    </w:p>
    <w:p>
      <w:r>
        <w:t>The following mini-example demonstrates the desired style. It is not a full chapter; it is a compact model of how a companion paragraph should operate.</w:t>
      </w:r>
    </w:p>
    <w:p>
      <w:pPr>
        <w:pStyle w:val="Heading2"/>
      </w:pPr>
      <w:r>
        <w:t>Unannotated Example</w:t>
      </w:r>
    </w:p>
    <w:p>
      <w:r>
        <w:rPr>
          <w:b w:val="0"/>
          <w:color w:val="0000FF"/>
        </w:rPr>
        <w:t xml:space="preserve">Rosen is now shifting from the existence of superstar outcomes to one mechanism that helps produce them. The important point is not simply that consumers prefer better performers. The important point is that consumers may not treat lower-quality alternatives as adequate replacements. </w:t>
      </w:r>
      <w:r>
        <w:rPr>
          <w:b/>
          <w:color w:val="000000"/>
        </w:rPr>
        <w:t xml:space="preserve">“Lesser talent often is a poor substitute for greater talent.” </w:t>
      </w:r>
      <w:r>
        <w:rPr>
          <w:b w:val="0"/>
          <w:color w:val="0000FF"/>
        </w:rPr>
        <w:t xml:space="preserve">This sentence matters because it explains why demand may concentrate rather than spread evenly across providers. If consumers perceive the best option as qualitatively different, they do not simply buy more of the second-best option. </w:t>
      </w:r>
      <w:r>
        <w:rPr>
          <w:b w:val="0"/>
          <w:color w:val="FF0000"/>
        </w:rPr>
        <w:t>For research on advancement systems, this suggests a mechanism by which small perceived distinctions can become large differences in opportunity when evaluators treat candidates as non-interchangeable.</w:t>
      </w:r>
    </w:p>
    <w:p>
      <w:pPr>
        <w:pStyle w:val="Heading2"/>
      </w:pPr>
      <w:r>
        <w:t>Annotated Version</w:t>
      </w:r>
    </w:p>
    <w:p>
      <w:r>
        <w:t>Sentence 1 identifies the conceptual transition rather than summarizing. It tells the reader what Rosen is doing in the argument.</w:t>
      </w:r>
    </w:p>
    <w:p>
      <w:r>
        <w:t>Sentence 2 narrows the mechanism. It distinguishes preference for quality from imperfect substitutability.</w:t>
      </w:r>
    </w:p>
    <w:p>
      <w:r>
        <w:t>The quotation is embedded because Rosen's exact wording is powerful and worth preserving. It remains black bold.</w:t>
      </w:r>
    </w:p>
    <w:p>
      <w:r>
        <w:t>The blue explanation after the quotation explains why the sentence matters rather than merely restating it.</w:t>
      </w:r>
    </w:p>
    <w:p>
      <w:r>
        <w:t>The red sentence connects the idea to the reader's research context: advancement systems and non-interchangeable evaluation. This is valid red text because it is project-facing, not generic significance.</w:t>
      </w:r>
    </w:p>
    <w:p>
      <w:pPr>
        <w:pStyle w:val="Heading2"/>
      </w:pPr>
      <w:r>
        <w:t>Bad Version of the Same Material</w:t>
      </w:r>
    </w:p>
    <w:p>
      <w:r>
        <w:rPr>
          <w:b/>
          <w:color w:val="000000"/>
        </w:rPr>
        <w:t xml:space="preserve">“Lesser talent often is a poor substitute for greater talent.” </w:t>
      </w:r>
      <w:r>
        <w:rPr>
          <w:b w:val="0"/>
          <w:color w:val="0000FF"/>
        </w:rPr>
        <w:t>This means lesser talent is not as good as greater talent.</w:t>
      </w:r>
    </w:p>
    <w:p>
      <w:r>
        <w:t>Why this fails: it is quote-driven and tautological. It does not explain mechanism, density, or research relevance.</w:t>
      </w:r>
    </w:p>
    <w:p>
      <w:pPr>
        <w:pStyle w:val="Heading1"/>
      </w:pPr>
      <w:r>
        <w:t>Part XII — Blank Chapter Template</w:t>
      </w:r>
    </w:p>
    <w:p>
      <w:r>
        <w:t>[Companion Volume Title]</w:t>
        <w:br/>
        <w:t>Chapter X: [Interpretive but clear chapter title]</w:t>
        <w:br/>
        <w:t>________________________________________________________________________________</w:t>
        <w:br/>
        <w:br/>
        <w:t>Anchor (Original Text)</w:t>
        <w:br/>
        <w:t>[Exact opening text of the source paragraph where this conceptual unit begins, through first natural break.]</w:t>
        <w:br/>
        <w:br/>
        <w:t>Key Quotations Worth Underlining</w:t>
        <w:br/>
        <w:t>[BLACK BOLD quotations only. No target count. Use complete ideas when possible.]</w:t>
        <w:br/>
        <w:br/>
        <w:t>Integrated Commentary</w:t>
        <w:br/>
        <w:t>[Continuous guided-reading narrative. Use blue for explanation and interpretation. Use red only for research-context connections. Embed black bold quotations naturally when useful. Paragraphs follow ideas, not colors.]</w:t>
        <w:br/>
        <w:br/>
        <w:t>Mechanism Extraction</w:t>
        <w:br/>
        <w:t>Phenomenon:</w:t>
        <w:br/>
        <w:t>Mechanism:</w:t>
        <w:br/>
        <w:t>Amplification chain:</w:t>
        <w:br/>
        <w:t>Assumptions:</w:t>
        <w:br/>
        <w:t>Boundary conditions:</w:t>
        <w:br/>
        <w:t>Alternative explanations or caveats:</w:t>
        <w:br/>
        <w:t>Key insight:</w:t>
        <w:br/>
        <w:br/>
        <w:t>Margin Notes Worth Scribbling in the Manuscript</w:t>
        <w:br/>
        <w:t>•</w:t>
        <w:br/>
        <w:t>•</w:t>
        <w:br/>
        <w:t>•</w:t>
        <w:br/>
        <w:br/>
        <w:t>[Optional] Five-Year Takeaway</w:t>
        <w:br/>
        <w:t>[Use only if the chapter contains a durable idea the reader should remember years later.]</w:t>
        <w:br/>
        <w:br/>
        <w:t>[Optional] Diagram</w:t>
        <w:br/>
        <w:t>[Place near relevant discussion, include caption.]</w:t>
        <w:br/>
      </w:r>
    </w:p>
    <w:p>
      <w:pPr>
        <w:pStyle w:val="Heading1"/>
      </w:pPr>
      <w:r>
        <w:t>Part XIII — Companion Chapter Formatting Standard</w:t>
      </w:r>
    </w:p>
    <w:p>
      <w:r>
        <w:rPr>
          <w:b/>
        </w:rPr>
        <w:t xml:space="preserve">Output format: </w:t>
      </w:r>
      <w:r>
        <w:t>DOCX preferred during production. PDF optional later for printing or distribution.</w:t>
      </w:r>
    </w:p>
    <w:p>
      <w:r>
        <w:rPr>
          <w:b/>
        </w:rPr>
        <w:t xml:space="preserve">Margins: </w:t>
      </w:r>
      <w:r>
        <w:t>Top 0.35 inches; bottom 0.35 inches; left 0.40 inches; right 0.40 inches.</w:t>
      </w:r>
    </w:p>
    <w:p>
      <w:r>
        <w:rPr>
          <w:b/>
        </w:rPr>
        <w:t xml:space="preserve">Body font: </w:t>
      </w:r>
      <w:r>
        <w:t>Times New Roman, about 11 pt, unless project template specifies otherwise.</w:t>
      </w:r>
    </w:p>
    <w:p>
      <w:r>
        <w:rPr>
          <w:b/>
        </w:rPr>
        <w:t xml:space="preserve">Header: </w:t>
      </w:r>
      <w:r>
        <w:t>Blue 'Companion Volume' line and blue chapter title line. A blue horizontal rule appears directly beneath with minimal spacing.</w:t>
      </w:r>
    </w:p>
    <w:p>
      <w:r>
        <w:rPr>
          <w:b/>
        </w:rPr>
        <w:t xml:space="preserve">Spacing: </w:t>
      </w:r>
      <w:r>
        <w:t>Dense, print-oriented, minimal wasted space. Avoid slide aesthetics.</w:t>
      </w:r>
    </w:p>
    <w:p>
      <w:r>
        <w:rPr>
          <w:b/>
        </w:rPr>
        <w:t xml:space="preserve">Quotations: </w:t>
      </w:r>
      <w:r>
        <w:t>Black bold wherever they appear.</w:t>
      </w:r>
    </w:p>
    <w:p>
      <w:r>
        <w:rPr>
          <w:b/>
        </w:rPr>
        <w:t xml:space="preserve">Blue text: </w:t>
      </w:r>
      <w:r>
        <w:t>Explanation and interpretation.</w:t>
      </w:r>
    </w:p>
    <w:p>
      <w:r>
        <w:rPr>
          <w:b/>
        </w:rPr>
        <w:t xml:space="preserve">Red text: </w:t>
      </w:r>
      <w:r>
        <w:t>Reader research connections only.</w:t>
      </w:r>
    </w:p>
    <w:p>
      <w:r>
        <w:rPr>
          <w:b/>
        </w:rPr>
        <w:t xml:space="preserve">File naming: </w:t>
      </w:r>
      <w:r>
        <w:t>Author_Companion_Chapter_#_ChapterName.docx.</w:t>
      </w:r>
    </w:p>
    <w:p>
      <w:pPr>
        <w:pStyle w:val="Heading1"/>
      </w:pPr>
      <w:r>
        <w:t>Part XIV — Quality Assurance Checklist</w:t>
      </w:r>
    </w:p>
    <w:p>
      <w:r>
        <w:t>☐ Chapter begins at a major conceptual transition.</w:t>
      </w:r>
    </w:p>
    <w:p>
      <w:r>
        <w:t>☐ Anchor is exact manuscript opening text through first natural break.</w:t>
      </w:r>
    </w:p>
    <w:p>
      <w:r>
        <w:t>☐ Key Quotations are genuinely worth underlining.</w:t>
      </w:r>
    </w:p>
    <w:p>
      <w:r>
        <w:t>☐ All direct quotations are black bold.</w:t>
      </w:r>
    </w:p>
    <w:p>
      <w:r>
        <w:t>☐ Integrated Commentary is continuous and idea-driven.</w:t>
      </w:r>
    </w:p>
    <w:p>
      <w:r>
        <w:t>☐ Commentary does not mechanically explain every quotation.</w:t>
      </w:r>
    </w:p>
    <w:p>
      <w:r>
        <w:t>☐ Dense or understated manuscript passages are unpacked.</w:t>
      </w:r>
    </w:p>
    <w:p>
      <w:r>
        <w:t>☐ Blue text explains and interprets.</w:t>
      </w:r>
    </w:p>
    <w:p>
      <w:r>
        <w:t>☐ Red text connects only to research/project context.</w:t>
      </w:r>
    </w:p>
    <w:p>
      <w:r>
        <w:t>☐ Paragraphs follow ideas, not color changes.</w:t>
      </w:r>
    </w:p>
    <w:p>
      <w:r>
        <w:t>☐ Equations are reproduced and explained when important.</w:t>
      </w:r>
    </w:p>
    <w:p>
      <w:r>
        <w:t>☐ Diagrams appear when they materially improve understanding.</w:t>
      </w:r>
    </w:p>
    <w:p>
      <w:r>
        <w:t>☐ Mechanism Extraction is present when a substantive mechanism exists.</w:t>
      </w:r>
    </w:p>
    <w:p>
      <w:r>
        <w:t>☐ Margin Notes are concise and useful.</w:t>
      </w:r>
    </w:p>
    <w:p>
      <w:r>
        <w:t>☐ External thinkers are used only when illuminating.</w:t>
      </w:r>
    </w:p>
    <w:p>
      <w:r>
        <w:t>☐ Uncertain interpretations are qualified.</w:t>
      </w:r>
    </w:p>
    <w:p>
      <w:r>
        <w:t>☐ Ambiguities were resolved by asking, not assuming.</w:t>
      </w:r>
    </w:p>
    <w:p>
      <w:r>
        <w:t>☐ The reader would understand the manuscript better.</w:t>
      </w:r>
    </w:p>
    <w:p>
      <w:pPr>
        <w:pStyle w:val="Heading1"/>
      </w:pPr>
      <w:r>
        <w:t>Part XV — Failure Modes and Repairs</w:t>
      </w:r>
    </w:p>
    <w:p>
      <w:r>
        <w:rPr>
          <w:b/>
        </w:rPr>
        <w:t xml:space="preserve">Assuming instead of asking: </w:t>
      </w:r>
      <w:r>
        <w:t>Process failure. Stop production and ask for clarification.</w:t>
      </w:r>
    </w:p>
    <w:p>
      <w:r>
        <w:rPr>
          <w:b/>
        </w:rPr>
        <w:t xml:space="preserve">Losing reader understanding: </w:t>
      </w:r>
      <w:r>
        <w:t>Worst companion-effect failure. Rewrite around the reader's experience.</w:t>
      </w:r>
    </w:p>
    <w:p>
      <w:r>
        <w:rPr>
          <w:b/>
        </w:rPr>
        <w:t xml:space="preserve">Becoming a summary: </w:t>
      </w:r>
      <w:r>
        <w:t>Expand reasoning, assumptions, and mechanisms.</w:t>
      </w:r>
    </w:p>
    <w:p>
      <w:r>
        <w:rPr>
          <w:b/>
        </w:rPr>
        <w:t xml:space="preserve">Becoming quote-driven: </w:t>
      </w:r>
      <w:r>
        <w:t>Rebuild the section as a guided narrative.</w:t>
      </w:r>
    </w:p>
    <w:p>
      <w:r>
        <w:rPr>
          <w:b/>
        </w:rPr>
        <w:t xml:space="preserve">Forcing red commentary: </w:t>
      </w:r>
      <w:r>
        <w:t>Remove weak red text. Red must connect to research context.</w:t>
      </w:r>
    </w:p>
    <w:p>
      <w:r>
        <w:rPr>
          <w:b/>
        </w:rPr>
        <w:t xml:space="preserve">Underusing quotations: </w:t>
      </w:r>
      <w:r>
        <w:t>Add direct source language where the author's wording is profound or important.</w:t>
      </w:r>
    </w:p>
    <w:p>
      <w:r>
        <w:rPr>
          <w:b/>
        </w:rPr>
        <w:t xml:space="preserve">Overusing quotations: </w:t>
      </w:r>
      <w:r>
        <w:t>Remove quotations that do not add value.</w:t>
      </w:r>
    </w:p>
    <w:p>
      <w:r>
        <w:rPr>
          <w:b/>
        </w:rPr>
        <w:t xml:space="preserve">Ignoring equations: </w:t>
      </w:r>
      <w:r>
        <w:t>Reproduce and explain central equations.</w:t>
      </w:r>
    </w:p>
    <w:p>
      <w:r>
        <w:rPr>
          <w:b/>
        </w:rPr>
        <w:t xml:space="preserve">Adding decorative diagrams: </w:t>
      </w:r>
      <w:r>
        <w:t>Remove diagrams that do not materially improve understanding.</w:t>
      </w:r>
    </w:p>
    <w:p>
      <w:r>
        <w:rPr>
          <w:b/>
        </w:rPr>
        <w:t xml:space="preserve">Format creep: </w:t>
      </w:r>
      <w:r>
        <w:t>Compare against the formatting standard before delivery.</w:t>
      </w:r>
    </w:p>
    <w:p>
      <w:pPr>
        <w:pStyle w:val="Heading1"/>
      </w:pPr>
      <w:r>
        <w:t>Part XVI — Agent Behavioral Requirements</w:t>
      </w:r>
    </w:p>
    <w:p>
      <w:r>
        <w:t>The agent must treat clarification as part of the production process, not as an interruption. The most dangerous failure mode is silent assumption-making.</w:t>
      </w:r>
    </w:p>
    <w:p>
      <w:r>
        <w:t>Ask before proceeding when:</w:t>
      </w:r>
    </w:p>
    <w:p>
      <w:r>
        <w:t>• Rules conflict.</w:t>
      </w:r>
    </w:p>
    <w:p>
      <w:r>
        <w:t>• The user instruction contradicts the guide.</w:t>
      </w:r>
    </w:p>
    <w:p>
      <w:r>
        <w:t>• The manuscript boundary is ambiguous.</w:t>
      </w:r>
    </w:p>
    <w:p>
      <w:r>
        <w:t>• A formatting decision is not specified.</w:t>
      </w:r>
    </w:p>
    <w:p>
      <w:r>
        <w:t>• The meaning of red or blue commentary is unclear.</w:t>
      </w:r>
    </w:p>
    <w:p>
      <w:r>
        <w:t>• A diagram could consume substantial page space.</w:t>
      </w:r>
    </w:p>
    <w:p>
      <w:r>
        <w:t>• A decision could materially affect the final companion.</w:t>
      </w:r>
    </w:p>
    <w:p>
      <w:r>
        <w:t>• The agent is tempted to infer based on preference rather than instruction.</w:t>
      </w:r>
    </w:p>
    <w:p>
      <w:r>
        <w:t>No question is a bad question. The cost of a clarification is small. The cost of silent drift across chapters is enormous.</w:t>
      </w:r>
    </w:p>
    <w:p>
      <w:pPr>
        <w:pStyle w:val="Heading1"/>
      </w:pPr>
      <w:r>
        <w:t>Appendix A — Chapter Completion Definition</w:t>
      </w:r>
    </w:p>
    <w:p>
      <w:r>
        <w:t>A chapter is complete when the reader could read the manuscript unit with the companion and understand the unit without substantial additional guidance. The chapter does not need to explain every possible detail. It must explain enough for the reader to follow the author's argument, notice important mechanisms, and understand why the section matters.</w:t>
      </w:r>
    </w:p>
    <w:p>
      <w:pPr>
        <w:pStyle w:val="Heading1"/>
      </w:pPr>
      <w:r>
        <w:t>Appendix B — What to Do When the User Changes a Rule</w:t>
      </w:r>
    </w:p>
    <w:p>
      <w:r>
        <w:t>If the user asks to change a rule, ask whether the change is local to the current chapter, local to the current manuscript, or a permanent specification update. Do not silently reinterpret the entire system.</w:t>
      </w:r>
    </w:p>
    <w:p>
      <w:pPr>
        <w:pStyle w:val="Heading1"/>
      </w:pPr>
      <w:r>
        <w:t>Appendix C — Final Message to Future Agents</w:t>
      </w:r>
    </w:p>
    <w:p>
      <w:r>
        <w:t>You are not creating a summary. You are not creating notes. You are creating a guided reading companion. Your job is to help the reader think with the manuscript.</w:t>
      </w:r>
    </w:p>
    <w:p>
      <w:r>
        <w:t>Assume nothing. Ask first. Reader understanding is more important than speed. Manuscript fidelity is more important than cleverness. Consistency is more important than improvisation.</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