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0F2EA2" w14:textId="77777777" w:rsidR="006B3BD3" w:rsidRDefault="00000000" w:rsidP="00EC7973">
      <w:pPr>
        <w:pStyle w:val="Title"/>
        <w:numPr>
          <w:ilvl w:val="0"/>
          <w:numId w:val="12"/>
        </w:numPr>
      </w:pPr>
      <w:r>
        <w:t>Model Chapter Outline</w:t>
      </w:r>
    </w:p>
    <w:p w14:paraId="797CE85F" w14:textId="2144003C" w:rsidR="006B3BD3" w:rsidRDefault="00000000" w:rsidP="00EC7973">
      <w:pPr>
        <w:pStyle w:val="Heading1"/>
        <w:numPr>
          <w:ilvl w:val="1"/>
          <w:numId w:val="12"/>
        </w:numPr>
      </w:pPr>
      <w:r>
        <w:t>The problem the model is built to explain</w:t>
      </w:r>
    </w:p>
    <w:p w14:paraId="47EB7787" w14:textId="77777777" w:rsidR="006B3BD3" w:rsidRDefault="00000000" w:rsidP="00EC7973">
      <w:pPr>
        <w:pStyle w:val="ListBullet"/>
        <w:numPr>
          <w:ilvl w:val="2"/>
          <w:numId w:val="12"/>
        </w:numPr>
      </w:pPr>
      <w:r>
        <w:t>Why strong environments do not always produce greater success. Begin with the empirical intuition that stronger groups often appear advantageous, then introduce the empirical complication that greater peer quality does not always correspond to uniformly greater later success.</w:t>
      </w:r>
    </w:p>
    <w:p w14:paraId="2F5548FD" w14:textId="77777777" w:rsidR="006B3BD3" w:rsidRDefault="00000000" w:rsidP="00EC7973">
      <w:pPr>
        <w:pStyle w:val="ListBullet"/>
        <w:numPr>
          <w:ilvl w:val="2"/>
          <w:numId w:val="12"/>
        </w:numPr>
      </w:pPr>
      <w:r>
        <w:t>Separating environmental effects from later selection. Explain why the quality of an individual's environment and the process through which that individual is later evaluated or selected must be modeled separately.</w:t>
      </w:r>
    </w:p>
    <w:p w14:paraId="75DDEEAB" w14:textId="77777777" w:rsidR="006B3BD3" w:rsidRDefault="00000000" w:rsidP="00EC7973">
      <w:pPr>
        <w:pStyle w:val="ListBullet"/>
        <w:numPr>
          <w:ilvl w:val="2"/>
          <w:numId w:val="12"/>
        </w:numPr>
      </w:pPr>
      <w:r>
        <w:t>A simple organizational example. Walk the reader through an individual entering with measurable characteristics and prior performance, developing alongside peers, being evaluated over time, and eventually facing a later selection decision.</w:t>
      </w:r>
    </w:p>
    <w:p w14:paraId="5E1A1160" w14:textId="77777777" w:rsidR="006B3BD3" w:rsidRDefault="00000000" w:rsidP="00EC7973">
      <w:pPr>
        <w:pStyle w:val="ListBullet"/>
        <w:numPr>
          <w:ilvl w:val="2"/>
          <w:numId w:val="12"/>
        </w:numPr>
      </w:pPr>
      <w:r>
        <w:t>The three-stage architecture: ASSIGN, SCORE, and SELECT. Preview how assignment creates the peer environment, scoring represents how that environment enters competitive standing, and selection converts scores into outcomes.</w:t>
      </w:r>
    </w:p>
    <w:p w14:paraId="5393EE21" w14:textId="6E886474" w:rsidR="006B3BD3" w:rsidRDefault="00000000" w:rsidP="00EC7973">
      <w:pPr>
        <w:pStyle w:val="Heading1"/>
        <w:numPr>
          <w:ilvl w:val="1"/>
          <w:numId w:val="12"/>
        </w:numPr>
      </w:pPr>
      <w:r>
        <w:t>Individuals, groups, and peer environments</w:t>
      </w:r>
    </w:p>
    <w:p w14:paraId="6D233FBA" w14:textId="77777777" w:rsidR="006B3BD3" w:rsidRDefault="00000000" w:rsidP="00EC7973">
      <w:pPr>
        <w:pStyle w:val="ListBullet"/>
        <w:numPr>
          <w:ilvl w:val="2"/>
          <w:numId w:val="12"/>
        </w:numPr>
      </w:pPr>
      <w:r>
        <w:t>The individual entering the model. Define the individual input Aᵢ, the relevant population, and the time unit. Explain that observed performance is a measured characteristic, not automatically innate or portable talent.</w:t>
      </w:r>
    </w:p>
    <w:p w14:paraId="7C50B74E" w14:textId="77777777" w:rsidR="006B3BD3" w:rsidRDefault="00000000" w:rsidP="00EC7973">
      <w:pPr>
        <w:pStyle w:val="ListBullet"/>
        <w:numPr>
          <w:ilvl w:val="2"/>
          <w:numId w:val="12"/>
        </w:numPr>
      </w:pPr>
      <w:r>
        <w:t>The group as the individual's environment. Explain group membership, group size, capacity, and why the group's composition is an analytically distinct feature of the individual's setting.</w:t>
      </w:r>
    </w:p>
    <w:p w14:paraId="3F952B64" w14:textId="77777777" w:rsidR="006B3BD3" w:rsidRDefault="00000000" w:rsidP="00EC7973">
      <w:pPr>
        <w:pStyle w:val="ListBullet"/>
        <w:numPr>
          <w:ilvl w:val="2"/>
          <w:numId w:val="12"/>
        </w:numPr>
      </w:pPr>
      <w:r>
        <w:t>Measuring peer quality. Define leave-one-out mean peer performance and explain why the focal individual is excluded when describing the peer environment.</w:t>
      </w:r>
    </w:p>
    <w:p w14:paraId="58AE5F23" w14:textId="77777777" w:rsidR="006B3BD3" w:rsidRDefault="00000000" w:rsidP="00EC7973">
      <w:pPr>
        <w:pStyle w:val="ListBullet"/>
        <w:numPr>
          <w:ilvl w:val="2"/>
          <w:numId w:val="12"/>
        </w:numPr>
      </w:pPr>
      <w:r>
        <w:t>Peer quality is not the same as congestion. Distinguish the descriptive peer-quality quantity used to characterize or plot the environment from the congestion quantity that enters the modeled score.</w:t>
      </w:r>
    </w:p>
    <w:p>
      <w:pPr>
        <w:pStyle w:val="ListBullet"/>
        <w:numPr>
          <w:ilvl w:val="2"/>
          <w:numId w:val="12"/>
        </w:numPr>
      </w:pPr>
      <w:r>
        <w:t>A concrete example from basketball. Explain that assignments can change while standardized season points per minute remains fixed; this isolates the modeled assignment/environment mechanism and does not reconstruct how a player's performance would have changed on another team.</w:t>
      </w:r>
    </w:p>
    <w:p w14:paraId="3484AA51" w14:textId="22614463" w:rsidR="006B3BD3" w:rsidRDefault="00EC7973" w:rsidP="00EC7973">
      <w:pPr>
        <w:pStyle w:val="Heading1"/>
        <w:numPr>
          <w:ilvl w:val="1"/>
          <w:numId w:val="12"/>
        </w:numPr>
      </w:pPr>
      <w:r>
        <w:t xml:space="preserve"> </w:t>
      </w:r>
      <w:r w:rsidR="00000000">
        <w:t>ASSIGN: the Levine–Gates grouping mechanism</w:t>
      </w:r>
    </w:p>
    <w:p w14:paraId="6086AEC7" w14:textId="77777777" w:rsidR="006B3BD3" w:rsidRDefault="00000000" w:rsidP="00EC7973">
      <w:pPr>
        <w:pStyle w:val="ListBullet"/>
        <w:numPr>
          <w:ilvl w:val="2"/>
          <w:numId w:val="12"/>
        </w:numPr>
      </w:pPr>
      <w:r>
        <w:t>Explain the sequential assignment probability, including remaining seats, current group centroids, and similarity preference ρ.</w:t>
      </w:r>
    </w:p>
    <w:p w14:paraId="29EC01D4" w14:textId="77777777" w:rsidR="006B3BD3" w:rsidRDefault="00000000" w:rsidP="00EC7973">
      <w:pPr>
        <w:pStyle w:val="ListBullet"/>
        <w:numPr>
          <w:ilvl w:val="2"/>
          <w:numId w:val="12"/>
        </w:numPr>
      </w:pPr>
      <w:r>
        <w:t>Describe initialization, randomized arrival order, immediate centroid updates, and capacity constraints.</w:t>
      </w:r>
    </w:p>
    <w:p w14:paraId="5E0EED51" w14:textId="77777777" w:rsidR="006B3BD3" w:rsidRDefault="00000000" w:rsidP="00EC7973">
      <w:pPr>
        <w:pStyle w:val="ListBullet"/>
        <w:numPr>
          <w:ilvl w:val="2"/>
          <w:numId w:val="12"/>
        </w:numPr>
      </w:pPr>
      <w:r>
        <w:t>Explain why zero similarity preference means uniform assignment over remaining seats, not over teams.</w:t>
      </w:r>
    </w:p>
    <w:p w14:paraId="7DB32B51" w14:textId="77777777" w:rsidR="006B3BD3" w:rsidRDefault="00000000" w:rsidP="00EC7973">
      <w:pPr>
        <w:pStyle w:val="ListBullet"/>
        <w:numPr>
          <w:ilvl w:val="2"/>
          <w:numId w:val="12"/>
        </w:numPr>
      </w:pPr>
      <w:r>
        <w:t>Define the measured sorting index H_sort and its positive random-group reference. Distinguish input preference from realized sorting.</w:t>
      </w:r>
    </w:p>
    <w:p w14:paraId="5D91BC08" w14:textId="77777777" w:rsidR="006B3BD3" w:rsidRDefault="00000000" w:rsidP="00EC7973">
      <w:pPr>
        <w:pStyle w:val="ListBullet"/>
        <w:numPr>
          <w:ilvl w:val="2"/>
          <w:numId w:val="12"/>
        </w:numPr>
      </w:pPr>
      <w:r>
        <w:t>Recover the development history: earlier target-based assignment, Parent and Child variants, and the implemented Grandchild. Explain similarity based on performance metadata.</w:t>
      </w:r>
    </w:p>
    <w:p w14:paraId="3AE7779E" w14:textId="0C651C23" w:rsidR="006B3BD3" w:rsidRDefault="00000000" w:rsidP="00EC7973">
      <w:pPr>
        <w:pStyle w:val="Heading1"/>
        <w:numPr>
          <w:ilvl w:val="1"/>
          <w:numId w:val="12"/>
        </w:numPr>
      </w:pPr>
      <w:r>
        <w:t xml:space="preserve"> SCORE: how the specified congestion penalty operates</w:t>
      </w:r>
    </w:p>
    <w:p w14:paraId="5CE4B3C6" w14:textId="77777777" w:rsidR="006B3BD3" w:rsidRDefault="00000000" w:rsidP="00EC7973">
      <w:pPr>
        <w:pStyle w:val="ListBullet"/>
        <w:numPr>
          <w:ilvl w:val="2"/>
          <w:numId w:val="12"/>
        </w:numPr>
      </w:pPr>
      <w:r>
        <w:t>Present the smooth contribution function, group congestion quantity, and score equation for the specified model version.</w:t>
      </w:r>
    </w:p>
    <w:p w14:paraId="4CD1A8CB" w14:textId="77777777" w:rsidR="006B3BD3" w:rsidRDefault="00000000" w:rsidP="00EC7973">
      <w:pPr>
        <w:pStyle w:val="ListBullet"/>
        <w:numPr>
          <w:ilvl w:val="2"/>
          <w:numId w:val="12"/>
        </w:numPr>
      </w:pPr>
      <w:r>
        <w:t>Explain γ as transition sharpness, θ as transition location, and λ as penalty weight.</w:t>
      </w:r>
    </w:p>
    <w:p w14:paraId="224542DF" w14:textId="77777777" w:rsidR="006B3BD3" w:rsidRDefault="00000000" w:rsidP="00EC7973">
      <w:pPr>
        <w:pStyle w:val="ListBullet"/>
        <w:numPr>
          <w:ilvl w:val="2"/>
          <w:numId w:val="12"/>
        </w:numPr>
      </w:pPr>
      <w:r>
        <w:t>Explain full-team congestion: everyone in a team receives the same subtraction, preserving within-team ordering while potentially changing ordering across teams.</w:t>
      </w:r>
    </w:p>
    <w:p w14:paraId="562337A8" w14:textId="77777777" w:rsidR="006B3BD3" w:rsidRDefault="00000000" w:rsidP="00EC7973">
      <w:pPr>
        <w:pStyle w:val="ListBullet"/>
        <w:numPr>
          <w:ilvl w:val="2"/>
          <w:numId w:val="12"/>
        </w:numPr>
      </w:pPr>
      <w:r>
        <w:t>Distinguish historical leave-one-out congestion from full-team congestion and raw congestion from standardized congestion.</w:t>
      </w:r>
    </w:p>
    <w:p w14:paraId="201B0F49" w14:textId="77777777" w:rsidR="006B3BD3" w:rsidRDefault="00000000" w:rsidP="00EC7973">
      <w:pPr>
        <w:pStyle w:val="ListBullet"/>
        <w:numPr>
          <w:ilvl w:val="2"/>
          <w:numId w:val="12"/>
        </w:numPr>
      </w:pPr>
      <w:r>
        <w:t>Explain fixed versus selection-dependent θ. State the assumptions behind the historical λ ≈ 4/γ threshold argument without presenting it as a universal downturn theorem.</w:t>
      </w:r>
    </w:p>
    <w:p w14:paraId="49262289" w14:textId="115C9714" w:rsidR="006B3BD3" w:rsidRDefault="00000000" w:rsidP="00EC7973">
      <w:pPr>
        <w:pStyle w:val="Heading1"/>
        <w:numPr>
          <w:ilvl w:val="1"/>
          <w:numId w:val="12"/>
        </w:numPr>
      </w:pPr>
      <w:r>
        <w:lastRenderedPageBreak/>
        <w:t xml:space="preserve"> SELECT: capacity, ranking, and selection noise</w:t>
      </w:r>
    </w:p>
    <w:p w14:paraId="5707B264" w14:textId="77777777" w:rsidR="006B3BD3" w:rsidRDefault="00000000" w:rsidP="00EC7973">
      <w:pPr>
        <w:pStyle w:val="ListBullet"/>
        <w:numPr>
          <w:ilvl w:val="2"/>
          <w:numId w:val="12"/>
        </w:numPr>
      </w:pPr>
      <w:r>
        <w:t>Define the eligible population N, number selected K, and selection fraction K/N.</w:t>
      </w:r>
    </w:p>
    <w:p w14:paraId="5D539140" w14:textId="77777777" w:rsidR="006B3BD3" w:rsidRDefault="00000000" w:rsidP="00EC7973">
      <w:pPr>
        <w:pStyle w:val="ListBullet"/>
        <w:numPr>
          <w:ilvl w:val="2"/>
          <w:numId w:val="12"/>
        </w:numPr>
      </w:pPr>
      <w:r>
        <w:t>Explain deterministic top-K selection and its tie rule. Distinguish random assignment from random selection after scoring.</w:t>
      </w:r>
    </w:p>
    <w:p w14:paraId="69F825CE" w14:textId="77777777" w:rsidR="006B3BD3" w:rsidRDefault="00000000" w:rsidP="00EC7973">
      <w:pPr>
        <w:pStyle w:val="ListBullet"/>
        <w:numPr>
          <w:ilvl w:val="2"/>
          <w:numId w:val="12"/>
        </w:numPr>
      </w:pPr>
      <w:r>
        <w:t>Explain stochastic selection and temperature using the actual probability equation for each implementation.</w:t>
      </w:r>
    </w:p>
    <w:p w14:paraId="6FCF3CB4" w14:textId="77777777" w:rsidR="006B3BD3" w:rsidRDefault="00000000" w:rsidP="00EC7973">
      <w:pPr>
        <w:pStyle w:val="ListBullet"/>
        <w:numPr>
          <w:ilvl w:val="2"/>
          <w:numId w:val="12"/>
        </w:numPr>
      </w:pPr>
      <w:r>
        <w:t>Distinguish Bernoulli calibration from selecting exactly K individuals without replacement. Explain why parameter transfer requires verification.</w:t>
      </w:r>
    </w:p>
    <w:p w14:paraId="7C58C2AB" w14:textId="77777777" w:rsidR="006B3BD3" w:rsidRDefault="00000000" w:rsidP="00EC7973">
      <w:pPr>
        <w:pStyle w:val="ListBullet"/>
        <w:numPr>
          <w:ilvl w:val="2"/>
          <w:numId w:val="12"/>
        </w:numPr>
      </w:pPr>
      <w:r>
        <w:t>Clarify that the recent 2.7% scenario was motivated by the career-exit proportion, not each experimental season’s annual selection rate.</w:t>
      </w:r>
    </w:p>
    <w:p w14:paraId="7415BA79" w14:textId="77777777" w:rsidR="00DB0F59" w:rsidRPr="00DB0F59" w:rsidRDefault="00000000" w:rsidP="00DB0F59">
      <w:pPr>
        <w:pStyle w:val="Heading1"/>
        <w:numPr>
          <w:ilvl w:val="1"/>
          <w:numId w:val="12"/>
        </w:numPr>
      </w:pPr>
      <w:r>
        <w:t>Parameter regimes: what each knob actually does</w:t>
      </w:r>
    </w:p>
    <w:p w14:paraId="009FAD92" w14:textId="596C5223"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ρ</m:t>
        </m:r>
      </m:oMath>
      <w:r w:rsidRPr="00DB0F59">
        <w:rPr>
          <w:b w:val="0"/>
          <w:bCs w:val="0"/>
          <w:sz w:val="24"/>
          <w:szCs w:val="24"/>
        </w:rPr>
        <w:t>: assignment preference and realized sorting</w:t>
      </w:r>
    </w:p>
    <w:p w14:paraId="08D26607" w14:textId="469F88EE"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γ</m:t>
        </m:r>
      </m:oMath>
      <w:r w:rsidRPr="00DB0F59">
        <w:rPr>
          <w:b w:val="0"/>
          <w:bCs w:val="0"/>
          <w:sz w:val="24"/>
          <w:szCs w:val="24"/>
        </w:rPr>
        <w:t>: how sharply viability/congestion turns on</w:t>
      </w:r>
    </w:p>
    <w:p w14:paraId="0AA0BF90" w14:textId="01BF227D"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θ</m:t>
        </m:r>
      </m:oMath>
      <w:r w:rsidRPr="00DB0F59">
        <w:rPr>
          <w:b w:val="0"/>
          <w:bCs w:val="0"/>
          <w:sz w:val="24"/>
          <w:szCs w:val="24"/>
        </w:rPr>
        <w:t>: where the relevant performance threshold sits</w:t>
      </w:r>
    </w:p>
    <w:p w14:paraId="53E1ABF3" w14:textId="4964D691"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λ</m:t>
        </m:r>
      </m:oMath>
      <w:r w:rsidRPr="00DB0F59">
        <w:rPr>
          <w:b w:val="0"/>
          <w:bCs w:val="0"/>
          <w:sz w:val="24"/>
          <w:szCs w:val="24"/>
        </w:rPr>
        <w:t>: strength of the congestion penalty</w:t>
      </w:r>
    </w:p>
    <w:p w14:paraId="138E670E" w14:textId="45BFD2B4"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K/N</m:t>
        </m:r>
      </m:oMath>
      <w:r w:rsidRPr="00DB0F59">
        <w:rPr>
          <w:b w:val="0"/>
          <w:bCs w:val="0"/>
          <w:sz w:val="24"/>
          <w:szCs w:val="24"/>
        </w:rPr>
        <w:t>: scarcity and the selection boundary</w:t>
      </w:r>
    </w:p>
    <w:p w14:paraId="591430D1" w14:textId="38642306" w:rsidR="00DB0F59" w:rsidRPr="00DB0F59" w:rsidRDefault="00DB0F59" w:rsidP="00DB0F59">
      <w:pPr>
        <w:pStyle w:val="Heading1"/>
        <w:numPr>
          <w:ilvl w:val="2"/>
          <w:numId w:val="12"/>
        </w:numPr>
        <w:rPr>
          <w:b w:val="0"/>
          <w:bCs w:val="0"/>
          <w:sz w:val="24"/>
          <w:szCs w:val="24"/>
        </w:rPr>
      </w:pPr>
      <m:oMath>
        <m:r>
          <m:rPr>
            <m:sty m:val="bi"/>
          </m:rPr>
          <w:rPr>
            <w:rFonts w:ascii="Cambria Math" w:hAnsi="Cambria Math"/>
            <w:sz w:val="24"/>
            <w:szCs w:val="24"/>
          </w:rPr>
          <m:t>t</m:t>
        </m:r>
      </m:oMath>
      <w:r w:rsidRPr="00DB0F59">
        <w:rPr>
          <w:b w:val="0"/>
          <w:bCs w:val="0"/>
          <w:sz w:val="24"/>
          <w:szCs w:val="24"/>
        </w:rPr>
        <w:t>: deterministic versus noisy selection</w:t>
      </w:r>
    </w:p>
    <w:p w14:paraId="76A1AC9F" w14:textId="514DF961" w:rsidR="00DB0F59" w:rsidRPr="00DB0F59" w:rsidRDefault="00DB0F59" w:rsidP="00DB0F59">
      <w:pPr>
        <w:pStyle w:val="Heading1"/>
        <w:numPr>
          <w:ilvl w:val="2"/>
          <w:numId w:val="12"/>
        </w:numPr>
        <w:rPr>
          <w:b w:val="0"/>
          <w:bCs w:val="0"/>
          <w:sz w:val="24"/>
          <w:szCs w:val="24"/>
        </w:rPr>
      </w:pPr>
      <w:r w:rsidRPr="00DB0F59">
        <w:rPr>
          <w:b w:val="0"/>
          <w:bCs w:val="0"/>
          <w:sz w:val="24"/>
          <w:szCs w:val="24"/>
        </w:rPr>
        <w:t>Interactions among parameters: where similar curves can come from different mechanisms</w:t>
      </w:r>
    </w:p>
    <w:p w14:paraId="74310EEE" w14:textId="336842C7" w:rsidR="006B3BD3" w:rsidRDefault="00000000" w:rsidP="00EC7973">
      <w:pPr>
        <w:pStyle w:val="Heading1"/>
        <w:numPr>
          <w:ilvl w:val="1"/>
          <w:numId w:val="12"/>
        </w:numPr>
      </w:pPr>
      <w:r>
        <w:t>What the completed experiments taught us</w:t>
      </w:r>
    </w:p>
    <w:p w14:paraId="1916C78F" w14:textId="77777777" w:rsidR="006B3BD3" w:rsidRDefault="00000000" w:rsidP="00EC7973">
      <w:pPr>
        <w:pStyle w:val="ListBullet"/>
        <w:numPr>
          <w:ilvl w:val="2"/>
          <w:numId w:val="12"/>
        </w:numPr>
      </w:pPr>
      <w:r>
        <w:t>Can congestion change winners without similarity preference? Separate this question from whether a downturn occurs.</w:t>
      </w:r>
    </w:p>
    <w:p w14:paraId="19F27F9C" w14:textId="77777777" w:rsidR="006B3BD3" w:rsidRDefault="00000000" w:rsidP="00EC7973">
      <w:pPr>
        <w:pStyle w:val="ListBullet"/>
        <w:numPr>
          <w:ilvl w:val="2"/>
          <w:numId w:val="12"/>
        </w:numPr>
      </w:pPr>
      <w:r>
        <w:t>Was the initial penalty large enough to reshape the curve? Explain the penalty’s scale relative to individual performance.</w:t>
      </w:r>
    </w:p>
    <w:p w14:paraId="0716422A" w14:textId="77777777" w:rsidR="006B3BD3" w:rsidRDefault="00000000" w:rsidP="00EC7973">
      <w:pPr>
        <w:pStyle w:val="ListBullet"/>
        <w:numPr>
          <w:ilvl w:val="2"/>
          <w:numId w:val="12"/>
        </w:numPr>
      </w:pPr>
      <w:r>
        <w:t>How does curve shape depend on penalty strength and binning? Show equal-width and quantile views with support counts.</w:t>
      </w:r>
    </w:p>
    <w:p w14:paraId="7BF50B76" w14:textId="77777777" w:rsidR="006B3BD3" w:rsidRDefault="00000000" w:rsidP="00EC7973">
      <w:pPr>
        <w:pStyle w:val="ListBullet"/>
        <w:numPr>
          <w:ilvl w:val="2"/>
          <w:numId w:val="12"/>
        </w:numPr>
      </w:pPr>
      <w:r>
        <w:t>Does a low selection fraction make assignment preference irrelevant? Distinguish the number of changed winners from the fraction of winners changed.</w:t>
      </w:r>
    </w:p>
    <w:p w14:paraId="02C5B5A4" w14:textId="77777777" w:rsidR="006B3BD3" w:rsidRDefault="00000000" w:rsidP="00EC7973">
      <w:pPr>
        <w:pStyle w:val="ListBullet"/>
        <w:numPr>
          <w:ilvl w:val="2"/>
          <w:numId w:val="12"/>
        </w:numPr>
      </w:pPr>
      <w:r>
        <w:t>How does reduced preference alter sorting, the range of peer environments, and selection profiles? Treat empty bins as missing support.</w:t>
      </w:r>
    </w:p>
    <w:p w14:paraId="75D60D25" w14:textId="77777777" w:rsidR="006B3BD3" w:rsidRDefault="00000000" w:rsidP="00EC7973">
      <w:pPr>
        <w:pStyle w:val="ListBullet"/>
        <w:numPr>
          <w:ilvl w:val="2"/>
          <w:numId w:val="12"/>
        </w:numPr>
      </w:pPr>
      <w:r>
        <w:t>Use the existing plot trail, retaining model versions, dates, and the purpose of the 50% selection comparison. Distinguish exploratory choices from estimated optima.</w:t>
      </w:r>
    </w:p>
    <w:p w14:paraId="2FC349F8" w14:textId="55C2BD73" w:rsidR="006B3BD3" w:rsidRDefault="00000000" w:rsidP="00EC7973">
      <w:pPr>
        <w:pStyle w:val="Heading1"/>
        <w:numPr>
          <w:ilvl w:val="1"/>
          <w:numId w:val="12"/>
        </w:numPr>
      </w:pPr>
      <w:r>
        <w:t xml:space="preserve"> Established scope, limits, and the bridge to fitting</w:t>
      </w:r>
    </w:p>
    <w:p w14:paraId="71F96D5B" w14:textId="77777777" w:rsidR="006B3BD3" w:rsidRDefault="00000000" w:rsidP="00EC7973">
      <w:pPr>
        <w:pStyle w:val="ListBullet"/>
        <w:numPr>
          <w:ilvl w:val="2"/>
          <w:numId w:val="12"/>
        </w:numPr>
      </w:pPr>
      <w:r>
        <w:t>Summarize the documented architecture, implemented model families, parameter roles, and bounded conclusions of completed experiments.</w:t>
      </w:r>
    </w:p>
    <w:p w14:paraId="08E53A17" w14:textId="77777777" w:rsidR="006B3BD3" w:rsidRDefault="00000000" w:rsidP="00EC7973">
      <w:pPr>
        <w:pStyle w:val="ListBullet"/>
        <w:numPr>
          <w:ilvl w:val="2"/>
          <w:numId w:val="12"/>
        </w:numPr>
      </w:pPr>
      <w:r>
        <w:t>Distinguish a hump from proof of congestion, and tested settings from universal necessity of assortative preference.</w:t>
      </w:r>
    </w:p>
    <w:p w14:paraId="5CF24BC3" w14:textId="77777777" w:rsidR="006B3BD3" w:rsidRDefault="00000000" w:rsidP="00EC7973">
      <w:pPr>
        <w:pStyle w:val="ListBullet"/>
        <w:numPr>
          <w:ilvl w:val="2"/>
          <w:numId w:val="12"/>
        </w:numPr>
      </w:pPr>
      <w:r>
        <w:lastRenderedPageBreak/>
        <w:t>Keep empirical explanations separate from model demonstrations, including the unmodeled five-player court constraint.</w:t>
      </w:r>
    </w:p>
    <w:p w14:paraId="565155A6" w14:textId="77777777" w:rsidR="006B3BD3" w:rsidRDefault="00000000" w:rsidP="00EC7973">
      <w:pPr>
        <w:pStyle w:val="ListBullet"/>
        <w:numPr>
          <w:ilvl w:val="2"/>
          <w:numId w:val="12"/>
        </w:numPr>
      </w:pPr>
      <w:r>
        <w:t>Identify unresolved parameter transfer across selection rules, normalizations, and domains.</w:t>
      </w:r>
    </w:p>
    <w:p w14:paraId="094FAB08" w14:textId="77777777" w:rsidR="006B3BD3" w:rsidRDefault="00000000" w:rsidP="00EC7973">
      <w:pPr>
        <w:pStyle w:val="ListBullet"/>
        <w:numPr>
          <w:ilvl w:val="2"/>
          <w:numId w:val="12"/>
        </w:numPr>
      </w:pPr>
      <w:r>
        <w:t>Avoid causal claims from Romania’s descriptive patterns or claims of an identical verified effect across domains.</w:t>
      </w:r>
    </w:p>
    <w:p w14:paraId="506110B2" w14:textId="77777777" w:rsidR="006B3BD3" w:rsidRDefault="00000000" w:rsidP="00EC7973">
      <w:pPr>
        <w:pStyle w:val="ListBullet"/>
        <w:numPr>
          <w:ilvl w:val="2"/>
          <w:numId w:val="12"/>
        </w:numPr>
      </w:pPr>
      <w:r>
        <w:t>End with specific unsupported statements and the smallest checks needed to resolve them. Use writing to identify gaps without launching a broad experimental campaign.</w:t>
      </w:r>
    </w:p>
    <w:sectPr w:rsidR="006B3BD3" w:rsidSect="00EC797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CB274BD"/>
    <w:multiLevelType w:val="multilevel"/>
    <w:tmpl w:val="1E784B0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1"/>
  </w:num>
  <w:num w:numId="11" w16cid:durableId="1335380630">
    <w:abstractNumId w:val="9"/>
  </w:num>
  <w:num w:numId="12" w16cid:durableId="850726394">
    <w:abstractNumId w:val="12"/>
  </w:num>
  <w:num w:numId="13" w16cid:durableId="189546045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3FC"/>
    <w:rsid w:val="0015074B"/>
    <w:rsid w:val="0029639D"/>
    <w:rsid w:val="00326F90"/>
    <w:rsid w:val="004E2689"/>
    <w:rsid w:val="006B3BD3"/>
    <w:rsid w:val="00AA1D8D"/>
    <w:rsid w:val="00B47730"/>
    <w:rsid w:val="00CB0664"/>
    <w:rsid w:val="00DB0F59"/>
    <w:rsid w:val="00EC79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D38623"/>
  <w14:defaultImageDpi w14:val="300"/>
  <w15:docId w15:val="{66EBF75D-39AF-584D-B387-0B6376E7F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B0F59"/>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Pages>
  <Words>799</Words>
  <Characters>4555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5344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Chapter Outline</dc:title>
  <dc:subject>Sections 4.1–4.7 of the proposed model chapter</dc:subject>
  <dc:creator>python-docx</dc:creator>
  <cp:keywords/>
  <dc:description>generated by python-docx</dc:description>
  <cp:lastModifiedBy>Levine, Charles Roger CTR USARMY USMA (USA)</cp:lastModifiedBy>
  <cp:revision>4</cp:revision>
  <dcterms:created xsi:type="dcterms:W3CDTF">2013-12-23T23:15:00Z</dcterms:created>
  <dcterms:modified xsi:type="dcterms:W3CDTF">2026-10-02T17:21:00Z</dcterms:modified>
  <cp:category/>
</cp:coreProperties>
</file>