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B7F5FF" w14:textId="77777777" w:rsidR="0024381C" w:rsidRPr="000F167D" w:rsidRDefault="0024381C" w:rsidP="0024381C">
      <w:pPr>
        <w:pStyle w:val="Heading1"/>
        <w:numPr>
          <w:ilvl w:val="2"/>
          <w:numId w:val="2"/>
        </w:numPr>
        <w:tabs>
          <w:tab w:val="num" w:pos="360"/>
        </w:tabs>
        <w:spacing w:before="0" w:after="0"/>
        <w:ind w:left="0" w:firstLine="0"/>
        <w:rPr>
          <w:rFonts w:ascii="Calibri" w:eastAsiaTheme="minorEastAsia" w:hAnsi="Calibri" w:cstheme="minorBidi"/>
          <w:b/>
          <w:bCs/>
          <w:sz w:val="21"/>
          <w:szCs w:val="20"/>
        </w:rPr>
      </w:pPr>
      <w:r w:rsidRPr="000F167D">
        <w:rPr>
          <w:rFonts w:ascii="Calibri" w:eastAsiaTheme="minorEastAsia" w:hAnsi="Calibri" w:cstheme="minorBidi"/>
          <w:sz w:val="21"/>
          <w:szCs w:val="20"/>
        </w:rPr>
        <w:t>The smooth contribution function</w:t>
      </w:r>
    </w:p>
    <w:p w14:paraId="1B651407" w14:textId="77777777" w:rsidR="0024381C" w:rsidRPr="000F167D" w:rsidRDefault="0024381C" w:rsidP="0024381C">
      <w:pPr>
        <w:pStyle w:val="Heading1"/>
        <w:spacing w:before="0" w:after="0"/>
        <w:ind w:left="1224"/>
        <w:rPr>
          <w:rFonts w:asciiTheme="minorHAnsi" w:eastAsiaTheme="minorEastAsia" w:hAnsiTheme="minorHAnsi" w:cstheme="minorBidi"/>
          <w:b/>
          <w:bCs/>
          <w:color w:val="0432FF"/>
          <w:sz w:val="21"/>
          <w:szCs w:val="20"/>
        </w:rPr>
      </w:pPr>
      <w:r w:rsidRPr="000F167D">
        <w:rPr>
          <w:rFonts w:asciiTheme="minorHAnsi" w:eastAsiaTheme="minorEastAsia" w:hAnsiTheme="minorHAnsi" w:cstheme="minorBidi"/>
          <w:color w:val="0432FF"/>
          <w:sz w:val="21"/>
          <w:szCs w:val="20"/>
        </w:rPr>
        <w:t xml:space="preserve">The conceptual congestion mechanism </w:t>
      </w:r>
      <m:oMath>
        <m:sSub>
          <m:sSubPr>
            <m:ctrlPr>
              <w:rPr>
                <w:rFonts w:ascii="Cambria Math" w:eastAsiaTheme="minorEastAsia" w:hAnsi="Cambria Math" w:cstheme="minorBidi"/>
                <w:color w:val="0432FF"/>
                <w:sz w:val="21"/>
                <w:szCs w:val="20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theme="minorBidi"/>
                <w:color w:val="0432FF"/>
                <w:sz w:val="21"/>
                <w:szCs w:val="20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theme="minorBidi"/>
                <w:color w:val="0432FF"/>
                <w:sz w:val="21"/>
                <w:szCs w:val="20"/>
              </w:rPr>
              <m:t>C</m:t>
            </m:r>
          </m:sub>
        </m:sSub>
      </m:oMath>
      <w:r w:rsidRPr="000F167D">
        <w:rPr>
          <w:rFonts w:asciiTheme="minorHAnsi" w:eastAsiaTheme="minorEastAsia" w:hAnsiTheme="minorHAnsi" w:cstheme="minorBidi"/>
          <w:color w:val="0432FF"/>
          <w:sz w:val="21"/>
          <w:szCs w:val="20"/>
        </w:rPr>
        <w:t xml:space="preserve"> represents the competitive pressure created by sufficiently strong peers within a group. To operationalize that idea, the model must determine how much each group member contributes to the group’s overall congestion. Not every peer should contribute equally: an individual far below the relevant competitive threshold should add little to the modeled pressure, while a stronger individual should contribute more.</w:t>
      </w:r>
    </w:p>
    <w:p w14:paraId="0FBE0299" w14:textId="77777777" w:rsidR="0024381C" w:rsidRPr="000F167D" w:rsidRDefault="0024381C" w:rsidP="0024381C">
      <w:pPr>
        <w:pStyle w:val="Heading1"/>
        <w:spacing w:before="0" w:after="0"/>
        <w:ind w:left="1224"/>
        <w:rPr>
          <w:rFonts w:asciiTheme="minorHAnsi" w:eastAsiaTheme="minorEastAsia" w:hAnsiTheme="minorHAnsi" w:cstheme="minorBidi"/>
          <w:b/>
          <w:bCs/>
          <w:color w:val="0432FF"/>
          <w:sz w:val="21"/>
          <w:szCs w:val="20"/>
        </w:rPr>
      </w:pPr>
    </w:p>
    <w:p w14:paraId="077667F3" w14:textId="77777777" w:rsidR="0024381C" w:rsidRPr="000F167D" w:rsidRDefault="0024381C" w:rsidP="0024381C">
      <w:pPr>
        <w:pStyle w:val="Heading1"/>
        <w:spacing w:before="0" w:after="0"/>
        <w:ind w:left="1224"/>
        <w:rPr>
          <w:rFonts w:asciiTheme="minorHAnsi" w:eastAsiaTheme="minorEastAsia" w:hAnsiTheme="minorHAnsi" w:cstheme="minorBidi"/>
          <w:b/>
          <w:bCs/>
          <w:color w:val="0432FF"/>
          <w:sz w:val="21"/>
          <w:szCs w:val="20"/>
        </w:rPr>
      </w:pPr>
      <w:r w:rsidRPr="000F167D">
        <w:rPr>
          <w:rFonts w:asciiTheme="minorHAnsi" w:eastAsiaTheme="minorEastAsia" w:hAnsiTheme="minorHAnsi" w:cstheme="minorBidi"/>
          <w:color w:val="0432FF"/>
          <w:sz w:val="21"/>
          <w:szCs w:val="20"/>
        </w:rPr>
        <w:t xml:space="preserve">We therefore map each individual characteristic </w:t>
      </w:r>
      <m:oMath>
        <m:sSub>
          <m:sSubPr>
            <m:ctrlPr>
              <w:rPr>
                <w:rFonts w:ascii="Cambria Math" w:eastAsiaTheme="minorEastAsia" w:hAnsi="Cambria Math" w:cstheme="minorBidi"/>
                <w:color w:val="0432FF"/>
                <w:sz w:val="21"/>
                <w:szCs w:val="20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theme="minorBidi"/>
                <w:color w:val="0432FF"/>
                <w:sz w:val="21"/>
                <w:szCs w:val="20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theme="minorBidi"/>
                <w:color w:val="0432FF"/>
                <w:sz w:val="21"/>
                <w:szCs w:val="20"/>
              </w:rPr>
              <m:t>i</m:t>
            </m:r>
          </m:sub>
        </m:sSub>
      </m:oMath>
      <w:r w:rsidRPr="000F167D">
        <w:rPr>
          <w:rFonts w:asciiTheme="minorHAnsi" w:eastAsiaTheme="minorEastAsia" w:hAnsiTheme="minorHAnsi" w:cstheme="minorBidi"/>
          <w:color w:val="0432FF"/>
          <w:sz w:val="21"/>
          <w:szCs w:val="20"/>
        </w:rPr>
        <w:t xml:space="preserve"> into a smooth congestion contribution using the logistic function:</w:t>
      </w:r>
    </w:p>
    <w:p w14:paraId="647E89E0" w14:textId="77777777" w:rsidR="0024381C" w:rsidRPr="000F167D" w:rsidRDefault="0024381C" w:rsidP="0024381C">
      <w:pPr>
        <w:pStyle w:val="Heading1"/>
        <w:spacing w:after="0"/>
        <w:ind w:left="1224"/>
        <w:jc w:val="center"/>
        <w:rPr>
          <w:rFonts w:asciiTheme="minorHAnsi" w:eastAsiaTheme="minorEastAsia" w:hAnsiTheme="minorHAnsi" w:cstheme="minorBidi"/>
          <w:b/>
          <w:bCs/>
          <w:color w:val="0432FF"/>
          <w:sz w:val="21"/>
          <w:szCs w:val="20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theme="minorBidi"/>
              <w:color w:val="0432FF"/>
              <w:sz w:val="21"/>
              <w:szCs w:val="20"/>
            </w:rPr>
            <m:t>σ​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theme="minorBidi"/>
                  <w:color w:val="0432FF"/>
                  <w:sz w:val="21"/>
                  <w:szCs w:val="20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 w:cstheme="minorBidi"/>
                  <w:color w:val="0432FF"/>
                  <w:sz w:val="21"/>
                  <w:szCs w:val="20"/>
                </w:rPr>
                <m:t>γ</m:t>
              </m:r>
              <m:d>
                <m:dPr>
                  <m:ctrlPr>
                    <w:rPr>
                      <w:rFonts w:ascii="Cambria Math" w:eastAsiaTheme="minorEastAsia" w:hAnsi="Cambria Math" w:cstheme="minorBidi"/>
                      <w:color w:val="0432FF"/>
                      <w:sz w:val="21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theme="minorBidi"/>
                          <w:color w:val="0432FF"/>
                          <w:sz w:val="21"/>
                          <w:szCs w:val="20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inorBidi"/>
                          <w:color w:val="0432FF"/>
                          <w:sz w:val="21"/>
                          <w:szCs w:val="20"/>
                        </w:rPr>
                        <m:t>A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inorBidi"/>
                          <w:color w:val="0432FF"/>
                          <w:sz w:val="21"/>
                          <w:szCs w:val="20"/>
                        </w:rPr>
                        <m:t>i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eastAsiaTheme="minorEastAsia" w:hAnsi="Cambria Math" w:cstheme="minorBidi"/>
                      <w:color w:val="0432FF"/>
                      <w:sz w:val="21"/>
                      <w:szCs w:val="20"/>
                    </w:rPr>
                    <m:t>-θ</m:t>
                  </m:r>
                </m:e>
              </m:d>
            </m:e>
          </m:d>
          <m:r>
            <m:rPr>
              <m:sty m:val="bi"/>
            </m:rPr>
            <w:rPr>
              <w:rFonts w:ascii="Cambria Math" w:eastAsiaTheme="minorEastAsia" w:hAnsi="Cambria Math" w:cstheme="minorBidi"/>
              <w:color w:val="0432FF"/>
              <w:sz w:val="21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 w:cstheme="minorBidi"/>
                  <w:color w:val="0432FF"/>
                  <w:sz w:val="21"/>
                  <w:szCs w:val="20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 w:cstheme="minorBidi"/>
                  <w:color w:val="0432FF"/>
                  <w:sz w:val="21"/>
                  <w:szCs w:val="20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 w:cstheme="minorBidi"/>
                  <w:color w:val="0432FF"/>
                  <w:sz w:val="21"/>
                  <w:szCs w:val="20"/>
                </w:rPr>
                <m:t>1+</m:t>
              </m:r>
              <m:func>
                <m:funcPr>
                  <m:ctrlPr>
                    <w:rPr>
                      <w:rFonts w:ascii="Cambria Math" w:eastAsiaTheme="minorEastAsia" w:hAnsi="Cambria Math" w:cstheme="minorBidi"/>
                      <w:color w:val="0432FF"/>
                      <w:sz w:val="21"/>
                      <w:szCs w:val="20"/>
                    </w:rPr>
                  </m:ctrlPr>
                </m:funcPr>
                <m:fName>
                  <m:r>
                    <m:rPr>
                      <m:sty m:val="b"/>
                    </m:rPr>
                    <w:rPr>
                      <w:rFonts w:ascii="Cambria Math" w:eastAsiaTheme="minorEastAsia" w:hAnsi="Cambria Math" w:cstheme="minorBidi"/>
                      <w:color w:val="0432FF"/>
                      <w:sz w:val="21"/>
                      <w:szCs w:val="20"/>
                    </w:rPr>
                    <m:t>exp</m:t>
                  </m:r>
                </m:fName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 w:cstheme="minorBidi"/>
                          <w:color w:val="0432FF"/>
                          <w:sz w:val="21"/>
                          <w:szCs w:val="20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inorBidi"/>
                          <w:color w:val="0432FF"/>
                          <w:sz w:val="21"/>
                          <w:szCs w:val="20"/>
                        </w:rPr>
                        <m:t>-γ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 w:cstheme="minorBidi"/>
                              <w:color w:val="0432FF"/>
                              <w:sz w:val="21"/>
                              <w:szCs w:val="20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theme="minorBidi"/>
                                  <w:color w:val="0432FF"/>
                                  <w:sz w:val="21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cstheme="minorBidi"/>
                                  <w:color w:val="0432FF"/>
                                  <w:sz w:val="21"/>
                                  <w:szCs w:val="20"/>
                                </w:rPr>
                                <m:t>A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cstheme="minorBidi"/>
                                  <w:color w:val="0432FF"/>
                                  <w:sz w:val="21"/>
                                  <w:szCs w:val="20"/>
                                </w:rPr>
                                <m:t>i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inorBidi"/>
                              <w:color w:val="0432FF"/>
                              <w:sz w:val="21"/>
                              <w:szCs w:val="20"/>
                            </w:rPr>
                            <m:t>-θ</m:t>
                          </m:r>
                        </m:e>
                      </m:d>
                    </m:e>
                  </m:d>
                </m:e>
              </m:func>
            </m:den>
          </m:f>
        </m:oMath>
      </m:oMathPara>
    </w:p>
    <w:p w14:paraId="657C43D8" w14:textId="77777777" w:rsidR="0024381C" w:rsidRPr="000F167D" w:rsidRDefault="0024381C" w:rsidP="0024381C">
      <w:pPr>
        <w:pStyle w:val="Heading1"/>
        <w:spacing w:after="0"/>
        <w:ind w:left="1224"/>
        <w:rPr>
          <w:rFonts w:asciiTheme="minorHAnsi" w:eastAsiaTheme="minorEastAsia" w:hAnsiTheme="minorHAnsi" w:cstheme="minorBidi"/>
          <w:b/>
          <w:bCs/>
          <w:color w:val="0432FF"/>
          <w:sz w:val="21"/>
          <w:szCs w:val="20"/>
        </w:rPr>
      </w:pPr>
      <w:r w:rsidRPr="000F167D">
        <w:rPr>
          <w:rFonts w:asciiTheme="minorHAnsi" w:eastAsiaTheme="minorEastAsia" w:hAnsiTheme="minorHAnsi" w:cstheme="minorBidi"/>
          <w:color w:val="0432FF"/>
          <w:sz w:val="21"/>
          <w:szCs w:val="20"/>
        </w:rPr>
        <w:t xml:space="preserve">This quantity is not itself the full group-level congestion term. Rather, it is the contribution of individual </w:t>
      </w:r>
      <m:oMath>
        <m:r>
          <m:rPr>
            <m:sty m:val="bi"/>
          </m:rPr>
          <w:rPr>
            <w:rFonts w:ascii="Cambria Math" w:eastAsiaTheme="minorEastAsia" w:hAnsi="Cambria Math" w:cstheme="minorBidi"/>
            <w:color w:val="0432FF"/>
            <w:sz w:val="21"/>
            <w:szCs w:val="20"/>
          </w:rPr>
          <m:t>i</m:t>
        </m:r>
      </m:oMath>
      <w:r w:rsidRPr="000F167D">
        <w:rPr>
          <w:rFonts w:asciiTheme="minorHAnsi" w:eastAsiaTheme="minorEastAsia" w:hAnsiTheme="minorHAnsi" w:cstheme="minorBidi"/>
          <w:color w:val="0432FF"/>
          <w:sz w:val="21"/>
          <w:szCs w:val="20"/>
        </w:rPr>
        <w:t xml:space="preserve"> to the congestion mechanism. These individual contributions are aggregated across the members of a group in the next step to produce the operational group-level congestion quantity </w:t>
      </w:r>
      <m:oMath>
        <m:sSub>
          <m:sSubPr>
            <m:ctrlPr>
              <w:rPr>
                <w:rFonts w:ascii="Cambria Math" w:eastAsiaTheme="minorEastAsia" w:hAnsi="Cambria Math" w:cstheme="minorBidi"/>
                <w:color w:val="0432FF"/>
                <w:sz w:val="21"/>
                <w:szCs w:val="20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theme="minorBidi"/>
                <w:color w:val="0432FF"/>
                <w:sz w:val="21"/>
                <w:szCs w:val="20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theme="minorBidi"/>
                <w:color w:val="0432FF"/>
                <w:sz w:val="21"/>
                <w:szCs w:val="20"/>
              </w:rPr>
              <m:t>j</m:t>
            </m:r>
          </m:sub>
        </m:sSub>
      </m:oMath>
      <w:r w:rsidRPr="000F167D">
        <w:rPr>
          <w:rFonts w:asciiTheme="minorHAnsi" w:eastAsiaTheme="minorEastAsia" w:hAnsiTheme="minorHAnsi" w:cstheme="minorBidi"/>
          <w:color w:val="0432FF"/>
          <w:sz w:val="21"/>
          <w:szCs w:val="20"/>
        </w:rPr>
        <w:t>.</w:t>
      </w:r>
    </w:p>
    <w:p w14:paraId="6B439DC4" w14:textId="77777777" w:rsidR="0024381C" w:rsidRPr="000F167D" w:rsidRDefault="0024381C" w:rsidP="0024381C">
      <w:pPr>
        <w:pStyle w:val="Heading1"/>
        <w:spacing w:after="0"/>
        <w:ind w:left="1224"/>
        <w:rPr>
          <w:rFonts w:asciiTheme="minorHAnsi" w:eastAsiaTheme="minorEastAsia" w:hAnsiTheme="minorHAnsi" w:cstheme="minorBidi"/>
          <w:b/>
          <w:bCs/>
          <w:color w:val="0432FF"/>
          <w:sz w:val="21"/>
          <w:szCs w:val="20"/>
        </w:rPr>
      </w:pPr>
      <w:r w:rsidRPr="000F167D">
        <w:rPr>
          <w:rFonts w:asciiTheme="minorHAnsi" w:eastAsiaTheme="minorEastAsia" w:hAnsiTheme="minorHAnsi" w:cstheme="minorBidi"/>
          <w:color w:val="0432FF"/>
          <w:sz w:val="21"/>
          <w:szCs w:val="20"/>
        </w:rPr>
        <w:t xml:space="preserve">We introduce the parameter </w:t>
      </w:r>
      <m:oMath>
        <m:r>
          <m:rPr>
            <m:sty m:val="bi"/>
          </m:rPr>
          <w:rPr>
            <w:rFonts w:ascii="Cambria Math" w:eastAsiaTheme="minorEastAsia" w:hAnsi="Cambria Math" w:cstheme="minorBidi"/>
            <w:color w:val="0432FF"/>
            <w:sz w:val="21"/>
            <w:szCs w:val="20"/>
          </w:rPr>
          <m:t>θ</m:t>
        </m:r>
      </m:oMath>
      <w:r w:rsidRPr="000F167D">
        <w:rPr>
          <w:rFonts w:asciiTheme="minorHAnsi" w:eastAsiaTheme="minorEastAsia" w:hAnsiTheme="minorHAnsi" w:cstheme="minorBidi"/>
          <w:color w:val="0432FF"/>
          <w:sz w:val="21"/>
          <w:szCs w:val="20"/>
        </w:rPr>
        <w:t xml:space="preserve"> to identify the performance level around which an individual becomes competitively relevant to the congestion mechanism. Individuals with </w:t>
      </w:r>
      <m:oMath>
        <m:sSub>
          <m:sSubPr>
            <m:ctrlPr>
              <w:rPr>
                <w:rFonts w:ascii="Cambria Math" w:eastAsiaTheme="minorEastAsia" w:hAnsi="Cambria Math" w:cstheme="minorBidi"/>
                <w:color w:val="0432FF"/>
                <w:sz w:val="21"/>
                <w:szCs w:val="20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theme="minorBidi"/>
                <w:color w:val="0432FF"/>
                <w:sz w:val="21"/>
                <w:szCs w:val="20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theme="minorBidi"/>
                <w:color w:val="0432FF"/>
                <w:sz w:val="21"/>
                <w:szCs w:val="20"/>
              </w:rPr>
              <m:t>i</m:t>
            </m:r>
          </m:sub>
        </m:sSub>
      </m:oMath>
      <w:r w:rsidRPr="000F167D">
        <w:rPr>
          <w:rFonts w:asciiTheme="minorHAnsi" w:eastAsiaTheme="minorEastAsia" w:hAnsiTheme="minorHAnsi" w:cstheme="minorBidi"/>
          <w:color w:val="0432FF"/>
          <w:sz w:val="21"/>
          <w:szCs w:val="20"/>
        </w:rPr>
        <w:t xml:space="preserve"> well below </w:t>
      </w:r>
      <m:oMath>
        <m:r>
          <m:rPr>
            <m:sty m:val="bi"/>
          </m:rPr>
          <w:rPr>
            <w:rFonts w:ascii="Cambria Math" w:eastAsiaTheme="minorEastAsia" w:hAnsi="Cambria Math" w:cstheme="minorBidi"/>
            <w:color w:val="0432FF"/>
            <w:sz w:val="21"/>
            <w:szCs w:val="20"/>
          </w:rPr>
          <m:t>θ</m:t>
        </m:r>
      </m:oMath>
      <w:r w:rsidRPr="000F167D">
        <w:rPr>
          <w:rFonts w:asciiTheme="minorHAnsi" w:eastAsiaTheme="minorEastAsia" w:hAnsiTheme="minorHAnsi" w:cstheme="minorBidi"/>
          <w:color w:val="0432FF"/>
          <w:sz w:val="21"/>
          <w:szCs w:val="20"/>
        </w:rPr>
        <w:t xml:space="preserve"> contribute little, while those well above </w:t>
      </w:r>
      <m:oMath>
        <m:r>
          <m:rPr>
            <m:sty m:val="bi"/>
          </m:rPr>
          <w:rPr>
            <w:rFonts w:ascii="Cambria Math" w:eastAsiaTheme="minorEastAsia" w:hAnsi="Cambria Math" w:cstheme="minorBidi"/>
            <w:color w:val="0432FF"/>
            <w:sz w:val="21"/>
            <w:szCs w:val="20"/>
          </w:rPr>
          <m:t>θ</m:t>
        </m:r>
      </m:oMath>
      <w:r w:rsidRPr="000F167D">
        <w:rPr>
          <w:rFonts w:asciiTheme="minorHAnsi" w:eastAsiaTheme="minorEastAsia" w:hAnsiTheme="minorHAnsi" w:cstheme="minorBidi"/>
          <w:color w:val="0432FF"/>
          <w:sz w:val="21"/>
          <w:szCs w:val="20"/>
        </w:rPr>
        <w:t xml:space="preserve"> contribute substantially more. The parameter </w:t>
      </w:r>
      <m:oMath>
        <m:r>
          <m:rPr>
            <m:sty m:val="bi"/>
          </m:rPr>
          <w:rPr>
            <w:rFonts w:ascii="Cambria Math" w:eastAsiaTheme="minorEastAsia" w:hAnsi="Cambria Math" w:cstheme="minorBidi"/>
            <w:color w:val="0432FF"/>
            <w:sz w:val="21"/>
            <w:szCs w:val="20"/>
          </w:rPr>
          <m:t>γ</m:t>
        </m:r>
      </m:oMath>
      <w:r w:rsidRPr="000F167D">
        <w:rPr>
          <w:rFonts w:asciiTheme="minorHAnsi" w:eastAsiaTheme="minorEastAsia" w:hAnsiTheme="minorHAnsi" w:cstheme="minorBidi"/>
          <w:color w:val="0432FF"/>
          <w:sz w:val="21"/>
          <w:szCs w:val="20"/>
        </w:rPr>
        <w:t xml:space="preserve"> controls how sharply this transition occurs. Small values of </w:t>
      </w:r>
      <m:oMath>
        <m:r>
          <m:rPr>
            <m:sty m:val="bi"/>
          </m:rPr>
          <w:rPr>
            <w:rFonts w:ascii="Cambria Math" w:eastAsiaTheme="minorEastAsia" w:hAnsi="Cambria Math" w:cstheme="minorBidi"/>
            <w:color w:val="0432FF"/>
            <w:sz w:val="21"/>
            <w:szCs w:val="20"/>
          </w:rPr>
          <m:t>γ</m:t>
        </m:r>
      </m:oMath>
      <w:r w:rsidRPr="000F167D">
        <w:rPr>
          <w:rFonts w:asciiTheme="minorHAnsi" w:eastAsiaTheme="minorEastAsia" w:hAnsiTheme="minorHAnsi" w:cstheme="minorBidi"/>
          <w:color w:val="0432FF"/>
          <w:sz w:val="21"/>
          <w:szCs w:val="20"/>
        </w:rPr>
        <w:t xml:space="preserve"> produce a gradual transition, whereas larger values increasingly approximate a hard threshold separating low-contributing from high-contributing peers.</w:t>
      </w:r>
    </w:p>
    <w:p w14:paraId="1C08626A" w14:textId="77777777" w:rsidR="0024381C" w:rsidRPr="000F167D" w:rsidRDefault="0024381C" w:rsidP="0024381C">
      <w:pPr>
        <w:pStyle w:val="Heading1"/>
        <w:spacing w:before="0" w:after="0"/>
        <w:ind w:left="1224"/>
        <w:rPr>
          <w:rFonts w:asciiTheme="minorHAnsi" w:eastAsiaTheme="minorEastAsia" w:hAnsiTheme="minorHAnsi" w:cstheme="minorBidi"/>
          <w:b/>
          <w:bCs/>
          <w:color w:val="0432FF"/>
          <w:sz w:val="21"/>
          <w:szCs w:val="20"/>
        </w:rPr>
      </w:pPr>
    </w:p>
    <w:p w14:paraId="08B439E1" w14:textId="77777777" w:rsidR="0024381C" w:rsidRPr="000F167D" w:rsidRDefault="0024381C" w:rsidP="0024381C">
      <w:pPr>
        <w:pStyle w:val="Heading1"/>
        <w:spacing w:before="0" w:after="0"/>
        <w:ind w:left="1224"/>
        <w:rPr>
          <w:rFonts w:asciiTheme="minorHAnsi" w:eastAsiaTheme="minorEastAsia" w:hAnsiTheme="minorHAnsi" w:cstheme="minorBidi"/>
          <w:b/>
          <w:bCs/>
          <w:color w:val="0432FF"/>
          <w:sz w:val="21"/>
          <w:szCs w:val="20"/>
        </w:rPr>
      </w:pPr>
      <w:r w:rsidRPr="000F167D">
        <w:rPr>
          <w:rFonts w:asciiTheme="minorHAnsi" w:eastAsiaTheme="minorEastAsia" w:hAnsiTheme="minorHAnsi" w:cstheme="minorBidi"/>
          <w:color w:val="0432FF"/>
          <w:sz w:val="21"/>
          <w:szCs w:val="20"/>
        </w:rPr>
        <w:t>The smooth form avoids treating two individuals with nearly identical performance as  categorically different merely because they fall on opposite sides of a cutoff.  At the same time, it preserves the substantive intuition underlying congestion: stronger peers, particularly those near or above the relevant competitive threshold, contribute more to the group’s competitive pressure.</w:t>
      </w:r>
    </w:p>
    <w:p w14:paraId="4AC55C07" w14:textId="77777777" w:rsidR="00B7485F" w:rsidRDefault="00B7485F"/>
    <w:sectPr w:rsidR="00B748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Futura Medium">
    <w:altName w:val="FUTURA MEDIUM"/>
    <w:panose1 w:val="020B0602020204020303"/>
    <w:charset w:val="B1"/>
    <w:family w:val="swiss"/>
    <w:pitch w:val="variable"/>
    <w:sig w:usb0="80000867" w:usb1="00000000" w:usb2="00000000" w:usb3="00000000" w:csb0="000001FB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05F4100"/>
    <w:multiLevelType w:val="multilevel"/>
    <w:tmpl w:val="C992652E"/>
    <w:styleLink w:val="WayAhead"/>
    <w:lvl w:ilvl="0">
      <w:start w:val="1"/>
      <w:numFmt w:val="upperRoman"/>
      <w:lvlText w:val="%1."/>
      <w:lvlJc w:val="left"/>
      <w:pPr>
        <w:ind w:left="360" w:hanging="360"/>
      </w:pPr>
      <w:rPr>
        <w:rFonts w:ascii="Futura Medium" w:hAnsi="Futura Medium" w:hint="cs"/>
        <w:b/>
        <w:i w:val="0"/>
        <w:sz w:val="22"/>
      </w:rPr>
    </w:lvl>
    <w:lvl w:ilvl="1">
      <w:start w:val="1"/>
      <w:numFmt w:val="upperLetter"/>
      <w:lvlText w:val="%2."/>
      <w:lvlJc w:val="left"/>
      <w:pPr>
        <w:ind w:left="720" w:hanging="360"/>
      </w:pPr>
      <w:rPr>
        <w:rFonts w:ascii="Futura Medium" w:hAnsi="Futura Medium" w:hint="cs"/>
        <w:b w:val="0"/>
        <w:i/>
        <w:sz w:val="22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Futura Medium" w:hAnsi="Futura Medium" w:hint="cs"/>
        <w:b w:val="0"/>
        <w:i w:val="0"/>
        <w:sz w:val="20"/>
      </w:rPr>
    </w:lvl>
    <w:lvl w:ilvl="3">
      <w:start w:val="1"/>
      <w:numFmt w:val="lowerLetter"/>
      <w:lvlText w:val="%4."/>
      <w:lvlJc w:val="left"/>
      <w:pPr>
        <w:ind w:left="1440" w:hanging="360"/>
      </w:pPr>
      <w:rPr>
        <w:rFonts w:ascii="Futura Medium" w:hAnsi="Futura Medium" w:hint="cs"/>
        <w:b w:val="0"/>
        <w:i w:val="0"/>
        <w:sz w:val="20"/>
      </w:rPr>
    </w:lvl>
    <w:lvl w:ilvl="4">
      <w:start w:val="1"/>
      <w:numFmt w:val="lowerRoman"/>
      <w:lvlText w:val="%5."/>
      <w:lvlJc w:val="left"/>
      <w:pPr>
        <w:ind w:left="1800" w:hanging="360"/>
      </w:pPr>
      <w:rPr>
        <w:rFonts w:ascii="Futura Medium" w:hAnsi="Futura Medium" w:hint="default"/>
        <w:b w:val="0"/>
        <w:i w:val="0"/>
        <w:sz w:val="20"/>
      </w:rPr>
    </w:lvl>
    <w:lvl w:ilvl="5">
      <w:start w:val="1"/>
      <w:numFmt w:val="decimal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lowerLetter"/>
      <w:lvlText w:val="(%7)"/>
      <w:lvlJc w:val="left"/>
      <w:pPr>
        <w:ind w:left="2520" w:hanging="360"/>
      </w:pPr>
      <w:rPr>
        <w:rFonts w:hint="default"/>
      </w:rPr>
    </w:lvl>
    <w:lvl w:ilvl="7">
      <w:start w:val="1"/>
      <w:numFmt w:val="lowerRoman"/>
      <w:lvlText w:val="(%8)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5CB274BD"/>
    <w:multiLevelType w:val="multilevel"/>
    <w:tmpl w:val="1D5CA0D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color w:val="auto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b w:val="0"/>
        <w:bCs w:val="0"/>
        <w:color w:val="auto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816406567">
    <w:abstractNumId w:val="0"/>
  </w:num>
  <w:num w:numId="2" w16cid:durableId="850726394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81C"/>
    <w:rsid w:val="000739EA"/>
    <w:rsid w:val="0024381C"/>
    <w:rsid w:val="00357952"/>
    <w:rsid w:val="006B074B"/>
    <w:rsid w:val="008A62A5"/>
    <w:rsid w:val="00B7485F"/>
    <w:rsid w:val="00D675CC"/>
    <w:rsid w:val="00F35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5CF723"/>
  <w15:chartTrackingRefBased/>
  <w15:docId w15:val="{B4DDA489-67E9-C64D-8589-194E0116B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38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38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38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38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38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38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38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38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38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WayAhead">
    <w:name w:val="Way Ahead"/>
    <w:uiPriority w:val="99"/>
    <w:rsid w:val="00D675CC"/>
    <w:pPr>
      <w:numPr>
        <w:numId w:val="1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2438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38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38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38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38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38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38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38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38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38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38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38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38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38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38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38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38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38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38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38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277</Words>
  <Characters>1582</Characters>
  <Application>Microsoft Office Word</Application>
  <DocSecurity>0</DocSecurity>
  <Lines>13</Lines>
  <Paragraphs>3</Paragraphs>
  <ScaleCrop>false</ScaleCrop>
  <Company/>
  <LinksUpToDate>false</LinksUpToDate>
  <CharactersWithSpaces>1856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Levine, Charles Roger CTR USARMY USMA (USA)</dc:creator>
  <cp:keywords/>
  <dc:description/>
  <cp:lastModifiedBy>Levine, Charles Roger CTR USARMY USMA (USA)</cp:lastModifiedBy>
  <cp:revision>1</cp:revision>
  <dcterms:created xsi:type="dcterms:W3CDTF">2026-10-08T16:18:00Z</dcterms:created>
  <dcterms:modified xsi:type="dcterms:W3CDTF">2026-10-08T16:19:00Z</dcterms:modified>
</cp:coreProperties>
</file>