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Chapter 12 – Astronomical Pay, Talent Flows, and Strategic-Job Matching</w:t>
      </w:r>
    </w:p>
    <w:p>
      <w:r>
        <w:rPr>
          <w:b/>
        </w:rPr>
        <w:t xml:space="preserve">Anchor (Original Text): </w:t>
      </w:r>
      <w:r>
        <w:t>"A striking consequence of the re-engineered view of talent as assorted with strategic jobs is..."</w:t>
      </w:r>
    </w:p>
    <w:p>
      <w:pPr>
        <w:pStyle w:val="Heading2"/>
      </w:pPr>
      <w:r>
        <w:t>Core Argument</w:t>
      </w:r>
    </w:p>
    <w:p>
      <w:r>
        <w:rPr>
          <w:b/>
        </w:rPr>
        <w:t xml:space="preserve">“The legitimization of an astronomical-pay-for-astronomical-performance...” </w:t>
      </w:r>
      <w:r>
        <w:rPr>
          <w:color w:val="0000FF"/>
        </w:rPr>
        <w:t>Menger now follows the talent concept into compensation. Earlier chapters asked how talent is identified. Here he asks how talent is rewarded. The crucial move is that once organizations accept that some jobs are strategic and some performers create disproportionate value, extraordinary compensation begins to appear legitimate rather than shocking. The logic is simple but powerful: strategic jobs + exceptional performers + scalable impact = justification for extreme inequality.</w:t>
      </w:r>
      <w:r>
        <w:rPr>
          <w:color w:val="FF0000"/>
        </w:rPr>
        <w:t>This is where the paper directly intersects with debates about whether observed inequalities reflect real differences or institutional beliefs about differences.</w:t>
      </w:r>
    </w:p>
    <w:p>
      <w:pPr>
        <w:pStyle w:val="Heading2"/>
      </w:pPr>
      <w:r>
        <w:t>Talent Flows</w:t>
      </w:r>
    </w:p>
    <w:p>
      <w:r>
        <w:rPr>
          <w:color w:val="0000FF"/>
        </w:rPr>
        <w:t>Menger repeatedly emphasizes global talent flows. Finance, technology, medicine, academia, sports, and creative industries increasingly compete for the same scarce high performers. The result is an escalating market for elite labor. Organizations no longer merely hire workers; they bid for reputational assets.</w:t>
      </w:r>
      <w:r>
        <w:rPr>
          <w:color w:val="FF0000"/>
        </w:rPr>
        <w:t>Advancement systems become embedded within broader competitive ecosystems. Success depends not only on performance but on where talent is recruited, matched, and retained.</w:t>
      </w:r>
    </w:p>
    <w:p>
      <w:pPr>
        <w:pStyle w:val="Heading2"/>
      </w:pPr>
      <w:r>
        <w:t>Extrapolation Problem</w:t>
      </w:r>
    </w:p>
    <w:p>
      <w:r>
        <w:rPr>
          <w:color w:val="0000FF"/>
        </w:rPr>
        <w:t>One of Menger’s most subtle concerns is that evidence from arts, science, sports, and law firms is increasingly being generalized to all organizations. Yet these are unusual environments because individual contributions are often more visible. The danger is assuming that what works in superstar markets must also work in complex organizations where outcomes are deeply interdependent.</w:t>
      </w:r>
    </w:p>
    <w:sectPr w:rsidR="00FC693F" w:rsidRPr="0006063C" w:rsidSect="00034616">
      <w:pgSz w:w="12240" w:h="15840"/>
      <w:pgMar w:top="504" w:right="576" w:bottom="504" w:left="57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