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Verdana" w:hAnsi="Verdana"/>
        </w:rPr>
        <w:t>NCAA evidence walkthrough</w:t>
      </w:r>
    </w:p>
    <w:p>
      <w:r>
        <w:rPr>
          <w:rFonts w:ascii="Verdana" w:hAnsi="Verdana"/>
        </w:rPr>
        <w:t>A continuing reading record • Started 23 October 2026</w:t>
      </w:r>
    </w:p>
    <w:p>
      <w:r>
        <w:rPr>
          <w:rFonts w:ascii="Verdana" w:hAnsi="Verdana"/>
        </w:rPr>
        <w:t>We will recover the evidence one plot at a time. Each entry keeps the figure, its population and settings, a plain-English reading, and the questions or decisions from our discussion. This first entry revisits an existing plot; it does not run a new analysis.</w:t>
      </w:r>
    </w:p>
    <w:p>
      <w:pPr>
        <w:pStyle w:val="Heading1"/>
      </w:pPr>
      <w:r>
        <w:rPr>
          <w:rFonts w:ascii="Verdana" w:hAnsi="Verdana"/>
        </w:rPr>
        <w:t>Entry 1  The original performance band overlay</w:t>
      </w:r>
    </w:p>
    <w:p>
      <w:r>
        <w:rPr>
          <w:rFonts w:ascii="Verdana" w:hAnsi="Verdana"/>
        </w:rPr>
        <w:t>Question: Among players in the same performance range, how does the observed draft rate vary across teams with different mean performance?</w:t>
      </w:r>
    </w:p>
    <w:p>
      <w:pPr>
        <w:spacing w:after="60"/>
      </w:pPr>
      <w:r>
        <w:rPr>
          <w:rFonts w:ascii="Verdana" w:hAnsi="Verdana"/>
        </w:rPr>
        <w:drawing>
          <wp:inline xmlns:a="http://schemas.openxmlformats.org/drawingml/2006/main" xmlns:pic="http://schemas.openxmlformats.org/drawingml/2006/picture">
            <wp:extent cx="5943600" cy="3508322"/>
            <wp:docPr id="1" name="Picture 1"/>
            <wp:cNvGraphicFramePr>
              <a:graphicFrameLocks noChangeAspect="1"/>
            </wp:cNvGraphicFramePr>
            <a:graphic>
              <a:graphicData uri="http://schemas.openxmlformats.org/drawingml/2006/picture">
                <pic:pic>
                  <pic:nvPicPr>
                    <pic:cNvPr id="0" name="CCT_P2b_ai_band_overlay_lines.png"/>
                    <pic:cNvPicPr/>
                  </pic:nvPicPr>
                  <pic:blipFill>
                    <a:blip r:embed="rId9"/>
                    <a:stretch>
                      <a:fillRect/>
                    </a:stretch>
                  </pic:blipFill>
                  <pic:spPr>
                    <a:xfrm>
                      <a:off x="0" y="0"/>
                      <a:ext cx="5943600" cy="3508322"/>
                    </a:xfrm>
                    <a:prstGeom prst="rect"/>
                  </pic:spPr>
                </pic:pic>
              </a:graphicData>
            </a:graphic>
          </wp:inline>
        </w:drawing>
      </w:r>
    </w:p>
    <w:p>
      <w:pPr>
        <w:pStyle w:val="Caption"/>
      </w:pPr>
      <w:r>
        <w:rPr>
          <w:rFonts w:ascii="Trebuchet MS" w:hAnsi="Trebuchet MS"/>
          <w:b w:val="0"/>
        </w:rPr>
        <w:t>Figure 1. Original saved overlay from 24 August 2026. Each blue line represents a different range of individual performance. The horizontal axis is the full-team mean, including the focal player.</w:t>
      </w:r>
    </w:p>
    <w:p>
      <w:pPr>
        <w:pStyle w:val="Heading2"/>
      </w:pPr>
      <w:r>
        <w:rPr>
          <w:rFonts w:ascii="Verdana" w:hAnsi="Verdana"/>
        </w:rPr>
        <w:t>Start by following one line</w:t>
      </w:r>
    </w:p>
    <w:p>
      <w:r>
        <w:rPr>
          <w:rFonts w:ascii="Verdana" w:hAnsi="Verdana"/>
        </w:rPr>
        <w:t>The darkest line contains the highest of the three performance bands. Moving right means comparing observations from teams with higher mean performance. Moving up means a larger fraction of those observations belongs to players labeled ever drafted.</w:t>
      </w:r>
    </w:p>
    <w:p>
      <w:r>
        <w:rPr>
          <w:rFonts w:ascii="Verdana" w:hAnsi="Verdana"/>
        </w:rPr>
        <w:t>We are comparing different players and seasons within a performance band. We are not following one player as he moves between teams, and we are not holding individual performance at one exact value.</w:t>
      </w:r>
    </w:p>
    <w:p>
      <w:r>
        <w:rPr>
          <w:rFonts w:ascii="Verdana" w:hAnsi="Verdana"/>
        </w:rPr>
        <w:br w:type="page"/>
      </w:r>
    </w:p>
    <w:p>
      <w:pPr>
        <w:pStyle w:val="Heading1"/>
      </w:pPr>
      <w:r>
        <w:rPr>
          <w:rFonts w:ascii="Verdana" w:hAnsi="Verdana"/>
        </w:rPr>
        <w:t>Entry 1  What went into this figure</w:t>
      </w:r>
    </w:p>
    <w:p>
      <w:r>
        <w:rPr>
          <w:rFonts w:ascii="Verdana" w:hAnsi="Verdana"/>
        </w:rPr>
        <w:t>Population: NCAA men’s basketball, 2011–2021, player-season observations at colleges represented by a draftee in the analysis window. The saved settings use at least 20 recorded minutes per player-season and the team-game setting mg10; the current source code implements that as more than 10 recorded team-season games.</w:t>
      </w:r>
    </w:p>
    <w:p>
      <w:r>
        <w:rPr>
          <w:rFonts w:ascii="Verdana" w:hAnsi="Verdana"/>
        </w:rPr>
        <w:t>Performance: points per minute, standardized within season. The horizontal measure is the full-team mean of that performance. This figure uses neither leave-one-out performance nor sigmoid roster pressure, so theta, gamma, lambda, and selection temperature do not generate its curves.</w:t>
      </w:r>
    </w:p>
    <w:p>
      <w:r>
        <w:rPr>
          <w:rFonts w:ascii="Verdana" w:hAnsi="Verdana"/>
        </w:rPr>
        <w:t>Binning: 11 bins per line, using four coarser lower-range bins and seven finer upper-range bins. Edges are calculated separately within each performance band. This is neither equal-count quantile binning nor one common equal-width grid. Points are placed at the mean team performance in each bin.</w:t>
      </w:r>
    </w:p>
    <w:p>
      <w:pPr>
        <w:pStyle w:val="Heading2"/>
      </w:pPr>
      <w:r>
        <w:rPr>
          <w:rFonts w:ascii="Verdana" w:hAnsi="Verdana"/>
        </w:rPr>
        <w:t>The three colors and their counts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8EEF3"/>
          </w:tcPr>
          <w:p>
            <w:pPr>
              <w:spacing w:after="60" w:before="60"/>
            </w:pPr>
            <w:r>
              <w:rPr>
                <w:rFonts w:ascii="Verdana" w:hAnsi="Verdana"/>
                <w:b/>
                <w:sz w:val="18"/>
              </w:rPr>
              <w:t>Line and percentile range</w:t>
            </w:r>
          </w:p>
        </w:tc>
        <w:tc>
          <w:tcPr>
            <w:tcW w:type="dxa" w:w="2340"/>
            <w:shd w:fill="E8EEF3"/>
          </w:tcPr>
          <w:p>
            <w:pPr>
              <w:spacing w:after="60" w:before="60"/>
            </w:pPr>
            <w:r>
              <w:rPr>
                <w:rFonts w:ascii="Verdana" w:hAnsi="Verdana"/>
                <w:b/>
                <w:sz w:val="18"/>
              </w:rPr>
              <w:t>Rows</w:t>
            </w:r>
          </w:p>
        </w:tc>
        <w:tc>
          <w:tcPr>
            <w:tcW w:type="dxa" w:w="2340"/>
            <w:shd w:fill="E8EEF3"/>
          </w:tcPr>
          <w:p>
            <w:pPr>
              <w:spacing w:after="60" w:before="60"/>
            </w:pPr>
            <w:r>
              <w:rPr>
                <w:rFonts w:ascii="Verdana" w:hAnsi="Verdana"/>
                <w:b/>
                <w:sz w:val="18"/>
              </w:rPr>
              <w:t>Ever-drafted rows</w:t>
            </w:r>
          </w:p>
        </w:tc>
        <w:tc>
          <w:tcPr>
            <w:tcW w:type="dxa" w:w="2340"/>
            <w:shd w:fill="E8EEF3"/>
          </w:tcPr>
          <w:p>
            <w:pPr>
              <w:spacing w:after="60" w:before="60"/>
            </w:pPr>
            <w:r>
              <w:rPr>
                <w:rFonts w:ascii="Verdana" w:hAnsi="Verdana"/>
                <w:b/>
                <w:sz w:val="18"/>
              </w:rPr>
              <w:t>Rate</w:t>
            </w:r>
          </w:p>
        </w:tc>
      </w:tr>
      <w:tr>
        <w:tc>
          <w:tcPr>
            <w:tcW w:type="dxa" w:w="2340"/>
          </w:tcPr>
          <w:p>
            <w:pPr>
              <w:spacing w:after="60" w:before="60"/>
            </w:pPr>
            <w:r>
              <w:rPr>
                <w:rFonts w:ascii="Verdana" w:hAnsi="Verdana"/>
                <w:sz w:val="18"/>
              </w:rPr>
              <w:t>Dark: 92.6–100</w:t>
            </w:r>
          </w:p>
        </w:tc>
        <w:tc>
          <w:tcPr>
            <w:tcW w:type="dxa" w:w="2340"/>
          </w:tcPr>
          <w:p>
            <w:pPr>
              <w:spacing w:after="60" w:before="60"/>
            </w:pPr>
            <w:r>
              <w:rPr>
                <w:rFonts w:ascii="Verdana" w:hAnsi="Verdana"/>
                <w:sz w:val="18"/>
              </w:rPr>
              <w:t>1,307</w:t>
            </w:r>
          </w:p>
        </w:tc>
        <w:tc>
          <w:tcPr>
            <w:tcW w:type="dxa" w:w="2340"/>
          </w:tcPr>
          <w:p>
            <w:pPr>
              <w:spacing w:after="60" w:before="60"/>
            </w:pPr>
            <w:r>
              <w:rPr>
                <w:rFonts w:ascii="Verdana" w:hAnsi="Verdana"/>
                <w:sz w:val="18"/>
              </w:rPr>
              <w:t>340</w:t>
            </w:r>
          </w:p>
        </w:tc>
        <w:tc>
          <w:tcPr>
            <w:tcW w:type="dxa" w:w="2340"/>
          </w:tcPr>
          <w:p>
            <w:pPr>
              <w:spacing w:after="60" w:before="60"/>
            </w:pPr>
            <w:r>
              <w:rPr>
                <w:rFonts w:ascii="Verdana" w:hAnsi="Verdana"/>
                <w:sz w:val="18"/>
              </w:rPr>
              <w:t>26.0%</w:t>
            </w:r>
          </w:p>
        </w:tc>
      </w:tr>
      <w:tr>
        <w:tc>
          <w:tcPr>
            <w:tcW w:type="dxa" w:w="2340"/>
          </w:tcPr>
          <w:p>
            <w:pPr>
              <w:spacing w:after="60" w:before="60"/>
            </w:pPr>
            <w:r>
              <w:rPr>
                <w:rFonts w:ascii="Verdana" w:hAnsi="Verdana"/>
                <w:sz w:val="18"/>
              </w:rPr>
              <w:t>Middle: 78–92.6</w:t>
            </w:r>
          </w:p>
        </w:tc>
        <w:tc>
          <w:tcPr>
            <w:tcW w:type="dxa" w:w="2340"/>
          </w:tcPr>
          <w:p>
            <w:pPr>
              <w:spacing w:after="60" w:before="60"/>
            </w:pPr>
            <w:r>
              <w:rPr>
                <w:rFonts w:ascii="Verdana" w:hAnsi="Verdana"/>
                <w:sz w:val="18"/>
              </w:rPr>
              <w:t>2,578</w:t>
            </w:r>
          </w:p>
        </w:tc>
        <w:tc>
          <w:tcPr>
            <w:tcW w:type="dxa" w:w="2340"/>
          </w:tcPr>
          <w:p>
            <w:pPr>
              <w:spacing w:after="60" w:before="60"/>
            </w:pPr>
            <w:r>
              <w:rPr>
                <w:rFonts w:ascii="Verdana" w:hAnsi="Verdana"/>
                <w:sz w:val="18"/>
              </w:rPr>
              <w:t>342</w:t>
            </w:r>
          </w:p>
        </w:tc>
        <w:tc>
          <w:tcPr>
            <w:tcW w:type="dxa" w:w="2340"/>
          </w:tcPr>
          <w:p>
            <w:pPr>
              <w:spacing w:after="60" w:before="60"/>
            </w:pPr>
            <w:r>
              <w:rPr>
                <w:rFonts w:ascii="Verdana" w:hAnsi="Verdana"/>
                <w:sz w:val="18"/>
              </w:rPr>
              <w:t>13.3%</w:t>
            </w:r>
          </w:p>
        </w:tc>
      </w:tr>
      <w:tr>
        <w:tc>
          <w:tcPr>
            <w:tcW w:type="dxa" w:w="2340"/>
          </w:tcPr>
          <w:p>
            <w:pPr>
              <w:spacing w:after="60" w:before="60"/>
            </w:pPr>
            <w:r>
              <w:rPr>
                <w:rFonts w:ascii="Verdana" w:hAnsi="Verdana"/>
                <w:sz w:val="18"/>
              </w:rPr>
              <w:t>Light: 46.3–78</w:t>
            </w:r>
          </w:p>
        </w:tc>
        <w:tc>
          <w:tcPr>
            <w:tcW w:type="dxa" w:w="2340"/>
          </w:tcPr>
          <w:p>
            <w:pPr>
              <w:spacing w:after="60" w:before="60"/>
            </w:pPr>
            <w:r>
              <w:rPr>
                <w:rFonts w:ascii="Verdana" w:hAnsi="Verdana"/>
                <w:sz w:val="18"/>
              </w:rPr>
              <w:t>5,600</w:t>
            </w:r>
          </w:p>
        </w:tc>
        <w:tc>
          <w:tcPr>
            <w:tcW w:type="dxa" w:w="2340"/>
          </w:tcPr>
          <w:p>
            <w:pPr>
              <w:spacing w:after="60" w:before="60"/>
            </w:pPr>
            <w:r>
              <w:rPr>
                <w:rFonts w:ascii="Verdana" w:hAnsi="Verdana"/>
                <w:sz w:val="18"/>
              </w:rPr>
              <w:t>338</w:t>
            </w:r>
          </w:p>
        </w:tc>
        <w:tc>
          <w:tcPr>
            <w:tcW w:type="dxa" w:w="2340"/>
          </w:tcPr>
          <w:p>
            <w:pPr>
              <w:spacing w:after="60" w:before="60"/>
            </w:pPr>
            <w:r>
              <w:rPr>
                <w:rFonts w:ascii="Verdana" w:hAnsi="Verdana"/>
                <w:sz w:val="18"/>
              </w:rPr>
              <w:t>6.0%</w:t>
            </w:r>
          </w:p>
        </w:tc>
      </w:tr>
    </w:tbl>
    <w:p>
      <w:pPr>
        <w:pStyle w:val="Caption"/>
      </w:pPr>
      <w:r>
        <w:rPr>
          <w:rFonts w:ascii="Trebuchet MS" w:hAnsi="Trebuchet MS"/>
          <w:b w:val="0"/>
        </w:rPr>
        <w:t>These are player-season counts, not distinct drafted people. The same player can contribute in multiple seasons. Percentile bands describe measured performance; they do not establish “superstars” or a draft bubble.</w:t>
      </w:r>
    </w:p>
    <w:p>
      <w:pPr>
        <w:pStyle w:val="Heading2"/>
      </w:pPr>
      <w:r>
        <w:rPr>
          <w:rFonts w:ascii="Verdana" w:hAnsi="Verdana"/>
        </w:rPr>
        <w:t>What we can see and what remains open</w:t>
      </w:r>
    </w:p>
    <w:p>
      <w:r>
        <w:rPr>
          <w:rFonts w:ascii="Verdana" w:hAnsi="Verdana"/>
        </w:rPr>
        <w:t>The darkest line is generally above the other two. It rises to roughly 33% and is lower farther right, but the last point is only 1 ever-drafted-positive observation out of 6. The middle and light lines are irregular. The saved red dots are visual plateau markers, not statistically established turning points.</w:t>
      </w:r>
    </w:p>
    <w:p>
      <w:r>
        <w:rPr>
          <w:rFonts w:ascii="Verdana" w:hAnsi="Verdana"/>
        </w:rPr>
        <w:t>This is a useful picture of the question we want to investigate. It does not by itself show that stronger teammates cause lower draft prospects, or that the apparent downturn is statistically reliable. No new significance test has been run for this entry.</w:t>
      </w:r>
    </w:p>
    <w:p>
      <w:pPr>
        <w:pStyle w:val="Heading2"/>
      </w:pPr>
      <w:r>
        <w:rPr>
          <w:rFonts w:ascii="Verdana" w:hAnsi="Verdana"/>
        </w:rPr>
        <w:t>Our place in the discussion</w:t>
      </w:r>
    </w:p>
    <w:p>
      <w:r>
        <w:rPr>
          <w:rFonts w:ascii="Verdana" w:hAnsi="Verdana"/>
        </w:rPr>
        <w:t>Agreed: rebuild a readable record one figure at a time. Still open: how to define the performance bands and which peer measure should carry the main comparison. Next question: Is the meaning of moving along one colored line clear before we interpret its shape?</w:t>
      </w:r>
    </w:p>
    <w:p>
      <w:r>
        <w:rPr>
          <w:rFonts w:ascii="Verdana" w:hAnsi="Verdana"/>
          <w:sz w:val="16"/>
        </w:rPr>
        <w:t>Source locator: 3-Master_Plan/re_entry/HEROs_and_PASSes/basic_data_plots/</w:t>
        <w:br/>
        <w:t>CCT_P2b_ai_band_overlay_lines.png, with matching CCT_P2b_ai_band_overlay.json and CCT_P2b_ai_band_overlay_sweep.csv. Generator: sports/scripts/cct_p2b_ai_band_overlay.py. Saved values checked against companion files; historical raw-data reconstruction remains pending.</w:t>
      </w:r>
    </w:p>
    <w:sectPr w:rsidR="00FC693F" w:rsidRPr="0006063C" w:rsidSect="00034616">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Verdana" w:hAnsi="Verdan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cstheme="majorBidi" w:ascii="Verdana" w:hAnsi="Verdan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ascii="Verdana" w:hAnsi="Verdan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60"/>
      <w:contextualSpacing/>
    </w:pPr>
    <w:rPr>
      <w:rFonts w:cstheme="majorBidi" w:ascii="Verdana" w:hAnsi="Verdana"/>
      <w:b/>
      <w:color w:val="000000"/>
      <w:spacing w:val="5"/>
      <w:kern w:val="28"/>
      <w:sz w:val="38"/>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rebuchet MS" w:hAnsi="Trebuchet MS"/>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NCAA evidence walkthrough</dc:title>
  <dc:subject>A continuing guide to empirical basketball plots</dc:subject>
  <dc:creator>Charles Levine</dc:creator>
  <cp:keywords/>
  <dc:description>generated by python-docx</dc:description>
  <cp:lastModifiedBy/>
  <cp:revision>1</cp:revision>
  <dcterms:created xsi:type="dcterms:W3CDTF">2013-12-23T23:15:00Z</dcterms:created>
  <dcterms:modified xsi:type="dcterms:W3CDTF">2013-12-23T23:15:00Z</dcterms:modified>
  <cp:category/>
</cp:coreProperties>
</file>