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Advancement Under Constrained Distinction</w:t>
      </w:r>
    </w:p>
    <w:p>
      <w:r>
        <w:t>Draft 5-Minute Briefing Script (v0.4 – Integrated Revision)</w:t>
      </w:r>
    </w:p>
    <w:p>
      <w:r>
        <w:t>Alex and I wanted to briefly update you on a line of research that began in Army promotion data and has since expanded into sports and academia.</w:t>
      </w:r>
    </w:p>
    <w:p>
      <w:r>
        <w:t>The central finding is a replicated nonlinear relationship between local talent concentration and advancement outcomes.</w:t>
      </w:r>
    </w:p>
    <w:p>
      <w:r>
        <w:t>We first observed this pattern in Army promotion data, subsequently found a remarkably similar pattern in NCAA basketball draft outcomes, and are now exploring analogous structures in academic advancement systems.</w:t>
      </w:r>
    </w:p>
    <w:p>
      <w:r>
        <w:t>At this stage, we view the empirical regularity itself as the primary result and are focused on identifying the smallest set of mechanisms capable of generating the observed pattern.</w:t>
      </w:r>
    </w:p>
    <w:p>
      <w:r>
        <w:t>Our current working hypothesis is that advancement systems allocate finite distinction within correlated local comparison environments.</w:t>
      </w:r>
    </w:p>
    <w:p>
      <w:pPr>
        <w:pStyle w:val="Heading2"/>
      </w:pPr>
      <w:r>
        <w:t>5. Modeling Roadmap (~1 min)</w:t>
      </w:r>
    </w:p>
    <w:p>
      <w:r>
        <w:t>Wang-style progression: Empirical Regularity → Minimal Mechanism → Prediction → Validation → Extension</w:t>
      </w:r>
    </w:p>
    <w:p>
      <w:r>
        <w:t>▶ LEVEL 1 — Stylized Fact (Completed)</w:t>
      </w:r>
    </w:p>
    <w:p>
      <w:r>
        <w:t>The inverted-U relationship has now been observed in both Army promotion data and NCAA basketball draft outcomes.</w:t>
      </w:r>
    </w:p>
    <w:p>
      <w:r>
        <w:t>▶ LEVEL 2 — Minimal Mechanism (Active)</w:t>
      </w:r>
    </w:p>
    <w:p>
      <w:r>
        <w:rPr>
          <w:color w:val="008000"/>
        </w:rPr>
        <w:t xml:space="preserve">[GREEN] </w:t>
      </w:r>
      <w:r>
        <w:rPr>
          <w:color w:val="008000"/>
        </w:rPr>
        <w:t>A talent-only baseline fails to reproduce the downturn. Introducing congestion from comparable local peers produces the first generative evidence capable of bending the curve.</w:t>
      </w:r>
    </w:p>
    <w:p>
      <w:r>
        <w:rPr>
          <w:color w:val="0000FF"/>
        </w:rPr>
        <w:t xml:space="preserve">[BLUE] </w:t>
      </w:r>
      <w:r>
        <w:rPr>
          <w:color w:val="0000FF"/>
        </w:rPr>
        <w:t>Talent alone serves as the null model. The addition of a congestion term creates a plausible minimal mechanism for peak-and-decline behavior.</w:t>
      </w:r>
    </w:p>
    <w:p>
      <w:r>
        <w:t>An active modeling question is how local comparison environments should be defined and measured.</w:t>
      </w:r>
    </w:p>
    <w:p>
      <w:r>
        <w:t>▶ MECHANISM DECOMPOSITION (Next Step)</w:t>
      </w:r>
    </w:p>
    <w:p>
      <w:r>
        <w:t>We do not view congestion as the final explanation. It is a minimal mechanism that may be decomposed into developmental benefits, opportunity allocation, distinction compression, competitive crowding, visibility, and signaling effects.</w:t>
      </w:r>
    </w:p>
    <w:p>
      <w:r>
        <w:t>These mechanisms may be calibrated differently across Army, sports, and academic settings while remaining part of a common conceptual framework.</w:t>
      </w:r>
    </w:p>
    <w:p>
      <w:r>
        <w:t>▶ LEVEL 3 — Non-Obvious Predictions (Next)</w:t>
      </w:r>
    </w:p>
    <w:p>
      <w:r>
        <w:rPr>
          <w:color w:val="008000"/>
        </w:rPr>
        <w:t xml:space="preserve">[GREEN] </w:t>
      </w:r>
      <w:r>
        <w:rPr>
          <w:color w:val="008000"/>
        </w:rPr>
        <w:t>The next objective is identifying predictions that distinguish the congestion mechanism from a talent-only explanation.</w:t>
      </w:r>
    </w:p>
    <w:p>
      <w:r>
        <w:rPr>
          <w:color w:val="0000FF"/>
        </w:rPr>
        <w:t xml:space="preserve">[BLUE] </w:t>
      </w:r>
      <w:r>
        <w:rPr>
          <w:color w:val="0000FF"/>
        </w:rPr>
        <w:t>Congestion effects may be strongest among individuals near advancement thresholds.</w:t>
      </w:r>
    </w:p>
    <w:p>
      <w:r>
        <w:rPr>
          <w:color w:val="FF8C00"/>
        </w:rPr>
        <w:t xml:space="preserve">[ORANGE] </w:t>
      </w:r>
      <w:r>
        <w:rPr>
          <w:color w:val="FF8C00"/>
        </w:rPr>
        <w:t>The location of the peak may shift as distinction capacity, assortativity, or opportunity scarcity changes.</w:t>
      </w:r>
    </w:p>
    <w:p>
      <w:r>
        <w:t>▶ LONGER-TERM NETWORK SCIENCE EXTENSIONS</w:t>
      </w:r>
    </w:p>
    <w:p>
      <w:r>
        <w:t>After explanatory and predictive validation, pursue talent centers of gravity, structural distance to concentrated talent, prestige dynamics, and distinct exposure/comparison networks.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