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0F2EA2" w14:textId="77777777" w:rsidR="006B3BD3" w:rsidRDefault="00000000" w:rsidP="00EC7973">
      <w:pPr>
        <w:pStyle w:val="Title"/>
        <w:numPr>
          <w:ilvl w:val="0"/>
          <w:numId w:val="12"/>
        </w:numPr>
      </w:pPr>
      <w:r>
        <w:t>Model Chapter Outline</w:t>
      </w:r>
    </w:p>
    <w:p w14:paraId="797CE85F" w14:textId="2144003C" w:rsidR="006B3BD3" w:rsidRDefault="00000000" w:rsidP="00EC7973">
      <w:pPr>
        <w:pStyle w:val="Heading1"/>
        <w:numPr>
          <w:ilvl w:val="1"/>
          <w:numId w:val="12"/>
        </w:numPr>
      </w:pPr>
      <w:r>
        <w:t>The question and the three-stage architecture</w:t>
      </w:r>
    </w:p>
    <w:p w14:paraId="47EB7787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Central distinction: being in a strong group and receiving a scarce distinction are different events.</w:t>
      </w:r>
    </w:p>
    <w:p w14:paraId="2F5548FD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ASSIGN: explain who ends up with whom and how assignment creates peer environments.</w:t>
      </w:r>
    </w:p>
    <w:p w14:paraId="75DDEEAB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SCORE: explain how the specified environment enters an individual’s modeled score.</w:t>
      </w:r>
    </w:p>
    <w:p w14:paraId="5E1A1160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SELECT: explain how scores become outcomes under an opportunity limit or probability rule.</w:t>
      </w:r>
    </w:p>
    <w:p w14:paraId="29198870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Use a small verbal example to motivate the three stages. Distinguish the environmental benefits-minus-drawbacks idea from an advancement probability.</w:t>
      </w:r>
    </w:p>
    <w:p w14:paraId="3A36F48E" w14:textId="1D0CE1BD" w:rsidR="004E2689" w:rsidRDefault="004E2689" w:rsidP="00EC7973">
      <w:pPr>
        <w:pStyle w:val="ListBullet"/>
        <w:numPr>
          <w:ilvl w:val="2"/>
          <w:numId w:val="12"/>
        </w:numPr>
      </w:pPr>
      <w:r>
        <w:t>What the model is trying to explain—and what it is not</w:t>
      </w:r>
    </w:p>
    <w:p w14:paraId="5393EE21" w14:textId="6E886474" w:rsidR="006B3BD3" w:rsidRDefault="00000000" w:rsidP="00EC7973">
      <w:pPr>
        <w:pStyle w:val="Heading1"/>
        <w:numPr>
          <w:ilvl w:val="1"/>
          <w:numId w:val="12"/>
        </w:numPr>
      </w:pPr>
      <w:r>
        <w:t xml:space="preserve"> What the model treats as individual performance and environment</w:t>
      </w:r>
    </w:p>
    <w:p w14:paraId="6D233FBA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Define the individual input Aᵢ, the population, and the time unit. Observed performance is not automatically innate or portable talent.</w:t>
      </w:r>
    </w:p>
    <w:p w14:paraId="7C50B74E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Explain the performance measure, standardization, group membership, group size, and capacity.</w:t>
      </w:r>
    </w:p>
    <w:p w14:paraId="3F952B64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Define mean peer performance excluding the focal individual. Distinguish this plotting quantity from the congestion quantity subtracted from the score.</w:t>
      </w:r>
    </w:p>
    <w:p w14:paraId="58AE5F23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Explain the recent basketball example: assignments changed while standardized season points per minute remained fixed. This does not reconstruct performance on another team.</w:t>
      </w:r>
    </w:p>
    <w:p w14:paraId="3484AA51" w14:textId="22614463" w:rsidR="006B3BD3" w:rsidRDefault="00EC7973" w:rsidP="00EC7973">
      <w:pPr>
        <w:pStyle w:val="Heading1"/>
        <w:numPr>
          <w:ilvl w:val="1"/>
          <w:numId w:val="12"/>
        </w:numPr>
      </w:pPr>
      <w:r>
        <w:t xml:space="preserve"> </w:t>
      </w:r>
      <w:r w:rsidR="00000000">
        <w:t>ASSIGN: the Levine–Gates grouping mechanism</w:t>
      </w:r>
    </w:p>
    <w:p w14:paraId="6086AEC7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Explain the sequential assignment probability, including remaining seats, current group centroids, and similarity preference ρ.</w:t>
      </w:r>
    </w:p>
    <w:p w14:paraId="29EC01D4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Describe initialization, randomized arrival order, immediate centroid updates, and capacity constraints.</w:t>
      </w:r>
    </w:p>
    <w:p w14:paraId="5E0EED51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Explain why zero similarity preference means uniform assignment over remaining seats, not over teams.</w:t>
      </w:r>
    </w:p>
    <w:p w14:paraId="7DB32B51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Define the measured sorting index H_sort and its positive random-group reference. Distinguish input preference from realized sorting.</w:t>
      </w:r>
    </w:p>
    <w:p w14:paraId="5D91BC08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Recover the development history: earlier target-based assignment, Parent and Child variants, and the implemented Grandchild. Explain similarity based on performance metadata.</w:t>
      </w:r>
    </w:p>
    <w:p w14:paraId="3AE7779E" w14:textId="0C651C23" w:rsidR="006B3BD3" w:rsidRDefault="00000000" w:rsidP="00EC7973">
      <w:pPr>
        <w:pStyle w:val="Heading1"/>
        <w:numPr>
          <w:ilvl w:val="1"/>
          <w:numId w:val="12"/>
        </w:numPr>
      </w:pPr>
      <w:r>
        <w:t xml:space="preserve"> SCORE: how the specified congestion penalty operates</w:t>
      </w:r>
    </w:p>
    <w:p w14:paraId="5CE4B3C6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Present the smooth contribution function, group congestion quantity, and score equation for the specified model version.</w:t>
      </w:r>
    </w:p>
    <w:p w14:paraId="4CD1A8CB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Explain γ as transition sharpness, θ as transition location, and λ as penalty weight.</w:t>
      </w:r>
    </w:p>
    <w:p w14:paraId="224542DF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Explain full-team congestion: everyone in a team receives the same subtraction, preserving within-team ordering while potentially changing ordering across teams.</w:t>
      </w:r>
    </w:p>
    <w:p w14:paraId="562337A8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Distinguish historical leave-one-out congestion from full-team congestion and raw congestion from standardized congestion.</w:t>
      </w:r>
    </w:p>
    <w:p w14:paraId="201B0F49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Explain fixed versus selection-dependent θ. State the assumptions behind the historical λ ≈ 4/γ threshold argument without presenting it as a universal downturn theorem.</w:t>
      </w:r>
    </w:p>
    <w:p w14:paraId="49262289" w14:textId="115C9714" w:rsidR="006B3BD3" w:rsidRDefault="00000000" w:rsidP="00EC7973">
      <w:pPr>
        <w:pStyle w:val="Heading1"/>
        <w:numPr>
          <w:ilvl w:val="1"/>
          <w:numId w:val="12"/>
        </w:numPr>
      </w:pPr>
      <w:r>
        <w:lastRenderedPageBreak/>
        <w:t xml:space="preserve"> SELECT: capacity, ranking, and selection noise</w:t>
      </w:r>
    </w:p>
    <w:p w14:paraId="5707B264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Define the eligible population N, number selected K, and selection fraction K/N.</w:t>
      </w:r>
    </w:p>
    <w:p w14:paraId="5D539140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Explain deterministic top-K selection and its tie rule. Distinguish random assignment from random selection after scoring.</w:t>
      </w:r>
    </w:p>
    <w:p w14:paraId="69F825CE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Explain stochastic selection and temperature using the actual probability equation for each implementation.</w:t>
      </w:r>
    </w:p>
    <w:p w14:paraId="6FCF3CB4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Distinguish Bernoulli calibration from selecting exactly K individuals without replacement. Explain why parameter transfer requires verification.</w:t>
      </w:r>
    </w:p>
    <w:p w14:paraId="7C58C2AB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Clarify that the recent 2.7% scenario was motivated by the career-exit proportion, not each experimental season’s annual selection rate.</w:t>
      </w:r>
    </w:p>
    <w:p w14:paraId="7415BA79" w14:textId="77777777" w:rsidR="00DB0F59" w:rsidRPr="00DB0F59" w:rsidRDefault="00000000" w:rsidP="00DB0F59">
      <w:pPr>
        <w:pStyle w:val="Heading1"/>
        <w:numPr>
          <w:ilvl w:val="1"/>
          <w:numId w:val="12"/>
        </w:numPr>
      </w:pPr>
      <w:r>
        <w:t xml:space="preserve"> </w:t>
      </w:r>
      <w:r w:rsidR="00DB0F59" w:rsidRPr="00DB0F59">
        <w:t>4.6. Parameter regimes: what each knob actually does</w:t>
      </w:r>
    </w:p>
    <w:p w14:paraId="009FAD92" w14:textId="596C5223" w:rsidR="00DB0F59" w:rsidRPr="00DB0F59" w:rsidRDefault="00DB0F59" w:rsidP="00DB0F59">
      <w:pPr>
        <w:pStyle w:val="Heading1"/>
        <w:numPr>
          <w:ilvl w:val="2"/>
          <w:numId w:val="12"/>
        </w:numPr>
        <w:rPr>
          <w:b w:val="0"/>
          <w:bCs w:val="0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ρ</m:t>
        </m:r>
      </m:oMath>
      <w:r w:rsidRPr="00DB0F59">
        <w:rPr>
          <w:b w:val="0"/>
          <w:bCs w:val="0"/>
          <w:sz w:val="24"/>
          <w:szCs w:val="24"/>
        </w:rPr>
        <w:t>: assignment preference and realized sorting</w:t>
      </w:r>
    </w:p>
    <w:p w14:paraId="08D26607" w14:textId="469F88EE" w:rsidR="00DB0F59" w:rsidRPr="00DB0F59" w:rsidRDefault="00DB0F59" w:rsidP="00DB0F59">
      <w:pPr>
        <w:pStyle w:val="Heading1"/>
        <w:numPr>
          <w:ilvl w:val="2"/>
          <w:numId w:val="12"/>
        </w:numPr>
        <w:rPr>
          <w:b w:val="0"/>
          <w:bCs w:val="0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γ</m:t>
        </m:r>
      </m:oMath>
      <w:r w:rsidRPr="00DB0F59">
        <w:rPr>
          <w:b w:val="0"/>
          <w:bCs w:val="0"/>
          <w:sz w:val="24"/>
          <w:szCs w:val="24"/>
        </w:rPr>
        <w:t>: how sharply viability/congestion turns on</w:t>
      </w:r>
    </w:p>
    <w:p w14:paraId="0AA0BF90" w14:textId="01BF227D" w:rsidR="00DB0F59" w:rsidRPr="00DB0F59" w:rsidRDefault="00DB0F59" w:rsidP="00DB0F59">
      <w:pPr>
        <w:pStyle w:val="Heading1"/>
        <w:numPr>
          <w:ilvl w:val="2"/>
          <w:numId w:val="12"/>
        </w:numPr>
        <w:rPr>
          <w:b w:val="0"/>
          <w:bCs w:val="0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θ</m:t>
        </m:r>
      </m:oMath>
      <w:r w:rsidRPr="00DB0F59">
        <w:rPr>
          <w:b w:val="0"/>
          <w:bCs w:val="0"/>
          <w:sz w:val="24"/>
          <w:szCs w:val="24"/>
        </w:rPr>
        <w:t>: where the relevant performance threshold sits</w:t>
      </w:r>
    </w:p>
    <w:p w14:paraId="53E1ABF3" w14:textId="4964D691" w:rsidR="00DB0F59" w:rsidRPr="00DB0F59" w:rsidRDefault="00DB0F59" w:rsidP="00DB0F59">
      <w:pPr>
        <w:pStyle w:val="Heading1"/>
        <w:numPr>
          <w:ilvl w:val="2"/>
          <w:numId w:val="12"/>
        </w:numPr>
        <w:rPr>
          <w:b w:val="0"/>
          <w:bCs w:val="0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λ</m:t>
        </m:r>
      </m:oMath>
      <w:r w:rsidRPr="00DB0F59">
        <w:rPr>
          <w:b w:val="0"/>
          <w:bCs w:val="0"/>
          <w:sz w:val="24"/>
          <w:szCs w:val="24"/>
        </w:rPr>
        <w:t>: strength of the congestion penalty</w:t>
      </w:r>
    </w:p>
    <w:p w14:paraId="138E670E" w14:textId="45BFD2B4" w:rsidR="00DB0F59" w:rsidRPr="00DB0F59" w:rsidRDefault="00DB0F59" w:rsidP="00DB0F59">
      <w:pPr>
        <w:pStyle w:val="Heading1"/>
        <w:numPr>
          <w:ilvl w:val="2"/>
          <w:numId w:val="12"/>
        </w:numPr>
        <w:rPr>
          <w:b w:val="0"/>
          <w:bCs w:val="0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K/N</m:t>
        </m:r>
      </m:oMath>
      <w:r w:rsidRPr="00DB0F59">
        <w:rPr>
          <w:b w:val="0"/>
          <w:bCs w:val="0"/>
          <w:sz w:val="24"/>
          <w:szCs w:val="24"/>
        </w:rPr>
        <w:t>: scarcity and the selection boundary</w:t>
      </w:r>
    </w:p>
    <w:p w14:paraId="591430D1" w14:textId="38642306" w:rsidR="00DB0F59" w:rsidRPr="00DB0F59" w:rsidRDefault="00DB0F59" w:rsidP="00DB0F59">
      <w:pPr>
        <w:pStyle w:val="Heading1"/>
        <w:numPr>
          <w:ilvl w:val="2"/>
          <w:numId w:val="12"/>
        </w:numPr>
        <w:rPr>
          <w:b w:val="0"/>
          <w:bCs w:val="0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t</m:t>
        </m:r>
      </m:oMath>
      <w:r w:rsidRPr="00DB0F59">
        <w:rPr>
          <w:b w:val="0"/>
          <w:bCs w:val="0"/>
          <w:sz w:val="24"/>
          <w:szCs w:val="24"/>
        </w:rPr>
        <w:t>: deterministic versus noisy selection</w:t>
      </w:r>
    </w:p>
    <w:p w14:paraId="76A1AC9F" w14:textId="514DF961" w:rsidR="00DB0F59" w:rsidRPr="00DB0F59" w:rsidRDefault="00DB0F59" w:rsidP="00DB0F59">
      <w:pPr>
        <w:pStyle w:val="Heading1"/>
        <w:numPr>
          <w:ilvl w:val="2"/>
          <w:numId w:val="12"/>
        </w:numPr>
        <w:rPr>
          <w:b w:val="0"/>
          <w:bCs w:val="0"/>
          <w:sz w:val="24"/>
          <w:szCs w:val="24"/>
        </w:rPr>
      </w:pPr>
      <w:r w:rsidRPr="00DB0F59">
        <w:rPr>
          <w:b w:val="0"/>
          <w:bCs w:val="0"/>
          <w:sz w:val="24"/>
          <w:szCs w:val="24"/>
        </w:rPr>
        <w:t>Interactions among parameters: where similar curves can come from different mechanisms</w:t>
      </w:r>
    </w:p>
    <w:p w14:paraId="74310EEE" w14:textId="336842C7" w:rsidR="006B3BD3" w:rsidRDefault="00000000" w:rsidP="00EC7973">
      <w:pPr>
        <w:pStyle w:val="Heading1"/>
        <w:numPr>
          <w:ilvl w:val="1"/>
          <w:numId w:val="12"/>
        </w:numPr>
      </w:pPr>
      <w:r>
        <w:t>What the completed experiments taught us</w:t>
      </w:r>
    </w:p>
    <w:p w14:paraId="1916C78F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Can congestion change winners without similarity preference? Separate this question from whether a downturn occurs.</w:t>
      </w:r>
    </w:p>
    <w:p w14:paraId="19F27F9C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Was the initial penalty large enough to reshape the curve? Explain the penalty’s scale relative to individual performance.</w:t>
      </w:r>
    </w:p>
    <w:p w14:paraId="0716422A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How does curve shape depend on penalty strength and binning? Show equal-width and quantile views with support counts.</w:t>
      </w:r>
    </w:p>
    <w:p w14:paraId="7BF50B76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Does a low selection fraction make assignment preference irrelevant? Distinguish the number of changed winners from the fraction of winners changed.</w:t>
      </w:r>
    </w:p>
    <w:p w14:paraId="02C5B5A4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How does reduced preference alter sorting, the range of peer environments, and selection profiles? Treat empty bins as missing support.</w:t>
      </w:r>
    </w:p>
    <w:p w14:paraId="75D60D25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Use the existing plot trail, retaining model versions, dates, and the purpose of the 50% selection comparison. Distinguish exploratory choices from estimated optima.</w:t>
      </w:r>
    </w:p>
    <w:p w14:paraId="2FC349F8" w14:textId="55C2BD73" w:rsidR="006B3BD3" w:rsidRDefault="00000000" w:rsidP="00EC7973">
      <w:pPr>
        <w:pStyle w:val="Heading1"/>
        <w:numPr>
          <w:ilvl w:val="1"/>
          <w:numId w:val="12"/>
        </w:numPr>
      </w:pPr>
      <w:r>
        <w:t xml:space="preserve"> Established scope, limits, and the bridge to fitting</w:t>
      </w:r>
    </w:p>
    <w:p w14:paraId="71F96D5B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Summarize the documented architecture, implemented model families, parameter roles, and bounded conclusions of completed experiments.</w:t>
      </w:r>
    </w:p>
    <w:p w14:paraId="08E53A17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Distinguish a hump from proof of congestion, and tested settings from universal necessity of assortative preference.</w:t>
      </w:r>
    </w:p>
    <w:p w14:paraId="5CF24BC3" w14:textId="77777777" w:rsidR="006B3BD3" w:rsidRDefault="00000000" w:rsidP="00EC7973">
      <w:pPr>
        <w:pStyle w:val="ListBullet"/>
        <w:numPr>
          <w:ilvl w:val="2"/>
          <w:numId w:val="12"/>
        </w:numPr>
      </w:pPr>
      <w:r>
        <w:lastRenderedPageBreak/>
        <w:t>Keep empirical explanations separate from model demonstrations, including the unmodeled five-player court constraint.</w:t>
      </w:r>
    </w:p>
    <w:p w14:paraId="565155A6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Identify unresolved parameter transfer across selection rules, normalizations, and domains.</w:t>
      </w:r>
    </w:p>
    <w:p w14:paraId="094FAB08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Avoid causal claims from Romania’s descriptive patterns or claims of an identical verified effect across domains.</w:t>
      </w:r>
    </w:p>
    <w:p w14:paraId="506110B2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End with specific unsupported statements and the smallest checks needed to resolve them. Use writing to identify gaps without launching a broad experimental campaign.</w:t>
      </w:r>
    </w:p>
    <w:sectPr w:rsidR="006B3BD3" w:rsidSect="00EC79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74513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8A81654"/>
    <w:multiLevelType w:val="multilevel"/>
    <w:tmpl w:val="B1FC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976FC9"/>
    <w:multiLevelType w:val="multilevel"/>
    <w:tmpl w:val="A7F4C2C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5CB274BD"/>
    <w:multiLevelType w:val="multilevel"/>
    <w:tmpl w:val="1E784B0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3749462">
    <w:abstractNumId w:val="8"/>
  </w:num>
  <w:num w:numId="2" w16cid:durableId="1813861977">
    <w:abstractNumId w:val="6"/>
  </w:num>
  <w:num w:numId="3" w16cid:durableId="170993218">
    <w:abstractNumId w:val="5"/>
  </w:num>
  <w:num w:numId="4" w16cid:durableId="101924197">
    <w:abstractNumId w:val="4"/>
  </w:num>
  <w:num w:numId="5" w16cid:durableId="599484486">
    <w:abstractNumId w:val="7"/>
  </w:num>
  <w:num w:numId="6" w16cid:durableId="258292814">
    <w:abstractNumId w:val="3"/>
  </w:num>
  <w:num w:numId="7" w16cid:durableId="1929924951">
    <w:abstractNumId w:val="2"/>
  </w:num>
  <w:num w:numId="8" w16cid:durableId="1678732063">
    <w:abstractNumId w:val="1"/>
  </w:num>
  <w:num w:numId="9" w16cid:durableId="1572619488">
    <w:abstractNumId w:val="0"/>
  </w:num>
  <w:num w:numId="10" w16cid:durableId="2039042989">
    <w:abstractNumId w:val="11"/>
  </w:num>
  <w:num w:numId="11" w16cid:durableId="1335380630">
    <w:abstractNumId w:val="9"/>
  </w:num>
  <w:num w:numId="12" w16cid:durableId="850726394">
    <w:abstractNumId w:val="12"/>
  </w:num>
  <w:num w:numId="13" w16cid:durableId="1895460450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3FC"/>
    <w:rsid w:val="0015074B"/>
    <w:rsid w:val="0029639D"/>
    <w:rsid w:val="00326F90"/>
    <w:rsid w:val="004E2689"/>
    <w:rsid w:val="006B3BD3"/>
    <w:rsid w:val="00996049"/>
    <w:rsid w:val="00AA1D8D"/>
    <w:rsid w:val="00B47730"/>
    <w:rsid w:val="00CB0664"/>
    <w:rsid w:val="00DB0F59"/>
    <w:rsid w:val="00EC79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D38623"/>
  <w14:defaultImageDpi w14:val="300"/>
  <w15:docId w15:val="{66EBF75D-39AF-584D-B387-0B6376E7F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B0F59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 Chapter Outline</vt:lpstr>
    </vt:vector>
  </TitlesOfParts>
  <Manager/>
  <Company/>
  <LinksUpToDate>false</LinksUpToDate>
  <CharactersWithSpaces>5344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Chapter Outline</dc:title>
  <dc:subject>Sections 4.1–4.7 of the proposed model chapter</dc:subject>
  <dc:creator>python-docx</dc:creator>
  <cp:keywords/>
  <dc:description>generated by python-docx</dc:description>
  <cp:lastModifiedBy>Levine, Charles Roger CTR USARMY USMA (USA)</cp:lastModifiedBy>
  <cp:revision>2</cp:revision>
  <dcterms:created xsi:type="dcterms:W3CDTF">2026-10-02T17:35:00Z</dcterms:created>
  <dcterms:modified xsi:type="dcterms:W3CDTF">2026-10-02T17:35:00Z</dcterms:modified>
  <cp:category/>
</cp:coreProperties>
</file>