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Model Chapter Outline</w:t>
      </w:r>
    </w:p>
    <w:p>
      <w:pPr>
        <w:pStyle w:val="Heading1"/>
      </w:pPr>
      <w:r>
        <w:t>4.1. The question and the three-stage architecture</w:t>
      </w:r>
    </w:p>
    <w:p>
      <w:pPr>
        <w:pStyle w:val="ListBullet"/>
      </w:pPr>
      <w:r>
        <w:t>Central distinction: being in a strong group and receiving a scarce distinction are different events.</w:t>
      </w:r>
    </w:p>
    <w:p>
      <w:pPr>
        <w:pStyle w:val="ListBullet"/>
      </w:pPr>
      <w:r>
        <w:t>ASSIGN: explain who ends up with whom and how assignment creates peer environments.</w:t>
      </w:r>
    </w:p>
    <w:p>
      <w:pPr>
        <w:pStyle w:val="ListBullet"/>
      </w:pPr>
      <w:r>
        <w:t>SCORE: explain how the specified environment enters an individual’s modeled score.</w:t>
      </w:r>
    </w:p>
    <w:p>
      <w:pPr>
        <w:pStyle w:val="ListBullet"/>
      </w:pPr>
      <w:r>
        <w:t>SELECT: explain how scores become outcomes under an opportunity limit or probability rule.</w:t>
      </w:r>
    </w:p>
    <w:p>
      <w:pPr>
        <w:pStyle w:val="ListBullet"/>
      </w:pPr>
      <w:r>
        <w:t>Use a small verbal example to motivate the three stages. Distinguish the environmental benefits-minus-drawbacks idea from an advancement probability.</w:t>
      </w:r>
    </w:p>
    <w:p>
      <w:pPr>
        <w:pStyle w:val="Heading1"/>
      </w:pPr>
      <w:r>
        <w:t>4.2. What the model treats as individual performance and environment</w:t>
      </w:r>
    </w:p>
    <w:p>
      <w:pPr>
        <w:pStyle w:val="ListBullet"/>
      </w:pPr>
      <w:r>
        <w:t>Define the individual input Aᵢ, the population, and the time unit. Observed performance is not automatically innate or portable talent.</w:t>
      </w:r>
    </w:p>
    <w:p>
      <w:pPr>
        <w:pStyle w:val="ListBullet"/>
      </w:pPr>
      <w:r>
        <w:t>Explain the performance measure, standardization, group membership, group size, and capacity.</w:t>
      </w:r>
    </w:p>
    <w:p>
      <w:pPr>
        <w:pStyle w:val="ListBullet"/>
      </w:pPr>
      <w:r>
        <w:t>Define mean peer performance excluding the focal individual. Distinguish this plotting quantity from the congestion quantity subtracted from the score.</w:t>
      </w:r>
    </w:p>
    <w:p>
      <w:pPr>
        <w:pStyle w:val="ListBullet"/>
      </w:pPr>
      <w:r>
        <w:t>Explain the recent basketball example: assignments changed while standardized season points per minute remained fixed. This does not reconstruct performance on another team.</w:t>
      </w:r>
    </w:p>
    <w:p>
      <w:pPr>
        <w:pStyle w:val="Heading1"/>
      </w:pPr>
      <w:r>
        <w:t>4.3. ASSIGN: the Levine–Gates grouping mechanism</w:t>
      </w:r>
    </w:p>
    <w:p>
      <w:pPr>
        <w:pStyle w:val="ListBullet"/>
      </w:pPr>
      <w:r>
        <w:t>Explain the sequential assignment probability, including remaining seats, current group centroids, and similarity preference ρ.</w:t>
      </w:r>
    </w:p>
    <w:p>
      <w:pPr>
        <w:pStyle w:val="ListBullet"/>
      </w:pPr>
      <w:r>
        <w:t>Describe initialization, randomized arrival order, immediate centroid updates, and capacity constraints.</w:t>
      </w:r>
    </w:p>
    <w:p>
      <w:pPr>
        <w:pStyle w:val="ListBullet"/>
      </w:pPr>
      <w:r>
        <w:t>Explain why zero similarity preference means uniform assignment over remaining seats, not over teams.</w:t>
      </w:r>
    </w:p>
    <w:p>
      <w:pPr>
        <w:pStyle w:val="ListBullet"/>
      </w:pPr>
      <w:r>
        <w:t>Define the measured sorting index H_sort and its positive random-group reference. Distinguish input preference from realized sorting.</w:t>
      </w:r>
    </w:p>
    <w:p>
      <w:pPr>
        <w:pStyle w:val="ListBullet"/>
      </w:pPr>
      <w:r>
        <w:t>Recover the development history: earlier target-based assignment, Parent and Child variants, and the implemented Grandchild. Explain similarity based on performance metadata.</w:t>
      </w:r>
    </w:p>
    <w:p>
      <w:pPr>
        <w:pStyle w:val="Heading1"/>
      </w:pPr>
      <w:r>
        <w:t>4.4. SCORE: how the specified congestion penalty operates</w:t>
      </w:r>
    </w:p>
    <w:p>
      <w:pPr>
        <w:pStyle w:val="ListBullet"/>
      </w:pPr>
      <w:r>
        <w:t>Present the smooth contribution function, group congestion quantity, and score equation for the specified model version.</w:t>
      </w:r>
    </w:p>
    <w:p>
      <w:pPr>
        <w:pStyle w:val="ListBullet"/>
      </w:pPr>
      <w:r>
        <w:t>Explain γ as transition sharpness, θ as transition location, and λ as penalty weight.</w:t>
      </w:r>
    </w:p>
    <w:p>
      <w:pPr>
        <w:pStyle w:val="ListBullet"/>
      </w:pPr>
      <w:r>
        <w:t>Explain full-team congestion: everyone in a team receives the same subtraction, preserving within-team ordering while potentially changing ordering across teams.</w:t>
      </w:r>
    </w:p>
    <w:p>
      <w:pPr>
        <w:pStyle w:val="ListBullet"/>
      </w:pPr>
      <w:r>
        <w:t>Distinguish historical leave-one-out congestion from full-team congestion and raw congestion from standardized congestion.</w:t>
      </w:r>
    </w:p>
    <w:p>
      <w:pPr>
        <w:pStyle w:val="ListBullet"/>
      </w:pPr>
      <w:r>
        <w:t>Explain fixed versus selection-dependent θ. State the assumptions behind the historical λ ≈ 4/γ threshold argument without presenting it as a universal downturn theorem.</w:t>
      </w:r>
    </w:p>
    <w:p>
      <w:pPr>
        <w:pStyle w:val="Heading1"/>
      </w:pPr>
      <w:r>
        <w:t>4.5. SELECT: capacity, ranking, and selection noise</w:t>
      </w:r>
    </w:p>
    <w:p>
      <w:pPr>
        <w:pStyle w:val="ListBullet"/>
      </w:pPr>
      <w:r>
        <w:t>Define the eligible population N, number selected K, and selection fraction K/N.</w:t>
      </w:r>
    </w:p>
    <w:p>
      <w:pPr>
        <w:pStyle w:val="ListBullet"/>
      </w:pPr>
      <w:r>
        <w:t>Explain deterministic top-K selection and its tie rule. Distinguish random assignment from random selection after scoring.</w:t>
      </w:r>
    </w:p>
    <w:p>
      <w:pPr>
        <w:pStyle w:val="ListBullet"/>
      </w:pPr>
      <w:r>
        <w:t>Explain stochastic selection and temperature using the actual probability equation for each implementation.</w:t>
      </w:r>
    </w:p>
    <w:p>
      <w:pPr>
        <w:pStyle w:val="ListBullet"/>
      </w:pPr>
      <w:r>
        <w:t>Distinguish Bernoulli calibration from selecting exactly K individuals without replacement. Explain why parameter transfer requires verification.</w:t>
      </w:r>
    </w:p>
    <w:p>
      <w:pPr>
        <w:pStyle w:val="ListBullet"/>
      </w:pPr>
      <w:r>
        <w:t>Clarify that the recent 2.7% scenario was motivated by the career-exit proportion, not each experimental season’s annual selection rate.</w:t>
      </w:r>
    </w:p>
    <w:p>
      <w:pPr>
        <w:pStyle w:val="Heading1"/>
      </w:pPr>
      <w:r>
        <w:t>4.6. What the completed experiments taught us</w:t>
      </w:r>
    </w:p>
    <w:p>
      <w:pPr>
        <w:pStyle w:val="ListBullet"/>
      </w:pPr>
      <w:r>
        <w:t>Can congestion change winners without similarity preference? Separate this question from whether a downturn occurs.</w:t>
      </w:r>
    </w:p>
    <w:p>
      <w:pPr>
        <w:pStyle w:val="ListBullet"/>
      </w:pPr>
      <w:r>
        <w:t>Was the initial penalty large enough to reshape the curve? Explain the penalty’s scale relative to individual performance.</w:t>
      </w:r>
    </w:p>
    <w:p>
      <w:pPr>
        <w:pStyle w:val="ListBullet"/>
      </w:pPr>
      <w:r>
        <w:t>How does curve shape depend on penalty strength and binning? Show equal-width and quantile views with support counts.</w:t>
      </w:r>
    </w:p>
    <w:p>
      <w:pPr>
        <w:pStyle w:val="ListBullet"/>
      </w:pPr>
      <w:r>
        <w:t>Does a low selection fraction make assignment preference irrelevant? Distinguish the number of changed winners from the fraction of winners changed.</w:t>
      </w:r>
    </w:p>
    <w:p>
      <w:pPr>
        <w:pStyle w:val="ListBullet"/>
      </w:pPr>
      <w:r>
        <w:t>How does reduced preference alter sorting, the range of peer environments, and selection profiles? Treat empty bins as missing support.</w:t>
      </w:r>
    </w:p>
    <w:p>
      <w:pPr>
        <w:pStyle w:val="ListBullet"/>
      </w:pPr>
      <w:r>
        <w:t>Use the existing plot trail, retaining model versions, dates, and the purpose of the 50% selection comparison. Distinguish exploratory choices from estimated optima.</w:t>
      </w:r>
    </w:p>
    <w:p>
      <w:pPr>
        <w:pStyle w:val="Heading1"/>
      </w:pPr>
      <w:r>
        <w:t>4.7. Established scope, limits, and the bridge to fitting</w:t>
      </w:r>
    </w:p>
    <w:p>
      <w:pPr>
        <w:pStyle w:val="ListBullet"/>
      </w:pPr>
      <w:r>
        <w:t>Summarize the documented architecture, implemented model families, parameter roles, and bounded conclusions of completed experiments.</w:t>
      </w:r>
    </w:p>
    <w:p>
      <w:pPr>
        <w:pStyle w:val="ListBullet"/>
      </w:pPr>
      <w:r>
        <w:t>Distinguish a hump from proof of congestion, and tested settings from universal necessity of assortative preference.</w:t>
      </w:r>
    </w:p>
    <w:p>
      <w:pPr>
        <w:pStyle w:val="ListBullet"/>
      </w:pPr>
      <w:r>
        <w:t>Keep empirical explanations separate from model demonstrations, including the unmodeled five-player court constraint.</w:t>
      </w:r>
    </w:p>
    <w:p>
      <w:pPr>
        <w:pStyle w:val="ListBullet"/>
      </w:pPr>
      <w:r>
        <w:t>Identify unresolved parameter transfer across selection rules, normalizations, and domains.</w:t>
      </w:r>
    </w:p>
    <w:p>
      <w:pPr>
        <w:pStyle w:val="ListBullet"/>
      </w:pPr>
      <w:r>
        <w:t>Avoid causal claims from Romania’s descriptive patterns or claims of an identical verified effect across domains.</w:t>
      </w:r>
    </w:p>
    <w:p>
      <w:pPr>
        <w:pStyle w:val="ListBullet"/>
      </w:pPr>
      <w:r>
        <w:t>End with specific unsupported statements and the smallest checks needed to resolve them. Use writing to identify gaps without launching a broad experimental campaign.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2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52" w:lineRule="auto"/>
      <w:contextualSpacing/>
    </w:pPr>
    <w:rPr>
      <w:rFonts w:ascii="Calibri" w:hAnsi="Calibri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 Chapter Outline</dc:title>
  <dc:subject>Sections 4.1–4.7 of the proposed model chapter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