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4F7D9C" w14:textId="77777777" w:rsidR="00CB3150" w:rsidRDefault="00000000">
      <w:pPr>
        <w:pStyle w:val="Title"/>
      </w:pPr>
      <w:r>
        <w:t>Chapter 4 — A model of competitive congestion and advancement</w:t>
      </w:r>
    </w:p>
    <w:p w14:paraId="39928DC8" w14:textId="77777777" w:rsidR="00CB3150" w:rsidRDefault="00000000">
      <w:pPr>
        <w:pStyle w:val="Heading1"/>
      </w:pPr>
      <w:bookmarkStart w:id="0" w:name="X166b1176d9c834602c4793dd44ed9435b820f4f"/>
      <w:r>
        <w:t>4.1 Individual performance and success in groups</w:t>
      </w:r>
    </w:p>
    <w:p w14:paraId="46560FC4"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6EA7B16F"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324EEA5C"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188188A4" w14:textId="77777777" w:rsidR="00CB3150" w:rsidRDefault="00000000">
      <w:pPr>
        <w:pStyle w:val="Heading1"/>
      </w:pPr>
      <w:bookmarkStart w:id="1" w:name="Xfada5e96b17685afb9851f145398c9afa85bcfe"/>
      <w:bookmarkEnd w:id="0"/>
      <w:r>
        <w:t>4.2 Selecting the highest performing individuals</w:t>
      </w:r>
    </w:p>
    <w:p w14:paraId="3C63BE6A" w14:textId="2CA4AF87" w:rsidR="00CB3150" w:rsidRDefault="00000000">
      <w:r>
        <w:t xml:space="preserve">Consider individuals who already belong to groups. Over a period of activity, each accumulates a record of performance. At the end of that period, a decision maker allocates a limited number of opportunities among the eligible individuals. In our first model, the decision maker can observe </w:t>
      </w:r>
      <w:r>
        <w:lastRenderedPageBreak/>
        <w:t>and compare their performance perfectly. Everyone is ranked, and the highest-ranked individuals receive the available places.</w:t>
      </w:r>
      <w:ins w:id="2" w:author="Levine, Charles Roger CTR USARMY USMA (USA)" w:date="2026-10-12T11:55:00Z" w16du:dateUtc="2026-10-12T15:55:00Z">
        <w:r w:rsidR="00362992">
          <w:t xml:space="preserve"> </w:t>
        </w:r>
        <w:r w:rsidR="00362992">
          <w:t>We call this performance-only, deterministic top-</w:t>
        </w:r>
      </w:ins>
      <m:oMath>
        <m:r>
          <w:rPr>
            <w:rFonts w:ascii="Cambria Math" w:hAnsi="Cambria Math"/>
          </w:rPr>
          <m:t>K</m:t>
        </m:r>
      </m:oMath>
      <w:ins w:id="3" w:author="Levine, Charles Roger CTR USARMY USMA (USA)" w:date="2026-10-12T11:55:00Z" w16du:dateUtc="2026-10-12T15:55:00Z">
        <w:r w:rsidR="00362992">
          <w:t xml:space="preserve"> model the naïve benchmark.</w:t>
        </w:r>
      </w:ins>
    </w:p>
    <w:p w14:paraId="598CC33F"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082B2075" w14:textId="77777777" w:rsidR="00CB3150" w:rsidRDefault="00000000">
      <w:pPr>
        <w:pStyle w:val="Heading2"/>
      </w:pPr>
      <w:bookmarkStart w:id="4" w:name="performance-and-the-selection-population"/>
      <w:r>
        <w:t>4.2.1 Performance and the selection population</w:t>
      </w:r>
    </w:p>
    <w:p w14:paraId="7988D070" w14:textId="1469235F"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i. A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ins w:id="5" w:author="Levine, Charles Roger CTR USARMY USMA (USA)" w:date="2026-10-12T11:49:00Z" w16du:dateUtc="2026-10-12T15:49:00Z">
        <w:r w:rsidR="00A16FA4">
          <w:t xml:space="preserve">naïve </w:t>
        </w:r>
      </w:ins>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10B151C6" w14:textId="77777777"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7D9AE0C8"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39AE6047" w14:textId="77777777" w:rsidR="00CB3150" w:rsidRDefault="00000000">
      <w:pPr>
        <w:pStyle w:val="Heading2"/>
      </w:pPr>
      <w:bookmarkStart w:id="6" w:name="the-score-and-the-selection-rule"/>
      <w:bookmarkEnd w:id="4"/>
      <w:r>
        <w:t>4.2.2 The score and the selection rule</w:t>
      </w:r>
    </w:p>
    <w:p w14:paraId="71B054CA" w14:textId="77777777" w:rsidR="00CB3150" w:rsidRDefault="00000000">
      <w:r>
        <w:t xml:space="preserve">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t>. In this simplest model, individual performance is its only ingredient:</w:t>
      </w:r>
    </w:p>
    <w:p w14:paraId="14B1B0C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7FD7DBF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71EA7D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 I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r>
            <m:rPr>
              <m:sty m:val="p"/>
            </m:rPr>
            <w:rPr>
              <w:rFonts w:ascii="Cambria Math" w:hAnsi="Cambria Math"/>
            </w:rPr>
            <m:t>.</m:t>
          </m:r>
        </m:oMath>
      </m:oMathPara>
    </w:p>
    <w:p w14:paraId="0E19A86B"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p>
    <w:p w14:paraId="095EC506" w14:textId="72DCB0F5" w:rsidR="00CB3150" w:rsidRDefault="00000000">
      <w:pPr>
        <w:pStyle w:val="Heading2"/>
      </w:pPr>
      <w:bookmarkStart w:id="7" w:name="Xa5823cb72cde8cbb5180a30bdc574971e9835d8"/>
      <w:bookmarkEnd w:id="6"/>
      <w:r>
        <w:t xml:space="preserve">4.2.3 What group membership does in the </w:t>
      </w:r>
      <w:ins w:id="8" w:author="Levine, Charles Roger CTR USARMY USMA (USA)" w:date="2026-10-12T11:50:00Z" w16du:dateUtc="2026-10-12T15:50:00Z">
        <w:r w:rsidR="00A16FA4">
          <w:t xml:space="preserve">naïve </w:t>
        </w:r>
      </w:ins>
      <w:r>
        <w:t>benchmark</w:t>
      </w:r>
    </w:p>
    <w:p w14:paraId="13B93AD8" w14:textId="77777777" w:rsidR="00CB3150" w:rsidRDefault="00000000">
      <w:r>
        <w:t xml:space="preserve">Groups exist in this first model, but they do not affect who is selected. Reassigning the same individuals among groups leaves their scores and the selected set unchanged. Increasing </w:t>
      </w:r>
      <m:oMath>
        <m:r>
          <w:rPr>
            <w:rFonts w:ascii="Cambria Math" w:hAnsi="Cambria Math"/>
          </w:rPr>
          <m:t>K</m:t>
        </m:r>
      </m:oMath>
      <w:r>
        <w:t xml:space="preserve"> instead expands the selected set by moving down the performance ranking, provided the tie convention remains fixed.</w:t>
      </w:r>
    </w:p>
    <w:p w14:paraId="441324C5" w14:textId="77777777" w:rsidR="00CB3150" w:rsidRDefault="00000000">
      <w:pPr>
        <w:pStyle w:val="BodyText"/>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 explicit local adjustment changes that conclusion.</w:t>
      </w:r>
    </w:p>
    <w:p w14:paraId="2D766B2A" w14:textId="77777777" w:rsidR="00CB3150" w:rsidRDefault="00000000">
      <w:pPr>
        <w:pStyle w:val="Heading1"/>
      </w:pPr>
      <w:bookmarkStart w:id="9" w:name="allowing-uncertainty-in-selection"/>
      <w:bookmarkEnd w:id="1"/>
      <w:bookmarkEnd w:id="7"/>
      <w:r>
        <w:t>4.3 Allowing uncertainty in selection</w:t>
      </w:r>
    </w:p>
    <w:p w14:paraId="32F9FCAE" w14:textId="77777777" w:rsidR="00CB3150" w:rsidRDefault="00000000">
      <w:r>
        <w:t>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14:paraId="3B5F718F" w14:textId="77777777" w:rsidR="00CB3150" w:rsidRDefault="00000000">
      <w:pPr>
        <w:pStyle w:val="BodyText"/>
      </w:pPr>
      <w:r>
        <w:lastRenderedPageBreak/>
        <w:t xml:space="preserve">We represent this uncertainty while retaining a fixed number of opportunities. The scores remain those supplied to selection; the identities receiving the </w:t>
      </w:r>
      <m:oMath>
        <m:r>
          <w:rPr>
            <w:rFonts w:ascii="Cambria Math" w:hAnsi="Cambria Math"/>
          </w:rPr>
          <m:t>K</m:t>
        </m:r>
      </m:oMath>
      <w:r>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t>. We will adjust the selection method, not the scoring to introduce this uncertainty.</w:t>
      </w:r>
    </w:p>
    <w:p w14:paraId="57944653" w14:textId="77777777" w:rsidR="00CB3150" w:rsidRDefault="00000000">
      <w:pPr>
        <w:pStyle w:val="Heading2"/>
      </w:pPr>
      <w:bookmarkStart w:id="10" w:name="Xa81b982df13d1d13892043cb673ae528535138a"/>
      <w:r>
        <w:t>4.3.1 From a fixed ranking to uncertain winners</w:t>
      </w:r>
    </w:p>
    <w:p w14:paraId="6E5AD403" w14:textId="1A186E3F" w:rsidR="00CB3150" w:rsidRDefault="00000000">
      <w:r>
        <w:t xml:space="preserve">In the </w:t>
      </w:r>
      <w:ins w:id="11" w:author="Levine, Charles Roger CTR USARMY USMA (USA)" w:date="2026-10-12T11:50:00Z" w16du:dateUtc="2026-10-12T15:50:00Z">
        <w:r w:rsidR="00A16FA4">
          <w:t xml:space="preserve">naïve </w:t>
        </w:r>
      </w:ins>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2D846C94"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4C463C69" w14:textId="77777777" w:rsidR="00CB3150" w:rsidRDefault="00000000">
      <w:pPr>
        <w:pStyle w:val="Heading2"/>
      </w:pPr>
      <w:bookmarkStart w:id="12" w:name="X3403a481b954ec6ac05b20913aa990d79a7f6ac"/>
      <w:bookmarkEnd w:id="10"/>
      <w:r>
        <w:t xml:space="preserve">4.3.2 Selecting exactly </w:t>
      </w:r>
      <m:oMath>
        <m:r>
          <m:rPr>
            <m:sty m:val="bi"/>
          </m:rPr>
          <w:rPr>
            <w:rFonts w:ascii="Cambria Math" w:hAnsi="Cambria Math"/>
          </w:rPr>
          <m:t>K</m:t>
        </m:r>
      </m:oMath>
      <w:r>
        <w:t xml:space="preserve"> individuals without replacement</w:t>
      </w:r>
    </w:p>
    <w:p w14:paraId="3D886F65" w14:textId="77777777" w:rsidR="00CB3150" w:rsidRDefault="00000000">
      <w:r>
        <w:t xml:space="preserve">To state this rule precisely, 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be the individual selected on draw r. The remaining candidates immediately before that draw are</w:t>
      </w:r>
    </w:p>
    <w:p w14:paraId="36265B1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78809229"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777419D0" w14:textId="77777777" w:rsidR="00CB3150" w:rsidRDefault="00000000">
      <w:pPr>
        <w:pStyle w:val="BodyText"/>
      </w:pPr>
      <m:oMathPara>
        <m:oMathParaPr>
          <m:jc m:val="center"/>
        </m:oMathParaP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r>
                <m:rPr>
                  <m:sty m:val="p"/>
                </m:rPr>
                <w:rPr>
                  <w:rFonts w:ascii="Cambria Math" w:hAnsi="Cambria Math"/>
                </w:rPr>
                <m:t>,</m:t>
              </m:r>
              <m:r>
                <m:rPr>
                  <m:sty m:val="bi"/>
                </m:rPr>
                <w:rPr>
                  <w:rFonts w:ascii="Cambria Math" w:hAnsi="Cambria Math"/>
                </w:rPr>
                <m:t>S</m:t>
              </m:r>
            </m:e>
          </m:d>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e>
              </m:d>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sub>
                <m:sup>
                  <m:r>
                    <w:rPr>
                      <w:rFonts w:ascii="Cambria Math" w:hAnsi="Cambria Math"/>
                    </w:rPr>
                    <m:t>​</m:t>
                  </m:r>
                </m:sup>
                <m:e>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e>
                  </m:d>
                </m:e>
              </m:nary>
            </m:den>
          </m:f>
        </m:oMath>
      </m:oMathPara>
    </w:p>
    <w:p w14:paraId="3C0F488F" w14:textId="77777777" w:rsidR="00CB3150" w:rsidRDefault="00000000">
      <w:r>
        <w:t>Scores and group memberships remain fixed across draws. Only the set of candidates still eligible to be drawn changes. The final outcome is</w:t>
      </w:r>
    </w:p>
    <w:p w14:paraId="315F6380"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3378FF44" w14:textId="77777777" w:rsidR="00CB3150" w:rsidRDefault="00000000">
      <w:r>
        <w:lastRenderedPageBreak/>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43E59E68"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5AFAD94A" w14:textId="77777777" w:rsidR="00CB3150" w:rsidRDefault="00000000">
      <w:pPr>
        <w:pStyle w:val="Heading2"/>
      </w:pPr>
      <w:bookmarkStart w:id="13" w:name="limits-and-score-units"/>
      <w:bookmarkEnd w:id="12"/>
      <w:r>
        <w:t>4.3.3 Limits and score units</w:t>
      </w:r>
    </w:p>
    <w:p w14:paraId="646EE018" w14:textId="77777777" w:rsidR="00CB3150" w:rsidRDefault="00000000">
      <w:r>
        <w:t>The rule makes the comparison between two remaining candidates explicit. Their next-draw probability ratio is</w:t>
      </w:r>
    </w:p>
    <w:p w14:paraId="0C97EE5C"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S</m:t>
                  </m:r>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S</m:t>
                  </m:r>
                </m:e>
              </m:d>
            </m:den>
          </m:f>
          <m:r>
            <m:rPr>
              <m:sty m:val="p"/>
            </m:rPr>
            <w:rPr>
              <w:rFonts w:ascii="Cambria Math" w:hAnsi="Cambria Math"/>
            </w: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oMath>
      </m:oMathPara>
    </w:p>
    <w:p w14:paraId="3B9FF9A4" w14:textId="77777777" w:rsidR="00CB3150" w:rsidRDefault="00000000">
      <w:r>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0338E797"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39194B9F" w14:textId="77777777" w:rsidR="00CB3150" w:rsidRDefault="00000000">
      <w:pPr>
        <w:pStyle w:val="BodyText"/>
      </w:pPr>
      <w:r>
        <w:lastRenderedPageBreak/>
        <w:t>The mathematical definition applies without clipping scores or reducing the stipulated capacity. Appendix 4A documents qualifications needed when interpreting legacy software and distinguishes those implementations from this rule.</w:t>
      </w:r>
    </w:p>
    <w:p w14:paraId="1A76DC59" w14:textId="77777777" w:rsidR="00CB3150" w:rsidRDefault="00000000">
      <w:pPr>
        <w:pStyle w:val="Heading1"/>
      </w:pPr>
      <w:bookmarkStart w:id="14" w:name="introducing-local-competitive-congestion"/>
      <w:bookmarkEnd w:id="9"/>
      <w:bookmarkEnd w:id="13"/>
      <w:r>
        <w:t>4.4 Introducing local competitive congestion</w:t>
      </w:r>
    </w:p>
    <w:p w14:paraId="5CEFF4AF" w14:textId="77777777" w:rsidR="00CB3150" w:rsidRDefault="00000000">
      <w:r>
        <w:t xml:space="preserve">The two models so far allow performance and uncertainty to determine selection, but leave group membership irrelevant to an individual’s score. They would treat the same person identically after a move to a different group, provided that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stayed unchanged. We now ask whether that is a sufficient account of advancement when individuals work and become visible alongside others.</w:t>
      </w:r>
    </w:p>
    <w:p w14:paraId="7C8AB9CF" w14:textId="77777777" w:rsidR="00CB3150" w:rsidRDefault="00000000">
      <w:pPr>
        <w:pStyle w:val="BodyText"/>
      </w:pPr>
      <w:r>
        <w:t>Strong peers can offer learning, collaboration, and access to productive activities. They can also compete for limited attention, responsibility, and distinction. We isolate this competitive side of the environment while holding the performance values entering selection fixed. A separate developmental benefit function is an additional extension, but outside the present specification. Our question is whether local competition can change the standing with which individuals enter a broader selection process, even without reducing their measured performance.</w:t>
      </w:r>
    </w:p>
    <w:p w14:paraId="71072B0A" w14:textId="77777777" w:rsidR="00CB3150" w:rsidRDefault="00000000">
      <w:pPr>
        <w:pStyle w:val="BodyText"/>
      </w:pPr>
      <w:r>
        <w:t xml:space="preserve">We need to distinguish how much congestion an individual encounters from how strongly that congestion affects their competitive standing.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measure the congestion experienced by individual </w:t>
      </w:r>
      <m:oMath>
        <m:r>
          <w:rPr>
            <w:rFonts w:ascii="Cambria Math" w:hAnsi="Cambria Math"/>
          </w:rPr>
          <m:t>i</m:t>
        </m:r>
      </m:oMath>
      <w:r>
        <w:t xml:space="preserve">, and let </w:t>
      </w:r>
      <m:oMath>
        <m:r>
          <w:rPr>
            <w:rFonts w:ascii="Cambria Math" w:hAnsi="Cambria Math"/>
          </w:rPr>
          <m:t>λ</m:t>
        </m:r>
        <m:r>
          <m:rPr>
            <m:sty m:val="p"/>
          </m:rPr>
          <w:rPr>
            <w:rFonts w:ascii="Cambria Math" w:hAnsi="Cambria Math"/>
          </w:rPr>
          <m:t>≥</m:t>
        </m:r>
        <m:r>
          <w:rPr>
            <w:rFonts w:ascii="Cambria Math" w:hAnsi="Cambria Math"/>
          </w:rPr>
          <m:t>0</m:t>
        </m:r>
      </m:oMath>
      <w:r>
        <w:t xml:space="preserve"> control the strength of its effect on the selection score. The adjustment is therefore </w:t>
      </w:r>
      <m:oMath>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oMath>
      <w:r>
        <w:t>, giving …</w:t>
      </w:r>
    </w:p>
    <w:p w14:paraId="3B0B0D9A"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3215A73C" w14:textId="77777777" w:rsidR="00CB3150" w:rsidRDefault="00000000">
      <w:r>
        <w:t xml:space="preserve">The definition of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changes as we develop the model. It first summarizes average performance and later the concentration of credible competitors. The index </w:t>
      </w:r>
      <m:oMath>
        <m:r>
          <w:rPr>
            <w:rFonts w:ascii="Cambria Math" w:hAnsi="Cambria Math"/>
          </w:rPr>
          <m:t>i</m:t>
        </m:r>
      </m:oMath>
      <w:r>
        <w:t xml:space="preserve"> identifies whose score receives the adjustment; it does not require that every individual receive a different value. When congestion is shared by everyone in group </w:t>
      </w:r>
      <m:oMath>
        <m:r>
          <w:rPr>
            <w:rFonts w:ascii="Cambria Math" w:hAnsi="Cambria Math"/>
          </w:rPr>
          <m:t>j</m:t>
        </m:r>
      </m:oMath>
      <w:r>
        <w:t xml:space="preserve">, we write that group value as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set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The naïve model in Section 4.2 has no congestion term; setting </w:t>
      </w:r>
      <m:oMath>
        <m:r>
          <w:rPr>
            <w:rFonts w:ascii="Cambria Math" w:hAnsi="Cambria Math"/>
          </w:rPr>
          <m:t>λ</m:t>
        </m:r>
        <m:r>
          <m:rPr>
            <m:sty m:val="p"/>
          </m:rPr>
          <w:rPr>
            <w:rFonts w:ascii="Cambria Math" w:hAnsi="Cambria Math"/>
          </w:rPr>
          <m:t>=</m:t>
        </m:r>
        <m:r>
          <w:rPr>
            <w:rFonts w:ascii="Cambria Math" w:hAnsi="Cambria Math"/>
          </w:rPr>
          <m:t>0</m:t>
        </m:r>
      </m:oMath>
      <w:r>
        <w:t xml:space="preserve"> recovers its score.</w:t>
      </w:r>
    </w:p>
    <w:p w14:paraId="03BD7DEB" w14:textId="77777777" w:rsidR="00CB3150" w:rsidRDefault="00000000">
      <w:pPr>
        <w:pStyle w:val="Heading2"/>
      </w:pPr>
      <w:bookmarkStart w:id="15" w:name="Xfcdd4f2c4319546fc0ffa163bb157420eb9d8c3"/>
      <w:r>
        <w:t>4.4.1 A first approximation using average peer performance</w:t>
      </w:r>
    </w:p>
    <w:p w14:paraId="17946109" w14:textId="77777777" w:rsidR="00CB3150" w:rsidRDefault="00000000">
      <w:r>
        <w:t xml:space="preserve">A simple starting point is to summarize the strength of the other individuals in a person’s group. If stronger peers make distinction more difficult, average peer performance supplies an initial </w:t>
      </w:r>
      <w:r>
        <w:lastRenderedPageBreak/>
        <w:t>approximation to competitive pressure. Excluding the focal individual keeps this environmental summary separate from their own performance.</w:t>
      </w:r>
    </w:p>
    <w:p w14:paraId="325B66BE" w14:textId="77777777" w:rsidR="00CB3150" w:rsidRDefault="00000000">
      <w:pPr>
        <w:pStyle w:val="BodyText"/>
      </w:pPr>
      <w:r>
        <w:t>For a group with more than one member, define the leave-one-out peer average by</w:t>
      </w:r>
    </w:p>
    <w:p w14:paraId="7781640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oMath>
      </m:oMathPara>
    </w:p>
    <w:p w14:paraId="39E68A87" w14:textId="77777777" w:rsidR="00CB3150" w:rsidRDefault="00000000">
      <w:r>
        <w:t xml:space="preserve">The label LOO means leave one out. The sum runs over individuals in </w:t>
      </w:r>
      <m:oMath>
        <m:r>
          <w:rPr>
            <w:rFonts w:ascii="Cambria Math" w:hAnsi="Cambria Math"/>
          </w:rPr>
          <m:t>i</m:t>
        </m:r>
      </m:oMath>
      <w:r>
        <w:t xml:space="preserve">’s group other than </w:t>
      </w:r>
      <m:oMath>
        <m:r>
          <w:rPr>
            <w:rFonts w:ascii="Cambria Math" w:hAnsi="Cambria Math"/>
          </w:rPr>
          <m:t>i</m:t>
        </m:r>
      </m:oMath>
      <w:r>
        <w:t xml:space="preserve">. Because a different person is excluded for each calculation, members of the same group can receive different congestion values. A singleton has no peer average and requires separate treatment rather than an assigned value of zero. In this specification, the score is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w:t>
      </w:r>
    </w:p>
    <w:p w14:paraId="5C5D22CD" w14:textId="77777777" w:rsidR="00CB3150" w:rsidRDefault="00000000">
      <w:pPr>
        <w:pStyle w:val="BodyText"/>
      </w:pPr>
      <w:r>
        <w:t xml:space="preserve">Alternatively, we can treat the group’s average performance as a shared environment. Let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denote the mean of </w:t>
      </w:r>
      <m:oMath>
        <m:r>
          <w:rPr>
            <w:rFonts w:ascii="Cambria Math" w:hAnsi="Cambria Math"/>
          </w:rPr>
          <m:t>A</m:t>
        </m:r>
      </m:oMath>
      <w:r>
        <w:t xml:space="preserve"> over every member of group </w:t>
      </w:r>
      <m:oMath>
        <m:r>
          <w:rPr>
            <w:rFonts w:ascii="Cambria Math" w:hAnsi="Cambria Math"/>
          </w:rPr>
          <m:t>j</m:t>
        </m:r>
      </m:oMath>
      <w:r>
        <w:t>, including the focal individual. The corresponding quality-based congestion measure is</w:t>
      </w:r>
    </w:p>
    <w:p w14:paraId="7C0CF06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oMath>
      </m:oMathPara>
    </w:p>
    <w:p w14:paraId="1770A3A0" w14:textId="77777777" w:rsidR="00CB3150" w:rsidRDefault="00000000">
      <w:r>
        <w:t xml:space="preserve">Here </w:t>
      </w:r>
      <m:oMath>
        <m:r>
          <w:rPr>
            <w:rFonts w:ascii="Cambria Math" w:hAnsi="Cambria Math"/>
          </w:rPr>
          <m:t>Q</m:t>
        </m:r>
      </m:oMath>
      <w:r>
        <w:t xml:space="preserve"> labels the use of average group performance, or group quality, as the congestion approximation. For every individual in group </w:t>
      </w:r>
      <m:oMath>
        <m:r>
          <w:rPr>
            <w:rFonts w:ascii="Cambria Math" w:hAnsi="Cambria Math"/>
          </w:rPr>
          <m:t>j</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and the score is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oMath>
      <w:r>
        <w:t xml:space="preserve">. The two symbols have distinct roles: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 mean, whereas </w:t>
      </w:r>
      <m:oMath>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oMath>
      <w:r>
        <w:t xml:space="preserve"> identifies its use as the congestion term in an individual’s score.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will serve as the final group mean when we measure sorting and as an evolving centroid while we construct groups.</w:t>
      </w:r>
    </w:p>
    <w:p w14:paraId="5741E7BF" w14:textId="77777777" w:rsidR="00CB3150" w:rsidRDefault="00000000">
      <w:pPr>
        <w:pStyle w:val="BodyText"/>
      </w:pPr>
      <w:r>
        <w:t xml:space="preserve">The difference 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647430"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26CA1B33" w14:textId="77777777" w:rsidR="00CB3150" w:rsidRDefault="00000000">
      <w:r>
        <w:t xml:space="preserve">Thus including or excluding the focal individual is a modeling choice, rather than two names for the same quantity. Both specifications make average performance the basis of the congestion adjustment. At positive </w:t>
      </w:r>
      <m:oMath>
        <m:r>
          <w:rPr>
            <w:rFonts w:ascii="Cambria Math" w:hAnsi="Cambria Math"/>
          </w:rPr>
          <m:t>λ</m:t>
        </m:r>
      </m:oMath>
      <w:r>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can enter selection with different scores because their environments differ. Applying either the deterministic or stochastic selection rule then converts those scores into outcomes.</w:t>
      </w:r>
    </w:p>
    <w:p w14:paraId="32822B20" w14:textId="77777777" w:rsidR="00CB3150" w:rsidRDefault="00000000">
      <w:pPr>
        <w:pStyle w:val="BodyText"/>
      </w:pPr>
      <w:r>
        <w:lastRenderedPageBreak/>
        <w:t xml:space="preserve">These are relative adjustments. If </w:t>
      </w:r>
      <m:oMath>
        <m:r>
          <w:rPr>
            <w:rFonts w:ascii="Cambria Math" w:hAnsi="Cambria Math"/>
          </w:rPr>
          <m:t>A</m:t>
        </m:r>
      </m:oMath>
      <w:r>
        <w:t xml:space="preserve"> is standardized, a negative average raises 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statement that stronger peers impose a disadvantage concerns comparisons at fixed own performance, not a claim that these elementary measures are always positive absolute burdens. We introduce them as explanatory benchmarks; the completed experiments reported later use the refined congestion measure below. The numerical meaning of </w:t>
      </w:r>
      <m:oMath>
        <m:r>
          <w:rPr>
            <w:rFonts w:ascii="Cambria Math" w:hAnsi="Cambria Math"/>
          </w:rPr>
          <m:t>λ</m:t>
        </m:r>
      </m:oMath>
      <w:r>
        <w:t xml:space="preserve"> depends on the congestion definition and its scale, so retaining the same symbol does not imply that a fitted or chosen value transfers unchanged between specifications.</w:t>
      </w:r>
    </w:p>
    <w:p w14:paraId="46BD3BEC" w14:textId="77777777" w:rsidR="00CB3150" w:rsidRDefault="00000000">
      <w:pPr>
        <w:pStyle w:val="Heading2"/>
      </w:pPr>
      <w:bookmarkStart w:id="16" w:name="Xdc28eb0d9af23d26594087763702d6632d638b0"/>
      <w:bookmarkEnd w:id="15"/>
      <w:r>
        <w:t>4.4.2 From average peers to credible competitors</w:t>
      </w:r>
    </w:p>
    <w:p w14:paraId="64B0A9A5" w14:textId="77777777" w:rsidR="00CB3150" w:rsidRDefault="00000000">
      <w:r>
        <w:t>Average performance does not distinguish which group members are plausible candidates for an opportunity. Raising the performance of a person far below a relevant level changes the average even if that person remains unlikely to compete for advancement. Two groups can also have the same average while differing in how many members occupy the range from which credible candidates emerge. To represent that distinction, we next ask how much each member contributes to the competitive field.</w:t>
      </w:r>
    </w:p>
    <w:p w14:paraId="686901C5" w14:textId="77777777" w:rsidR="00CB3150" w:rsidRDefault="00000000">
      <w:pPr>
        <w:pStyle w:val="BodyText"/>
      </w:pPr>
      <w:r>
        <w:t xml:space="preserve">We introduce a common performance threshold </w:t>
      </w:r>
      <m:oMath>
        <m:r>
          <w:rPr>
            <w:rFonts w:ascii="Cambria Math" w:hAnsi="Cambria Math"/>
          </w:rPr>
          <m:t>θ</m:t>
        </m:r>
      </m:oMath>
      <w:r>
        <w:t xml:space="preserve"> around which a member becomes competitively relevant. A sharp cutoff would classify members immediately below and above it very differently. Instead, a smooth transition allows relevance to increase gradually. 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represent member </w:t>
      </w:r>
      <m:oMath>
        <m:r>
          <w:rPr>
            <w:rFonts w:ascii="Cambria Math" w:hAnsi="Cambria Math"/>
          </w:rPr>
          <m:t>h</m:t>
        </m:r>
      </m:oMath>
      <w:r>
        <w:t xml:space="preserve">’s degree of competitive relevance, on a scale from zero to one. We use a logistic function, denoted by </w:t>
      </w:r>
      <m:oMath>
        <m:r>
          <w:rPr>
            <w:rFonts w:ascii="Cambria Math" w:hAnsi="Cambria Math"/>
          </w:rPr>
          <m:t>σ</m:t>
        </m:r>
      </m:oMath>
      <w:r>
        <w:t xml:space="preserve">, to make relevance increase smoothly around </w:t>
      </w:r>
      <m:oMath>
        <m:r>
          <w:rPr>
            <w:rFonts w:ascii="Cambria Math" w:hAnsi="Cambria Math"/>
          </w:rPr>
          <m:t>θ</m:t>
        </m:r>
      </m:oMath>
      <w:r>
        <w:t xml:space="preserve">. A positive parameter </w:t>
      </w:r>
      <m:oMath>
        <m:r>
          <w:rPr>
            <w:rFonts w:ascii="Cambria Math" w:hAnsi="Cambria Math"/>
          </w:rPr>
          <m:t>γ</m:t>
        </m:r>
      </m:oMath>
      <w:r>
        <w:t xml:space="preserve"> controls how abruptly this transition occurs: larger values produce a sharper transition.</w:t>
      </w:r>
    </w:p>
    <w:p w14:paraId="1F75D2D0"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oMath>
      </m:oMathPara>
    </w:p>
    <w:p w14:paraId="06252CCA" w14:textId="77777777" w:rsidR="00CB3150" w:rsidRDefault="00000000">
      <w:r>
        <w:t xml:space="preserve">Here </w:t>
      </w:r>
      <m:oMath>
        <m:r>
          <w:rPr>
            <w:rFonts w:ascii="Cambria Math" w:hAnsi="Cambria Math"/>
          </w:rPr>
          <m:t>θ</m:t>
        </m:r>
      </m:oMath>
      <w:r>
        <w:t xml:space="preserve"> locates the transition and </w:t>
      </w:r>
      <m:oMath>
        <m:r>
          <w:rPr>
            <w:rFonts w:ascii="Cambria Math" w:hAnsi="Cambria Math"/>
          </w:rPr>
          <m:t>γ</m:t>
        </m:r>
        <m:r>
          <m:rPr>
            <m:sty m:val="p"/>
          </m:rPr>
          <w:rPr>
            <w:rFonts w:ascii="Cambria Math" w:hAnsi="Cambria Math"/>
          </w:rPr>
          <m:t>&gt;</m:t>
        </m:r>
        <m:r>
          <w:rPr>
            <w:rFonts w:ascii="Cambria Math" w:hAnsi="Cambria Math"/>
          </w:rPr>
          <m:t>0</m:t>
        </m:r>
      </m:oMath>
      <w:r>
        <w:t xml:space="preserve"> controls its sharpness. A member at </w:t>
      </w:r>
      <m:oMath>
        <m:r>
          <w:rPr>
            <w:rFonts w:ascii="Cambria Math" w:hAnsi="Cambria Math"/>
          </w:rPr>
          <m:t>θ</m:t>
        </m:r>
      </m:oMath>
      <w:r>
        <w:t xml:space="preserve"> contributes one half. Members far below it contribute little, and members far above it contribute nearly one. Saturation expresses the idea that an exceptionally high score does not generate an unlimited competitive burden.</w:t>
      </w:r>
    </w:p>
    <w:p w14:paraId="5B33EFD6" w14:textId="77777777" w:rsidR="00CB3150" w:rsidRDefault="00000000">
      <w:pPr>
        <w:pStyle w:val="BodyText"/>
      </w:pPr>
      <w:r>
        <w:t xml:space="preserve">This threshold refers to a common region of competitive relevance. It is not defined by whether a peer individually outperforms the focal person. Nor is it automatically the top-K selection cutoff: </w:t>
      </w:r>
      <m:oMath>
        <m:r>
          <w:rPr>
            <w:rFonts w:ascii="Cambria Math" w:hAnsi="Cambria Math"/>
          </w:rPr>
          <w:lastRenderedPageBreak/>
          <m:t>θ</m:t>
        </m:r>
      </m:oMath>
      <w:r>
        <w:t xml:space="preserve"> governs who contributes to local congestion, whereas </w:t>
      </w:r>
      <m:oMath>
        <m:r>
          <w:rPr>
            <w:rFonts w:ascii="Cambria Math" w:hAnsi="Cambria Math"/>
          </w:rPr>
          <m:t>K</m:t>
        </m:r>
      </m:oMath>
      <w:r>
        <w:t xml:space="preserve"> governs how many opportunities are awarded across the selection population. Their interaction is examined in Section 4.5.</w:t>
      </w:r>
    </w:p>
    <w:p w14:paraId="7284D641" w14:textId="77777777" w:rsidR="00CB3150" w:rsidRDefault="0000000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Selection temperature concerns uncertainty in choosing winners given scores. The sigmoid concerns how performance contributes to congestion before those scores enter selection. Keeping the two roles explicit allows each assumption to be examined separately.</w:t>
      </w:r>
    </w:p>
    <w:p w14:paraId="6D1C82EE" w14:textId="77777777" w:rsidR="00CB3150" w:rsidRDefault="00000000">
      <w:pPr>
        <w:pStyle w:val="Heading2"/>
      </w:pPr>
      <w:bookmarkStart w:id="17" w:name="Xc082d50cc048025a16853c6d31ad799bd4fde31"/>
      <w:bookmarkEnd w:id="16"/>
      <w:r>
        <w:t>4.4.3 Aggregating competitive relevance into a group adjustment</w:t>
      </w:r>
    </w:p>
    <w:p w14:paraId="79D7E64F" w14:textId="77777777" w:rsidR="00CB3150" w:rsidRDefault="00000000">
      <w:r>
        <w:t>Having specified each member’s contribution, we need to decide how those contributions describe the local environment. The refined model represents the concentration of credible candidates in a group through their mean contribution:</w:t>
      </w:r>
    </w:p>
    <w:p w14:paraId="6AAB5CA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θ</m:t>
              </m:r>
              <m:r>
                <m:rPr>
                  <m:sty m:val="p"/>
                </m:rPr>
                <w:rPr>
                  <w:rFonts w:ascii="Cambria Math" w:hAnsi="Cambria Math"/>
                </w:rPr>
                <m: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oMath>
      </m:oMathPara>
    </w:p>
    <w:p w14:paraId="4B0E91E4" w14:textId="77777777" w:rsidR="00CB3150" w:rsidRDefault="00000000">
      <w:r>
        <w:t xml:space="preserve">Like the full-team performance average </w:t>
      </w:r>
      <m:oMath>
        <m:sSub>
          <m:sSubPr>
            <m:ctrlPr>
              <w:rPr>
                <w:rFonts w:ascii="Cambria Math" w:hAnsi="Cambria Math"/>
              </w:rPr>
            </m:ctrlPr>
          </m:sSubPr>
          <m:e>
            <m:r>
              <w:rPr>
                <w:rFonts w:ascii="Cambria Math" w:hAnsi="Cambria Math"/>
              </w:rPr>
              <m:t>C</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definition includes every member and gives the same congestion value to everyone in a group. It replaces average performance with average competitive relevance. Compared with the initial leave-one-out measure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it changes both what is averaged and whether the focal individual is included. This describes competitive concentration in the local setting; it is not a literal count of each person’s other competitors.</w:t>
      </w:r>
    </w:p>
    <w:p w14:paraId="08FFB125" w14:textId="77777777" w:rsidR="00CB3150" w:rsidRDefault="00000000">
      <w:pPr>
        <w:pStyle w:val="BodyText"/>
      </w:pPr>
      <w:r>
        <w:t>A leave-one-out average of competitive relevance would instead equal</w:t>
      </w:r>
    </w:p>
    <w:p w14:paraId="543B9FB3"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r>
            <m:rPr>
              <m:sty m:val="p"/>
            </m:rPr>
            <w:rPr>
              <w:rFonts w:ascii="Cambria Math" w:hAnsi="Cambria Math"/>
            </w:rPr>
            <m:t>.</m:t>
          </m:r>
        </m:oMath>
      </m:oMathPara>
    </w:p>
    <w:p w14:paraId="0E6A65E7" w14:textId="77777777" w:rsidR="00CB3150" w:rsidRDefault="00000000">
      <w:r>
        <w:t xml:space="preserve">That alternative averages the transformed contributions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whereas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averages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itself. They are different quantities. We retain the full-group definition for the refined model and the completed experiments described here. The earlier mean-performance specifications are conceptual stepping stones, not algebraically identical forms of the refined score.</w:t>
      </w:r>
    </w:p>
    <w:p w14:paraId="22D41A86" w14:textId="77777777" w:rsidR="00CB3150" w:rsidRDefault="00000000">
      <w:pPr>
        <w:pStyle w:val="BodyText"/>
      </w:pPr>
      <w:r>
        <w:lastRenderedPageBreak/>
        <w:t xml:space="preserve">For finite inputs and positive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lies strictly between zero and one. It is a smooth proportion of competitively relevant members. Replicating a group’s characteristic distribution at a larger size leaves this mean unchanged. With fixed equal group sizes, number and concentration move together; with unequal sizes, a count and a mean would represent different assumptions about the burden of competition.</w:t>
      </w:r>
    </w:p>
    <w:p w14:paraId="3E0A44B9" w14:textId="77777777" w:rsidR="00CB3150" w:rsidRDefault="00000000">
      <w:pPr>
        <w:pStyle w:val="BodyText"/>
      </w:pPr>
      <w:r>
        <w:t>The refined competitive score is</w:t>
      </w:r>
    </w:p>
    <w:p w14:paraId="2AFB2FF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oMath>
      </m:oMathPara>
    </w:p>
    <w:p w14:paraId="016C10DE" w14:textId="77777777" w:rsidR="00CB3150" w:rsidRDefault="00000000">
      <w:r>
        <w:t xml:space="preserve">The coefficient </w:t>
      </w:r>
      <m:oMath>
        <m:r>
          <w:rPr>
            <w:rFonts w:ascii="Cambria Math" w:hAnsi="Cambria Math"/>
          </w:rPr>
          <m:t>λ</m:t>
        </m:r>
      </m:oMath>
      <w:r>
        <w:t xml:space="preserve"> ≥ 0 controls the congestion penalty, with </w:t>
      </w:r>
      <m:oMath>
        <m:r>
          <w:rPr>
            <w:rFonts w:ascii="Cambria Math" w:hAnsi="Cambria Math"/>
          </w:rPr>
          <m:t>λ</m:t>
        </m:r>
      </m:oMath>
      <w:r>
        <w:t xml:space="preserve"> = 0 recovering the performance-only benchmark. The coefficient in either elementary mean-performance score is not numerically interchangeable with </w:t>
      </w:r>
      <m:oMath>
        <m:r>
          <w:rPr>
            <w:rFonts w:ascii="Cambria Math" w:hAnsi="Cambria Math"/>
          </w:rPr>
          <m:t>λ</m:t>
        </m:r>
      </m:oMath>
      <w:r>
        <w:t xml:space="preserve"> here: the elementary measures average </w:t>
      </w:r>
      <m:oMath>
        <m:r>
          <w:rPr>
            <w:rFonts w:ascii="Cambria Math" w:hAnsi="Cambria Math"/>
          </w:rPr>
          <m:t>A</m:t>
        </m:r>
      </m:oMath>
      <w:r>
        <w:t xml:space="preserve">, while the refined measure averages competitive relevance. With standardized A and raw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w:t>
      </w:r>
      <m:oMath>
        <m:r>
          <w:rPr>
            <w:rFonts w:ascii="Cambria Math" w:hAnsi="Cambria Math"/>
          </w:rPr>
          <m:t>λ</m:t>
        </m:r>
      </m:oMath>
      <w:r>
        <w:t xml:space="preserve"> has units of standard deviations of A per unit of mean relevance. Unless an experiment states otherwise,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raw full-group mean above.</w:t>
      </w:r>
    </w:p>
    <w:p w14:paraId="29CFCAF9" w14:textId="77777777" w:rsidR="00CB3150" w:rsidRDefault="00000000">
      <w:pPr>
        <w:pStyle w:val="BodyText"/>
      </w:pPr>
      <w:r>
        <w:t>A lower score represents an adverse adjustment to standing in selection; it does not assert that the person’s recorded performance or learning declined. Attention, visibility, and sponsorship provide possible substantive channels. Group composition is the structure represented by the model, without separately specifying interpersonal ties or a dynamic influence process for those channels.</w:t>
      </w:r>
    </w:p>
    <w:p w14:paraId="23AA8063" w14:textId="77777777" w:rsidR="00CB3150" w:rsidRDefault="00000000">
      <w:pPr>
        <w:pStyle w:val="Heading2"/>
      </w:pPr>
      <w:bookmarkStart w:id="18" w:name="X6be0b98e308fb3b1e3a269c0b46a979e83043a9"/>
      <w:bookmarkEnd w:id="17"/>
      <w:r>
        <w:t>4.4.4 How local composition changes global comparisons</w:t>
      </w:r>
    </w:p>
    <w:p w14:paraId="5F0C1158"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6D02481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0B94071A" w14:textId="77777777" w:rsidR="00CB3150" w:rsidRDefault="00000000">
      <w:r>
        <w:t>Their ordering by A is preserved. Across different groups, however,</w:t>
      </w:r>
    </w:p>
    <w:p w14:paraId="48E13036"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02035133"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544ED33D" w14:textId="77777777" w:rsidR="00CB3150" w:rsidRDefault="00000000">
      <w:pPr>
        <w:pStyle w:val="BodyText"/>
      </w:pPr>
      <m:oMathPara>
        <m:oMathParaPr>
          <m:jc m:val="center"/>
        </m:oMathParaPr>
        <m:oMath>
          <m:r>
            <w:rPr>
              <w:rFonts w:ascii="Cambria Math" w:hAnsi="Cambria Math"/>
            </w:rPr>
            <w:lastRenderedPageBreak/>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6F0AB077" w14:textId="77777777" w:rsidR="00CB3150" w:rsidRDefault="00000000">
      <w:r>
        <w:t>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14:paraId="0820A5E4" w14:textId="77777777" w:rsidR="00CB3150" w:rsidRDefault="00000000">
      <w:pPr>
        <w:pStyle w:val="BodyText"/>
      </w:pPr>
      <w:r>
        <w:t>The selection population matters to this conclusion. If each local group instead had its own fixed quota and selected only among its own members, the common subtraction would cancel from within-group rankings and from the stochastic probabilities.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p w14:paraId="6788DB71" w14:textId="77777777" w:rsidR="00CB3150" w:rsidRDefault="00000000">
      <w:pPr>
        <w:pStyle w:val="Heading1"/>
      </w:pPr>
      <w:bookmarkStart w:id="19" w:name="X7a04dd235f4b61b299248b9776f1ec12743c145"/>
      <w:bookmarkEnd w:id="14"/>
      <w:bookmarkEnd w:id="18"/>
      <w:r>
        <w:t>4.5 Mathematical behavior and parameter regimes</w:t>
      </w:r>
    </w:p>
    <w:p w14:paraId="08576010" w14:textId="77777777" w:rsidR="00CB3150" w:rsidRDefault="00000000">
      <w:r>
        <w:t>The model now specifies how local competitive concentration changes scores and how scores determine selection. We next examine when that connection has consequential effects. A group adjustment may be substantial in absolute size yet leave rankings unchanged if it is nearly identical across groups. A change in ranking may in turn leave selection unchanged if it occurs far from the boundary. The following analysis separates the roles of relevance, penalty strength, scarcity, and uncertainty before interpreting outcome curves.</w:t>
      </w:r>
    </w:p>
    <w:p w14:paraId="1B0CE968" w14:textId="77777777" w:rsidR="00CB3150" w:rsidRDefault="00000000">
      <w:pPr>
        <w:pStyle w:val="Heading2"/>
      </w:pPr>
      <w:bookmarkStart w:id="20" w:name="X6d651838145b13eafa5e51df11b757b7c1070b2"/>
      <w:r>
        <w:t>4.5.1 Threshold location and transition sharpness</w:t>
      </w:r>
    </w:p>
    <w:p w14:paraId="5962F8F8" w14:textId="77777777" w:rsidR="00CB3150" w:rsidRDefault="00000000">
      <w:r>
        <w:t>The threshold determines which part of the performance distribution contributes most strongly to congestion. Transition sharpness determines how distinctly members on either side are differentiated. To see where small performance differences matter most to relevance, differentiate the contribution function:</w:t>
      </w:r>
    </w:p>
    <w:p w14:paraId="44F63928"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γ </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m:oMathPara>
    </w:p>
    <w:p w14:paraId="34FB7F0F" w14:textId="77777777" w:rsidR="00CB3150" w:rsidRDefault="00000000">
      <w:r>
        <w:lastRenderedPageBreak/>
        <w:t xml:space="preserve">Sensitivity is greatest at </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θ</m:t>
        </m:r>
      </m:oMath>
      <w:r>
        <w:t xml:space="preserve">, where it equals </w:t>
      </w:r>
      <m:oMath>
        <m:r>
          <w:rPr>
            <w:rFonts w:ascii="Cambria Math" w:hAnsi="Cambria Math"/>
          </w:rPr>
          <m:t>γ</m:t>
        </m:r>
        <m:r>
          <m:rPr>
            <m:sty m:val="p"/>
          </m:rPr>
          <w:rPr>
            <w:rFonts w:ascii="Cambria Math" w:hAnsi="Cambria Math"/>
          </w:rPr>
          <m:t>/</m:t>
        </m:r>
        <m:r>
          <w:rPr>
            <w:rFonts w:ascii="Cambria Math" w:hAnsi="Cambria Math"/>
          </w:rPr>
          <m:t>4</m:t>
        </m:r>
      </m:oMath>
      <w:r>
        <w:t xml:space="preserve">, and declines toward either tail. The threshold determines where the transition occurs; </w:t>
      </w:r>
      <m:oMath>
        <m:r>
          <w:rPr>
            <w:rFonts w:ascii="Cambria Math" w:hAnsi="Cambria Math"/>
          </w:rPr>
          <m:t>γ</m:t>
        </m:r>
      </m:oMath>
      <w:r>
        <w:t xml:space="preserve"> determines its sharpness. Increasing </w:t>
      </w:r>
      <m:oMath>
        <m:r>
          <w:rPr>
            <w:rFonts w:ascii="Cambria Math" w:hAnsi="Cambria Math"/>
          </w:rPr>
          <m:t>γ</m:t>
        </m:r>
      </m:oMath>
      <w:r>
        <w:t xml:space="preserve"> raises contributions for members above </w:t>
      </w:r>
      <m:oMath>
        <m:r>
          <w:rPr>
            <w:rFonts w:ascii="Cambria Math" w:hAnsi="Cambria Math"/>
          </w:rPr>
          <m:t>θ</m:t>
        </m:r>
      </m:oMath>
      <w:r>
        <w:t xml:space="preserve"> and lowers them for members below </w:t>
      </w:r>
      <m:oMath>
        <m:r>
          <w:rPr>
            <w:rFonts w:ascii="Cambria Math" w:hAnsi="Cambria Math"/>
          </w:rPr>
          <m:t>θ</m:t>
        </m:r>
      </m:oMath>
      <w:r>
        <w:t>. Its effect on a group’s average therefore depends on that group’s composition and need not have the same sign in every group.</w:t>
      </w:r>
    </w:p>
    <w:p w14:paraId="2F463FE3" w14:textId="77777777" w:rsidR="00CB3150" w:rsidRDefault="00000000">
      <w:pPr>
        <w:pStyle w:val="BodyText"/>
      </w:pPr>
      <w:r>
        <w:t xml:space="preserve">Two limiting cases help locate the mechanism. As </w:t>
      </w:r>
      <m:oMath>
        <m:r>
          <w:rPr>
            <w:rFonts w:ascii="Cambria Math" w:hAnsi="Cambria Math"/>
          </w:rPr>
          <m:t>γ</m:t>
        </m:r>
      </m:oMath>
      <w:r>
        <w:t xml:space="preserve"> approaches zero with finite A and </w:t>
      </w:r>
      <m:oMath>
        <m:r>
          <w:rPr>
            <w:rFonts w:ascii="Cambria Math" w:hAnsi="Cambria Math"/>
          </w:rPr>
          <m:t>θ</m:t>
        </m:r>
      </m:oMath>
      <w:r>
        <w:t xml:space="preserve">, all contributions approach one half, so every group receives the same penalty </w:t>
      </w:r>
      <m:oMath>
        <m:r>
          <w:rPr>
            <w:rFonts w:ascii="Cambria Math" w:hAnsi="Cambria Math"/>
          </w:rPr>
          <m:t>λ</m:t>
        </m:r>
      </m:oMath>
      <w:r>
        <w:t xml:space="preserve">/2. Rankings and the stochastic selection probabilities are then those of the performance-only model. As </w:t>
      </w:r>
      <m:oMath>
        <m:r>
          <w:rPr>
            <w:rFonts w:ascii="Cambria Math" w:hAnsi="Cambria Math"/>
          </w:rPr>
          <m:t>γ</m:t>
        </m:r>
      </m:oMath>
      <w:r>
        <w:t xml:space="preserve"> becomes large, contributions approach one above </w:t>
      </w:r>
      <m:oMath>
        <m:r>
          <w:rPr>
            <w:rFonts w:ascii="Cambria Math" w:hAnsi="Cambria Math"/>
          </w:rPr>
          <m:t>θ</m:t>
        </m:r>
      </m:oMath>
      <w:r>
        <w:t xml:space="preserve"> and zero below </w:t>
      </w:r>
      <m:oMath>
        <m:r>
          <w:rPr>
            <w:rFonts w:ascii="Cambria Math" w:hAnsi="Cambria Math"/>
          </w:rPr>
          <m:t>θ</m:t>
        </m:r>
      </m:oMath>
      <w:r>
        <w:t xml:space="preserve">, with one half at exact equality. Congestion approaches a threshold-based fraction. Moving </w:t>
      </w:r>
      <m:oMath>
        <m:r>
          <w:rPr>
            <w:rFonts w:ascii="Cambria Math" w:hAnsi="Cambria Math"/>
          </w:rPr>
          <m:t>θ</m:t>
        </m:r>
      </m:oMath>
      <w:r>
        <w:t xml:space="preserve"> far below or far above the entire population likewise makes group contributions nearly constant, respectively near one or near zero, leaving little differential penalty across groups.</w:t>
      </w:r>
    </w:p>
    <w:p w14:paraId="350DAE59" w14:textId="77777777" w:rsidR="00CB3150" w:rsidRDefault="00000000">
      <w:pPr>
        <w:pStyle w:val="BodyText"/>
      </w:pPr>
      <w:r>
        <w:t xml:space="preserve">These are consequences of the equations, not findings from a parameter sweep. A useful congestion regime requires heterogeneity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as well as a positive </w:t>
      </w:r>
      <m:oMath>
        <m:r>
          <w:rPr>
            <w:rFonts w:ascii="Cambria Math" w:hAnsi="Cambria Math"/>
          </w:rPr>
          <m:t>λ</m:t>
        </m:r>
      </m:oMath>
      <w:r>
        <w:t>. A large coefficient cannot create cross-group differences when all groups have identical congestion.</w:t>
      </w:r>
    </w:p>
    <w:p w14:paraId="68E65FBA" w14:textId="77777777" w:rsidR="00CB3150" w:rsidRDefault="00000000">
      <w:pPr>
        <w:pStyle w:val="Heading2"/>
      </w:pPr>
      <w:bookmarkStart w:id="21" w:name="penalty-strength-and-score-scale"/>
      <w:bookmarkEnd w:id="20"/>
      <w:r>
        <w:t>4.5.2 Penalty strength and score scale</w:t>
      </w:r>
    </w:p>
    <w:p w14:paraId="68F342C7"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5755AED3" w14:textId="77777777" w:rsidR="00CB3150"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p>
    <w:p w14:paraId="0D20A906" w14:textId="77777777" w:rsidR="00CB3150" w:rsidRDefault="00000000">
      <w:pPr>
        <w:pStyle w:val="BodyText"/>
      </w:pPr>
      <w:r>
        <w:t xml:space="preserve">Full-group congestion also means that changing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while keeping the other members and </w:t>
      </w:r>
      <m:oMath>
        <m:r>
          <w:rPr>
            <w:rFonts w:ascii="Cambria Math" w:hAnsi="Cambria Math"/>
          </w:rPr>
          <m:t>θ</m:t>
        </m:r>
      </m:oMath>
      <w:r>
        <w:t xml:space="preserve"> fixed, changes both the direct score term and the shared group adjustment. In particular,</w:t>
      </w:r>
    </w:p>
    <w:p w14:paraId="390112E3"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793E61C8" w14:textId="77777777" w:rsidR="00CB3150" w:rsidRDefault="00000000">
      <w:r>
        <w:t xml:space="preserve">A sufficient condition for this derivative to remain positive is </w:t>
      </w:r>
      <m:oMath>
        <m:r>
          <w:rPr>
            <w:rFonts w:ascii="Cambria Math" w:hAnsi="Cambria Math"/>
          </w:rPr>
          <m:t>λγ</m:t>
        </m:r>
        <m:r>
          <m:rPr>
            <m:sty m:val="p"/>
          </m:rPr>
          <w:rPr>
            <w:rFonts w:ascii="Cambria Math" w:hAnsi="Cambria Math"/>
          </w:rPr>
          <m:t>&lt;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is a local score calculation under the stated fixed-input conditions, not an empirical restriction we have estimated. It also does not contradict preserved within-group rankings: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changes, the same altered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applied to every member of that group. The derivative makes clear why the phrase “holding own performance constant” is useful when interpreting an environmental comparison.</w:t>
      </w:r>
    </w:p>
    <w:p w14:paraId="693A3542" w14:textId="77777777" w:rsidR="00CB3150" w:rsidRDefault="00000000">
      <w:pPr>
        <w:pStyle w:val="Heading2"/>
      </w:pPr>
      <w:bookmarkStart w:id="22" w:name="scarcity-and-the-selection-margin"/>
      <w:bookmarkEnd w:id="21"/>
      <w:r>
        <w:t>4.5.3 Scarcity and the selection margin</w:t>
      </w:r>
    </w:p>
    <w:p w14:paraId="791A0BB3" w14:textId="77777777" w:rsidR="00CB3150" w:rsidRDefault="00000000">
      <w:r>
        <w:t xml:space="preserve">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acts on the score distribution after congestion has been computed. Lowering </w:t>
      </w:r>
      <m:oMath>
        <m:r>
          <w:rPr>
            <w:rFonts w:ascii="Cambria Math" w:hAnsi="Cambria Math"/>
          </w:rPr>
          <m:t>K</m:t>
        </m:r>
      </m:oMath>
      <w:r>
        <w:t xml:space="preserve"> moves the deterministic boundary upward; it does not change the sigmoid threshold </w:t>
      </w:r>
      <m:oMath>
        <m:r>
          <w:rPr>
            <w:rFonts w:ascii="Cambria Math" w:hAnsi="Cambria Math"/>
          </w:rPr>
          <m:t>θ</m:t>
        </m:r>
      </m:oMath>
      <w:r>
        <w:t xml:space="preserve"> unless an experiment explicitly couples those quantities. The experiments discussed below held </w:t>
      </w:r>
      <m:oMath>
        <m:r>
          <w:rPr>
            <w:rFonts w:ascii="Cambria Math" w:hAnsi="Cambria Math"/>
          </w:rPr>
          <m:t>θ</m:t>
        </m:r>
      </m:oMath>
      <w:r>
        <w:t xml:space="preserve"> fixed when varying </w:t>
      </w:r>
      <m:oMath>
        <m:r>
          <w:rPr>
            <w:rFonts w:ascii="Cambria Math" w:hAnsi="Cambria Math"/>
          </w:rPr>
          <m:t>K</m:t>
        </m:r>
        <m:r>
          <m:rPr>
            <m:sty m:val="p"/>
          </m:rPr>
          <w:rPr>
            <w:rFonts w:ascii="Cambria Math" w:hAnsi="Cambria Math"/>
          </w:rPr>
          <m:t>/</m:t>
        </m:r>
        <m:r>
          <w:rPr>
            <w:rFonts w:ascii="Cambria Math" w:hAnsi="Cambria Math"/>
          </w:rPr>
          <m:t>N</m:t>
        </m:r>
      </m:oMath>
      <w:r>
        <w:t xml:space="preserve">. Treating </w:t>
      </w:r>
      <m:oMath>
        <m:r>
          <w:rPr>
            <w:rFonts w:ascii="Cambria Math" w:hAnsi="Cambria Math"/>
          </w:rPr>
          <m:t>θ</m:t>
        </m:r>
      </m:oMath>
      <w:r>
        <w:t xml:space="preserve"> and </w:t>
      </w:r>
      <m:oMath>
        <m:r>
          <w:rPr>
            <w:rFonts w:ascii="Cambria Math" w:hAnsi="Cambria Math"/>
          </w:rPr>
          <m:t>K</m:t>
        </m:r>
      </m:oMath>
      <w:r>
        <w:t xml:space="preserve"> as independent controls distinguishes who contributes to local congestion from how many people receive the global outcome.</w:t>
      </w:r>
    </w:p>
    <w:p w14:paraId="773FD35A" w14:textId="77777777" w:rsidR="00CB3150" w:rsidRDefault="00000000">
      <w:pPr>
        <w:pStyle w:val="BodyText"/>
      </w:pPr>
      <w:r>
        <w:t xml:space="preserve">Holding all scores fixed, lowering </w:t>
      </w:r>
      <m:oMath>
        <m:r>
          <w:rPr>
            <w:rFonts w:ascii="Cambria Math" w:hAnsi="Cambria Math"/>
          </w:rPr>
          <m:t>K</m:t>
        </m:r>
      </m:oMath>
      <w:r>
        <w:t xml:space="preserve"> yields a smaller selected set. Holding the same </w:t>
      </w:r>
      <m:oMath>
        <m:r>
          <w:rPr>
            <w:rFonts w:ascii="Cambria Math" w:hAnsi="Cambria Math"/>
          </w:rPr>
          <m:t>K</m:t>
        </m:r>
      </m:oMath>
      <w:r>
        <w:t xml:space="preserve"> while changing the congestion penalty asks a different question: which identities replace which others? If two conditions each select </w:t>
      </w:r>
      <m:oMath>
        <m:r>
          <w:rPr>
            <w:rFonts w:ascii="Cambria Math" w:hAnsi="Cambria Math"/>
          </w:rPr>
          <m:t>K</m:t>
        </m:r>
      </m:oMath>
      <w:r>
        <w:t xml:space="preserve"> individuals and their winner sets are W and W′, the number of replaced places is</w:t>
      </w:r>
    </w:p>
    <w:p w14:paraId="669C112A" w14:textId="77777777" w:rsidR="00CB3150"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num>
            <m:den>
              <m:r>
                <w:rPr>
                  <w:rFonts w:ascii="Cambria Math" w:hAnsi="Cambria Math"/>
                </w:rPr>
                <m:t>2</m:t>
              </m:r>
            </m:den>
          </m:f>
          <m:r>
            <m:rPr>
              <m:sty m:val="p"/>
            </m:rPr>
            <w:rPr>
              <w:rFonts w:ascii="Cambria Math" w:hAnsi="Cambria Math"/>
            </w:rPr>
            <m:t>.</m:t>
          </m:r>
        </m:oMath>
      </m:oMathPara>
    </w:p>
    <w:p w14:paraId="0C4B60A3" w14:textId="77777777" w:rsidR="00CB3150" w:rsidRDefault="00000000">
      <w:r>
        <w:t>D counts each lost-and-gained place once. D/K is the fraction of selected places that change. Fewer changed people under scarce selection can coexist with a larger fraction of available places changing hands. Both quantities are needed when assessing how much a mechanism matters.</w:t>
      </w:r>
    </w:p>
    <w:p w14:paraId="42C701AA" w14:textId="77777777" w:rsidR="00CB3150" w:rsidRDefault="00000000">
      <w:pPr>
        <w:pStyle w:val="BodyText"/>
      </w:pPr>
      <w:r>
        <w:t xml:space="preserve">Under stochastic selection, the total number of winners still equals </w:t>
      </w:r>
      <m:oMath>
        <m:r>
          <w:rPr>
            <w:rFonts w:ascii="Cambria Math" w:hAnsi="Cambria Math"/>
          </w:rPr>
          <m:t>K</m:t>
        </m:r>
      </m:oMath>
      <w:r>
        <w:t xml:space="preserve"> in every realization, while their identities vary. Temperature controls that uncertainty; scarcity controls the count. Neither parameter should be interpreted as a substitute for the other. For example, very high temperature produces uniform selection with inclusion probability </w:t>
      </w:r>
      <m:oMath>
        <m:r>
          <w:rPr>
            <w:rFonts w:ascii="Cambria Math" w:hAnsi="Cambria Math"/>
          </w:rPr>
          <m:t>K</m:t>
        </m:r>
        <m:r>
          <m:rPr>
            <m:sty m:val="p"/>
          </m:rPr>
          <w:rPr>
            <w:rFonts w:ascii="Cambria Math" w:hAnsi="Cambria Math"/>
          </w:rPr>
          <m:t>/</m:t>
        </m:r>
        <m:r>
          <w:rPr>
            <w:rFonts w:ascii="Cambria Math" w:hAnsi="Cambria Math"/>
          </w:rPr>
          <m:t>N</m:t>
        </m:r>
      </m:oMath>
      <w:r>
        <w:t xml:space="preserve">, whereas </w:t>
      </w:r>
      <m:oMath>
        <m:r>
          <w:rPr>
            <w:rFonts w:ascii="Cambria Math" w:hAnsi="Cambria Math"/>
          </w:rPr>
          <m:t>K</m:t>
        </m:r>
        <m:r>
          <m:rPr>
            <m:sty m:val="p"/>
          </m:rPr>
          <w:rPr>
            <w:rFonts w:ascii="Cambria Math" w:hAnsi="Cambria Math"/>
          </w:rPr>
          <m:t>=</m:t>
        </m:r>
        <m:r>
          <w:rPr>
            <w:rFonts w:ascii="Cambria Math" w:hAnsi="Cambria Math"/>
          </w:rPr>
          <m:t>N</m:t>
        </m:r>
      </m:oMath>
      <w:r>
        <w:t xml:space="preserve"> makes every candidate succeed at every temperature.</w:t>
      </w:r>
    </w:p>
    <w:p w14:paraId="6797B64A" w14:textId="77777777" w:rsidR="00CB3150" w:rsidRDefault="00000000">
      <w:pPr>
        <w:pStyle w:val="Heading2"/>
      </w:pPr>
      <w:bookmarkStart w:id="23" w:name="Xa069076e58659a3b4bc8e27a3dcbab40ab45238"/>
      <w:bookmarkEnd w:id="22"/>
      <w:r>
        <w:lastRenderedPageBreak/>
        <w:t>4.5.4 Why an outcome curve need not have a universal shape</w:t>
      </w:r>
    </w:p>
    <w:p w14:paraId="4239256D" w14:textId="77777777" w:rsidR="00CB3150" w:rsidRDefault="00000000">
      <w:r>
        <w:t>A 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t>
      </w:r>
    </w:p>
    <w:p w14:paraId="255D99B2" w14:textId="77777777" w:rsidR="00CB3150" w:rsidRDefault="00000000">
      <w:pPr>
        <w:pStyle w:val="BodyText"/>
      </w:pPr>
      <w:r>
        <w:t xml:space="preserve">Conditioning on a fixed band of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helps distinguish individual composition from variation in environments, but a broad band still contains differences in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t>
      </w:r>
    </w:p>
    <w:p w14:paraId="12DE0600" w14:textId="77777777" w:rsidR="00CB3150" w:rsidRDefault="00000000">
      <w:pPr>
        <w:pStyle w:val="BodyText"/>
      </w:pPr>
      <w:r>
        <w:t xml:space="preserve">An unconditional curve, a comparison within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curve.</w:t>
      </w:r>
    </w:p>
    <w:p w14:paraId="6A98FAA6" w14:textId="77777777" w:rsidR="00CB3150" w:rsidRDefault="00000000">
      <w:pPr>
        <w:pStyle w:val="Heading1"/>
      </w:pPr>
      <w:bookmarkStart w:id="24" w:name="Xace9f33b90814f9bd53ece6c999c09ae207edc6"/>
      <w:bookmarkEnd w:id="19"/>
      <w:bookmarkEnd w:id="23"/>
      <w:r>
        <w:t>4.6 Generating artificial groups with controlled sorting</w:t>
      </w:r>
    </w:p>
    <w:p w14:paraId="09D4AB8B" w14:textId="77777777" w:rsidR="00CB3150" w:rsidRDefault="00000000">
      <w:r>
        <w:t>Until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t>
      </w:r>
    </w:p>
    <w:p w14:paraId="3EC5A2ED" w14:textId="77777777" w:rsidR="00CB3150" w:rsidRDefault="00000000">
      <w:pPr>
        <w:pStyle w:val="Heading2"/>
      </w:pPr>
      <w:bookmarkStart w:id="25" w:name="why-an-assignment-mechanism-is-needed"/>
      <w:r>
        <w:t>4.6.1 Why an assignment mechanism is needed</w:t>
      </w:r>
    </w:p>
    <w:p w14:paraId="3F08371D" w14:textId="77777777" w:rsidR="00CB3150" w:rsidRDefault="00000000">
      <w:r>
        <w:t>The assignment mechanism supplies controlled group memberships for simulation. Observed rosters already provide memberships and do not require this step. We use artificial groups to investigate the consequences of composition, without claiming to predict every institutional process through which real groups form.</w:t>
      </w:r>
    </w:p>
    <w:p w14:paraId="39372548" w14:textId="77777777" w:rsidR="00CB3150" w:rsidRDefault="00000000">
      <w:pPr>
        <w:pStyle w:val="BodyText"/>
      </w:pPr>
      <w:r>
        <w:lastRenderedPageBreak/>
        <w:t xml:space="preserve">We represent membership as a bipartite network, with individuals on one side and groups on the other. Each individual has one membership edge during the modeled period. Group j must ultimately have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edges, preserving its specified roster capacity. Shared membership induces peer relationships in the individual projection, but the scoring mechanism can be evaluated directly from group membership without constructing that projection explicitly.</w:t>
      </w:r>
    </w:p>
    <w:p w14:paraId="139E1B84" w14:textId="77777777" w:rsidR="00CB3150" w:rsidRDefault="00000000">
      <w:pPr>
        <w:pStyle w:val="BodyText"/>
      </w:pPr>
      <w:r>
        <w: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The similarity term does not reward a group merely for having already acquired many members. A separate experiment that relaxes fixed roster sizes is a different model and is not silently substituted for the mechanism described here.</w:t>
      </w:r>
    </w:p>
    <w:p w14:paraId="3392610F" w14:textId="77777777" w:rsidR="00CB3150" w:rsidRDefault="00000000">
      <w:pPr>
        <w:pStyle w:val="Heading2"/>
      </w:pPr>
      <w:bookmarkStart w:id="26" w:name="X3819545970a9b5cccbdae8e4b8b7e3182042c91"/>
      <w:bookmarkEnd w:id="25"/>
      <w:r>
        <w:t>4.6.2 Sequential assignment with evolving centroids</w:t>
      </w:r>
    </w:p>
    <w:p w14:paraId="11A24894" w14:textId="77777777" w:rsidR="00CB3150" w:rsidRDefault="00000000">
      <w:r>
        <w:t xml:space="preserve">Before assignment, every group has zero members. Its centroid is initialized to the common population mean </w:t>
      </w:r>
      <m:oMath>
        <m:bar>
          <m:barPr>
            <m:pos m:val="top"/>
            <m:ctrlPr>
              <w:rPr>
                <w:rFonts w:ascii="Cambria Math" w:hAnsi="Cambria Math"/>
              </w:rPr>
            </m:ctrlPr>
          </m:barPr>
          <m:e>
            <m:r>
              <w:rPr>
                <w:rFonts w:ascii="Cambria Math" w:hAnsi="Cambria Math"/>
              </w:rPr>
              <m:t>A</m:t>
            </m:r>
          </m:e>
        </m:bar>
      </m:oMath>
      <w:r>
        <w:t xml:space="preserve">. Individuals are considered in randomized order. Let </w:t>
      </w:r>
      <m:oMath>
        <m:sSubSup>
          <m:sSubSupPr>
            <m:ctrlPr>
              <w:rPr>
                <w:rFonts w:ascii="Cambria Math" w:hAnsi="Cambria Math"/>
              </w:rPr>
            </m:ctrlPr>
          </m:sSubSupPr>
          <m:e>
            <m:r>
              <w:rPr>
                <w:rFonts w:ascii="Cambria Math" w:hAnsi="Cambria Math"/>
              </w:rPr>
              <m:t>R</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be the number of remaining places in group j at step m, and let </w:t>
      </w:r>
      <m:oMath>
        <m:sSubSup>
          <m:sSubSupPr>
            <m:ctrlPr>
              <w:rPr>
                <w:rFonts w:ascii="Cambria Math" w:hAnsi="Cambria Math"/>
              </w:rPr>
            </m:ctrlPr>
          </m:sSubSupPr>
          <m:e>
            <m:r>
              <w:rPr>
                <w:rFonts w:ascii="Cambria Math" w:hAnsi="Cambria Math"/>
              </w:rPr>
              <m:t>T</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be its centroid just before the next assignment. For the individual i arriving at that step, the assignment probability is</w:t>
      </w:r>
    </w:p>
    <w:p w14:paraId="19C71E39" w14:textId="77777777" w:rsidR="00CB315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exp(-</m:t>
              </m:r>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h</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den>
          </m:f>
        </m:oMath>
      </m:oMathPara>
    </w:p>
    <w:p w14:paraId="06DF3CFD" w14:textId="77777777" w:rsidR="00CB3150" w:rsidRDefault="00000000">
      <w:r>
        <w:t xml:space="preserve">A full group has zero remaining capacity and receives zero probability. The factor </w:t>
      </w:r>
      <m:oMath>
        <m:sSubSup>
          <m:sSubSupPr>
            <m:ctrlPr>
              <w:rPr>
                <w:rFonts w:ascii="Cambria Math" w:hAnsi="Cambria Math"/>
              </w:rPr>
            </m:ctrlPr>
          </m:sSubSupPr>
          <m:e>
            <m:r>
              <w:rPr>
                <w:rFonts w:ascii="Cambria Math" w:hAnsi="Cambria Math"/>
              </w:rPr>
              <m:t>R</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accounts for available slots; the exponential term favors similarity between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the current group centroid. The parameter ρ ≥ 0 controls that similarity preference. This capacity factor belongs to constrained allocation and should not be described as degree-based preferential attachment to already popular groups.</w:t>
      </w:r>
    </w:p>
    <w:p w14:paraId="3D3365F1" w14:textId="77777777" w:rsidR="00CB3150" w:rsidRDefault="00000000">
      <w:pPr>
        <w:pStyle w:val="BodyText"/>
      </w:pPr>
      <w:r>
        <w:t xml:space="preserve">When the first person joins a group, that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becomes its centroid. After every subsequent assignment, the centroid becomes the mean A of its current members. Once assignment ends,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 the final group mean, including all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members. Provided total capacity equals </w:t>
      </w:r>
      <m:oMath>
        <m:r>
          <w:rPr>
            <w:rFonts w:ascii="Cambria Math" w:hAnsi="Cambria Math"/>
          </w:rPr>
          <m:t>N</m:t>
        </m:r>
      </m:oMath>
      <w:r>
        <w:t>, the sequential procedure assigns every individual and fills every group exactly.</w:t>
      </w:r>
    </w:p>
    <w:p w14:paraId="77DA9295" w14:textId="77777777" w:rsidR="00CB3150" w:rsidRDefault="00000000">
      <w:pPr>
        <w:pStyle w:val="BodyText"/>
      </w:pPr>
      <w:r>
        <w:lastRenderedPageBreak/>
        <w:t xml:space="preserve">We introduce a nonnegative similarity-preference parameter </w:t>
      </w:r>
      <m:oMath>
        <m:r>
          <w:rPr>
            <w:rFonts w:ascii="Cambria Math" w:hAnsi="Cambria Math"/>
          </w:rPr>
          <m:t>ρ</m:t>
        </m:r>
      </m:oMath>
      <w:r>
        <w:t xml:space="preserve">. At </w:t>
      </w:r>
      <m:oMath>
        <m:r>
          <w:rPr>
            <w:rFonts w:ascii="Cambria Math" w:hAnsi="Cambria Math"/>
          </w:rPr>
          <m:t>ρ</m:t>
        </m:r>
        <m:r>
          <m:rPr>
            <m:sty m:val="p"/>
          </m:rPr>
          <w:rPr>
            <w:rFonts w:ascii="Cambria Math" w:hAnsi="Cambria Math"/>
          </w:rPr>
          <m:t>=</m:t>
        </m:r>
        <m:r>
          <w:rPr>
            <w:rFonts w:ascii="Cambria Math" w:hAnsi="Cambria Math"/>
          </w:rPr>
          <m:t>0</m:t>
        </m:r>
      </m:oMath>
      <w:r>
        <w:t xml:space="preserve">, assignment probabilities reduce to remaining capacity divided by the total remaining capacity. Choosing a group this way is equivalent to choosing uniformly among the remaining membership slots. Increasing </w:t>
      </w:r>
      <m:oMath>
        <m:r>
          <w:rPr>
            <w:rFonts w:ascii="Cambria Math" w:hAnsi="Cambria Math"/>
          </w:rPr>
          <m:t>ρ</m:t>
        </m:r>
      </m:oMath>
      <w:r>
        <w:t xml:space="preserve"> gives greater preference to groups whose current mean is closer to the arriving individual’s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Because the centroids evolve, the assignment order and random choices can affect the final partition.</w:t>
      </w:r>
    </w:p>
    <w:p w14:paraId="17365BA3" w14:textId="77777777" w:rsidR="00CB3150" w:rsidRDefault="00000000">
      <w:pPr>
        <w:pStyle w:val="Heading2"/>
      </w:pPr>
      <w:bookmarkStart w:id="27" w:name="preference-and-realized-sorting"/>
      <w:bookmarkEnd w:id="26"/>
      <w:r>
        <w:t>4.6.3 Preference and realized sorting</w:t>
      </w:r>
    </w:p>
    <w:p w14:paraId="1B663949" w14:textId="77777777" w:rsidR="00CB3150" w:rsidRDefault="00000000">
      <w:r>
        <w:t xml:space="preserve">The parameter </w:t>
      </w:r>
      <m:oMath>
        <m:r>
          <w:rPr>
            <w:rFonts w:ascii="Cambria Math" w:hAnsi="Cambria Math"/>
          </w:rPr>
          <m:t>ρ</m:t>
        </m:r>
      </m:oMath>
      <w:r>
        <w:t xml:space="preserve"> governs a generative preference. It does not directly measure the sorting realized in a completed population. We summarize realized sorting by </w:t>
      </w:r>
      <m:oMath>
        <m:sSub>
          <m:sSubPr>
            <m:ctrlPr>
              <w:rPr>
                <w:rFonts w:ascii="Cambria Math" w:hAnsi="Cambria Math"/>
              </w:rPr>
            </m:ctrlPr>
          </m:sSubPr>
          <m:e>
            <m:r>
              <w:rPr>
                <w:rFonts w:ascii="Cambria Math" w:hAnsi="Cambria Math"/>
              </w:rPr>
              <m:t>H</m:t>
            </m:r>
          </m:e>
          <m:sub>
            <m:r>
              <m:rPr>
                <m:sty m:val="p"/>
              </m:rPr>
              <w:rPr>
                <w:rFonts w:ascii="Cambria Math" w:hAnsi="Cambria Math"/>
              </w:rPr>
              <m:t>sort</m:t>
            </m:r>
          </m:sub>
        </m:sSub>
      </m:oMath>
      <w:r>
        <w:t xml:space="preserve">, the fraction of total variation in </w:t>
      </w:r>
      <m:oMath>
        <m:r>
          <w:rPr>
            <w:rFonts w:ascii="Cambria Math" w:hAnsi="Cambria Math"/>
          </w:rPr>
          <m:t>A</m:t>
        </m:r>
      </m:oMath>
      <w:r>
        <w:t xml:space="preserve"> attributable to differences between group means.</w:t>
      </w:r>
    </w:p>
    <w:p w14:paraId="3BB05A6B"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m:rPr>
                  <m:nor/>
                </m:rPr>
                <m:t>sort</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e>
                      </m:d>
                    </m:e>
                    <m:sup>
                      <m:r>
                        <w:rPr>
                          <w:rFonts w:ascii="Cambria Math" w:hAnsi="Cambria Math"/>
                        </w:rPr>
                        <m:t>2</m:t>
                      </m:r>
                    </m:sup>
                  </m:sSup>
                </m:e>
              </m:nary>
            </m:den>
          </m:f>
          <m:r>
            <m:rPr>
              <m:sty m:val="p"/>
            </m:rPr>
            <w:rPr>
              <w:rFonts w:ascii="Cambria Math" w:hAnsi="Cambria Math"/>
            </w:rPr>
            <m:t>,</m:t>
          </m:r>
        </m:oMath>
      </m:oMathPara>
    </w:p>
    <w:p w14:paraId="77899DD9" w14:textId="77777777" w:rsidR="00CB3150" w:rsidRDefault="00000000">
      <w:r>
        <w:t xml:space="preserve">Here,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identifies the group containing individual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is that group’s final mean of </w:t>
      </w:r>
      <m:oMath>
        <m:r>
          <w:rPr>
            <w:rFonts w:ascii="Cambria Math" w:hAnsi="Cambria Math"/>
          </w:rPr>
          <m:t>A</m:t>
        </m:r>
      </m:oMath>
      <w:r>
        <w:t xml:space="preserve">, including individual </w:t>
      </w:r>
      <m:oMath>
        <m:r>
          <w:rPr>
            <w:rFonts w:ascii="Cambria Math" w:hAnsi="Cambria Math"/>
          </w:rPr>
          <m:t>i</m:t>
        </m:r>
      </m:oMath>
      <w:r>
        <w:t xml:space="preserve">, and </w:t>
      </w:r>
      <m:oMath>
        <m:bar>
          <m:barPr>
            <m:pos m:val="top"/>
            <m:ctrlPr>
              <w:rPr>
                <w:rFonts w:ascii="Cambria Math" w:hAnsi="Cambria Math"/>
              </w:rPr>
            </m:ctrlPr>
          </m:barPr>
          <m:e>
            <m:r>
              <w:rPr>
                <w:rFonts w:ascii="Cambria Math" w:hAnsi="Cambria Math"/>
              </w:rPr>
              <m:t>A</m:t>
            </m:r>
          </m:e>
        </m:bar>
      </m:oMath>
      <w:r>
        <w:t xml:space="preserve"> is the population mean of </w:t>
      </w:r>
      <m:oMath>
        <m:r>
          <w:rPr>
            <w:rFonts w:ascii="Cambria Math" w:hAnsi="Cambria Math"/>
          </w:rPr>
          <m:t>A</m:t>
        </m:r>
      </m:oMath>
      <w:r>
        <w:t>. Both sums run over all individuals in the population.</w:t>
      </w:r>
    </w:p>
    <w:p w14:paraId="75798C02" w14:textId="77777777" w:rsidR="00CB3150" w:rsidRDefault="00000000">
      <w:pPr>
        <w:pStyle w:val="BodyText"/>
      </w:pPr>
      <w:r>
        <w:t xml:space="preserve">A denotes the characteristic and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its value for individual i.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 the evolving centroid during assignment and the final group mean afterward. Unlike the leave-one-out peer-quality measure,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uses full-group means.</w:t>
      </w:r>
    </w:p>
    <w:p w14:paraId="52FD246F" w14:textId="77777777" w:rsidR="00CB3150" w:rsidRDefault="00000000">
      <w:pPr>
        <w:pStyle w:val="BodyText"/>
      </w:pPr>
      <w:r>
        <w:t>For positive total variation in A, the within-group and between-group decomposition gives</w:t>
      </w:r>
    </w:p>
    <w:p w14:paraId="546B8BF7" w14:textId="77777777" w:rsidR="00CB3150"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 </m:t>
              </m:r>
            </m:e>
          </m:nary>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3CE5742C" w14:textId="77777777" w:rsidR="00CB3150" w:rsidRDefault="00000000">
      <w:r>
        <w:t xml:space="preserve">To see this, write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m:oMath>
        <m:bar>
          <m:barPr>
            <m:pos m:val="top"/>
            <m:ctrlPr>
              <w:rPr>
                <w:rFonts w:ascii="Cambria Math" w:hAnsi="Cambria Math"/>
              </w:rPr>
            </m:ctrlPr>
          </m:barPr>
          <m:e>
            <m:r>
              <w:rPr>
                <w:rFonts w:ascii="Cambria Math" w:hAnsi="Cambria Math"/>
              </w:rPr>
              <m:t>A</m:t>
            </m:r>
          </m:e>
        </m:bar>
      </m:oMath>
      <w:r>
        <w:t xml:space="preserve"> as the sum of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 </w:t>
      </w:r>
      <m:oMath>
        <m:bar>
          <m:barPr>
            <m:pos m:val="top"/>
            <m:ctrlPr>
              <w:rPr>
                <w:rFonts w:ascii="Cambria Math" w:hAnsi="Cambria Math"/>
              </w:rPr>
            </m:ctrlPr>
          </m:barPr>
          <m:e>
            <m:r>
              <w:rPr>
                <w:rFonts w:ascii="Cambria Math" w:hAnsi="Cambria Math"/>
              </w:rPr>
              <m:t>A</m:t>
            </m:r>
          </m:e>
        </m:bar>
      </m:oMath>
      <w:r>
        <w:t xml:space="preserve">. The cross terms sum to zero inside each group because deviations from that group’s mean sum to zero. Consequently,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is the between-group share of total variation and lies between zero and one. If the population has no variation in A, its denominator is zero and the statistic is undefined rather than evidence of perfect or absent sorting.</w:t>
      </w:r>
    </w:p>
    <w:p w14:paraId="49A695F9" w14:textId="77777777" w:rsidR="00CB3150" w:rsidRDefault="00000000">
      <w:pPr>
        <w:pStyle w:val="BodyText"/>
      </w:pPr>
      <w:r>
        <w:lastRenderedPageBreak/>
        <w:t xml:space="preserve">Nonzero sorting can occur under random assignment in finite groups. With J fixed nonempty group sizes, uniform random allocation of the same </w:t>
      </w:r>
      <m:oMath>
        <m:r>
          <w:rPr>
            <w:rFonts w:ascii="Cambria Math" w:hAnsi="Cambria Math"/>
          </w:rPr>
          <m:t>N</m:t>
        </m:r>
      </m:oMath>
      <w:r>
        <w:t xml:space="preserve"> individuals, and positive total variation, the expected index is (J − 1)/(N − 1). One obtains this by applying the finite-population variance of each random group mean and summing its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-weighted squared deviation from </w:t>
      </w:r>
      <m:oMath>
        <m:bar>
          <m:barPr>
            <m:pos m:val="top"/>
            <m:ctrlPr>
              <w:rPr>
                <w:rFonts w:ascii="Cambria Math" w:hAnsi="Cambria Math"/>
              </w:rPr>
            </m:ctrlPr>
          </m:barPr>
          <m:e>
            <m:r>
              <w:rPr>
                <w:rFonts w:ascii="Cambria Math" w:hAnsi="Cambria Math"/>
              </w:rPr>
              <m:t>A</m:t>
            </m:r>
          </m:e>
        </m:bar>
      </m:oMath>
      <w:r>
        <w:t>. This analytic reference applies to the uniform allocation benchmark; a reference ensemble remains useful for variability and for procedures with additional constraints.</w:t>
      </w:r>
    </w:p>
    <w:p w14:paraId="16D45112" w14:textId="77777777" w:rsidR="00CB3150" w:rsidRDefault="00000000">
      <w:pPr>
        <w:pStyle w:val="BodyText"/>
      </w:pPr>
      <w:r>
        <w:t xml:space="preserve">Realized sorting therefore depends on </w:t>
      </w:r>
      <m:oMath>
        <m:r>
          <w:rPr>
            <w:rFonts w:ascii="Cambria Math" w:hAnsi="Cambria Math"/>
          </w:rPr>
          <m:t>ρ</m:t>
        </m:r>
      </m:oMath>
      <w:r>
        <w:t xml:space="preserve">, the A distribution, roster capacities, and stochastic assignment history. A comparison should report both the chosen preference and the resulting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rather than equating ρ = 0 with an observed index of zero. An empirical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below a simulated reference does not establish that real assignment was random.</w:t>
      </w:r>
    </w:p>
    <w:p w14:paraId="6A36CA52" w14:textId="77777777" w:rsidR="00CB3150" w:rsidRDefault="00000000">
      <w:pPr>
        <w:pStyle w:val="Heading2"/>
      </w:pPr>
      <w:bookmarkStart w:id="28" w:name="X1ad203f4aedc8fcded9afae827919e65ec1bf18"/>
      <w:bookmarkEnd w:id="27"/>
      <w:r>
        <w:t>4.6.4 Connecting assignment to mechanism experiments</w:t>
      </w:r>
    </w:p>
    <w:p w14:paraId="52FCA120" w14:textId="77777777" w:rsidR="00CB3150" w:rsidRDefault="00000000">
      <w:r>
        <w:t>A controlled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t>
      </w:r>
    </w:p>
    <w:p w14:paraId="40BE33B3" w14:textId="77777777" w:rsidR="00CB3150" w:rsidRDefault="00000000">
      <w:pPr>
        <w:pStyle w:val="BodyText"/>
      </w:pPr>
      <w:r>
        <w: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 </w:t>
      </w:r>
      <m:oMath>
        <m:r>
          <w:rPr>
            <w:rFonts w:ascii="Cambria Math" w:hAnsi="Cambria Math"/>
          </w:rPr>
          <m:t>ρ</m:t>
        </m:r>
      </m:oMath>
      <w:r>
        <w:t xml:space="preserve"> can alter the range of environments, the association between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those environments, and winner identities. Those channels must be considered when interpreting a changed success curve.</w:t>
      </w:r>
    </w:p>
    <w:p w14:paraId="5BD22328" w14:textId="77777777" w:rsidR="00CB3150" w:rsidRDefault="00000000">
      <w:pPr>
        <w:pStyle w:val="Heading1"/>
      </w:pPr>
      <w:bookmarkStart w:id="29" w:name="X3c3c4c0997d1df4bc4320797fc414201263c54a"/>
      <w:bookmarkEnd w:id="24"/>
      <w:bookmarkEnd w:id="28"/>
      <w:r>
        <w:t>4.7 What the completed mechanism experiments establish</w:t>
      </w:r>
    </w:p>
    <w:p w14:paraId="279B9A29" w14:textId="77777777" w:rsidR="00CB3150" w:rsidRDefault="00000000">
      <w:r>
        <w:t xml:space="preserve">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w:t>
      </w:r>
      <w:r>
        <w:lastRenderedPageBreak/>
        <w:t>capacities; the simulations address the general mechanism rather than recreate all features of that source institution.</w:t>
      </w:r>
    </w:p>
    <w:p w14:paraId="1775EE90" w14:textId="77777777" w:rsidR="00CB3150" w:rsidRDefault="00000000">
      <w:pPr>
        <w:pStyle w:val="Heading2"/>
      </w:pPr>
      <w:bookmarkStart w:id="30" w:name="experimental-setting-and-interpretation"/>
      <w:r>
        <w:t>4.7.1 Experimental setting and interpretation</w:t>
      </w:r>
    </w:p>
    <w:p w14:paraId="224DD1B9"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top-K. Thus these experiments demonstrate behavior of the deterministic member of the model family; they are not results from the unrestricted stochastic SELECT rule. [14]</w:t>
      </w:r>
    </w:p>
    <w:p w14:paraId="1E735DA8"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ADCB964" w14:textId="77777777" w:rsidR="00CB3150" w:rsidRDefault="00000000">
      <w:pPr>
        <w:pStyle w:val="Heading2"/>
      </w:pPr>
      <w:bookmarkStart w:id="31" w:name="X2bdcce90be781303280a4b078df70adb92028df"/>
      <w:bookmarkEnd w:id="30"/>
      <w:r>
        <w:t>4.7.2 Congestion can change winners without similarity preference</w:t>
      </w:r>
    </w:p>
    <w:p w14:paraId="10C1167C"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5A884EC3"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3A428620"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xml:space="preserve">, its standard deviation was approximately 0.026–0.033, compared with one for standardized performance. The penalty could rearrange close competitors while leaving broad performance differences </w:t>
      </w:r>
      <w:r>
        <w:lastRenderedPageBreak/>
        <w:t>dominant. A coefficient of one therefore did not mean that congestion and individual performance varied on comparable scales. [15]</w:t>
      </w:r>
    </w:p>
    <w:p w14:paraId="25205A0F" w14:textId="77777777" w:rsidR="00CB3150" w:rsidRDefault="00000000">
      <w:pPr>
        <w:pStyle w:val="Heading2"/>
      </w:pPr>
      <w:bookmarkStart w:id="32" w:name="X97d9df95a828479ab0f1857fc0478829051bfc4"/>
      <w:bookmarkEnd w:id="31"/>
      <w:r>
        <w:t>4.7.3 Penalty strength and the visibility of the tail</w:t>
      </w:r>
    </w:p>
    <w:p w14:paraId="652BC285"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AD256AF" w14:textId="77777777"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observations. Figure 4.1 retains the population-count row so that the visual pattern can be judged alongside its support.</w:t>
      </w:r>
    </w:p>
    <w:p w14:paraId="525466C4"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0AF75C53"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7"/>
                    <a:stretch>
                      <a:fillRect/>
                    </a:stretch>
                  </pic:blipFill>
                  <pic:spPr bwMode="auto">
                    <a:xfrm>
                      <a:off x="0" y="0"/>
                      <a:ext cx="5943600" cy="6438900"/>
                    </a:xfrm>
                    <a:prstGeom prst="rect">
                      <a:avLst/>
                    </a:prstGeom>
                    <a:noFill/>
                    <a:ln w="9525">
                      <a:noFill/>
                      <a:headEnd/>
                      <a:tailEnd/>
                    </a:ln>
                  </pic:spPr>
                </pic:pic>
              </a:graphicData>
            </a:graphic>
          </wp:inline>
        </w:drawing>
      </w:r>
    </w:p>
    <w:p w14:paraId="4E9D9DF0" w14:textId="77777777" w:rsidR="00CB3150" w:rsidRDefault="00000000">
      <w:pPr>
        <w:pStyle w:val="Caption"/>
        <w:spacing w:line="240" w:lineRule="auto"/>
      </w:pPr>
      <w:r>
        <w:t xml:space="preserve">Figure 4.1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0FC0EC76" w14:textId="77777777" w:rsidR="00CB3150" w:rsidRDefault="00000000">
      <w:pPr>
        <w:pStyle w:val="Heading2"/>
      </w:pPr>
      <w:bookmarkStart w:id="33" w:name="assignment-preference-and-scarcity"/>
      <w:bookmarkEnd w:id="32"/>
      <w:r>
        <w:lastRenderedPageBreak/>
        <w:t>4.7.4 Assignment preference and scarcity</w:t>
      </w:r>
    </w:p>
    <w:p w14:paraId="773C3066" w14:textId="77777777"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Figure 4.2 expresses each bin’s rate relative to the achieved overall selection rate, making small absolute probabilities visible on a comparable relative scale. [17]</w:t>
      </w:r>
    </w:p>
    <w:p w14:paraId="5B19A879"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026107B2"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5F70F40E"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8"/>
                    <a:stretch>
                      <a:fillRect/>
                    </a:stretch>
                  </pic:blipFill>
                  <pic:spPr bwMode="auto">
                    <a:xfrm>
                      <a:off x="0" y="0"/>
                      <a:ext cx="5943600" cy="5448300"/>
                    </a:xfrm>
                    <a:prstGeom prst="rect">
                      <a:avLst/>
                    </a:prstGeom>
                    <a:noFill/>
                    <a:ln w="9525">
                      <a:noFill/>
                      <a:headEnd/>
                      <a:tailEnd/>
                    </a:ln>
                  </pic:spPr>
                </pic:pic>
              </a:graphicData>
            </a:graphic>
          </wp:inline>
        </w:drawing>
      </w:r>
    </w:p>
    <w:p w14:paraId="0B4FA65E" w14:textId="77777777" w:rsidR="00CB3150" w:rsidRDefault="00000000">
      <w:pPr>
        <w:pStyle w:val="Caption"/>
        <w:spacing w:line="240" w:lineRule="auto"/>
      </w:pPr>
      <w:r>
        <w:t xml:space="preserve">Figure 4.2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9AE1023" w14:textId="77777777" w:rsidR="00CB3150" w:rsidRDefault="00000000">
      <w:pPr>
        <w:pStyle w:val="Heading2"/>
      </w:pPr>
      <w:bookmarkStart w:id="34" w:name="what-remains-to-be-established"/>
      <w:bookmarkEnd w:id="33"/>
      <w:r>
        <w:t>4.7.5 What remains to be established</w:t>
      </w:r>
    </w:p>
    <w:p w14:paraId="75ADB3BA"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3D4DC6F"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195D86" w14:textId="77777777" w:rsidR="00CB3150" w:rsidRDefault="00000000">
      <w:pPr>
        <w:pStyle w:val="Heading1"/>
      </w:pPr>
      <w:bookmarkStart w:id="35" w:name="the-bridge-to-empirical-fitting"/>
      <w:bookmarkEnd w:id="29"/>
      <w:bookmarkEnd w:id="34"/>
      <w:r>
        <w:t>4.8 The bridge to empirical fitting</w:t>
      </w:r>
    </w:p>
    <w:p w14:paraId="4025B74B"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01F59B61"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465697A1"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0303C899"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4333362D"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1EB236B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35E9D735"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66F1E61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6914F863"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6489EDB7"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1A717A12"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0E64D04B"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4C979939"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6EDE0096"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55C97560" w14:textId="77777777" w:rsidR="00CB3150" w:rsidRDefault="00000000">
      <w:pPr>
        <w:pStyle w:val="Heading1"/>
      </w:pPr>
      <w:bookmarkStart w:id="36" w:name="X34faad1c749316954420b934931aff7c96ea3d6"/>
      <w:bookmarkEnd w:id="35"/>
      <w:r>
        <w:t>Appendix 4A Technical qualifications and the historical fitting record</w:t>
      </w:r>
    </w:p>
    <w:p w14:paraId="2CA8B985" w14:textId="77777777" w:rsidR="00CB3150" w:rsidRDefault="00000000">
      <w:pPr>
        <w:pStyle w:val="Heading2"/>
      </w:pPr>
      <w:bookmarkStart w:id="37" w:name="Xc4cff8260d0316924cc51552c5cb860d3737775"/>
      <w:r>
        <w:t>4A.1 The intended stochastic rule and legacy software</w:t>
      </w:r>
    </w:p>
    <w:p w14:paraId="5FE1EE65"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798372AD"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42D35CD2"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419CB570"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33E958AA" w14:textId="77777777" w:rsidR="00CB3150" w:rsidRDefault="00000000">
      <w:pPr>
        <w:pStyle w:val="Heading2"/>
      </w:pPr>
      <w:bookmarkStart w:id="38" w:name="X30020ca2e28c3ddcf47702a707f4f0d8976e712"/>
      <w:bookmarkEnd w:id="37"/>
      <w:r>
        <w:t>4A.2 Differences between the stated selection rule and earlier implementations</w:t>
      </w:r>
    </w:p>
    <w:p w14:paraId="19FB3678"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556562B9"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2D8937D6"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x</m:t>
              </m:r>
              <m:r>
                <m:rPr>
                  <m:sty m:val="p"/>
                </m:rPr>
                <w:rPr>
                  <w:rFonts w:ascii="Cambria Math" w:hAnsi="Cambria Math"/>
                </w:rPr>
                <m:t>)</m:t>
              </m:r>
            </m:den>
          </m:f>
        </m:oMath>
      </m:oMathPara>
    </w:p>
    <w:p w14:paraId="042FE46A"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3C5A578D" w14:textId="77777777" w:rsidR="00CB3150" w:rsidRDefault="00000000">
      <w:pPr>
        <w:pStyle w:val="BodyText"/>
      </w:pPr>
      <w:r>
        <w:t>The intermediate quantity supplied to the probability calculation, called the board logit in the implementation, was</w:t>
      </w:r>
    </w:p>
    <w:p w14:paraId="70DD9A0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006B0EA2" w14:textId="77777777" w:rsidR="00CB3150" w:rsidRDefault="00000000">
      <w:r>
        <w:t>The script converted these quantities to probabilities by applying a softmax function within each season:</w:t>
      </w:r>
    </w:p>
    <w:p w14:paraId="261D1BB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e>
              </m:nary>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45BD2488"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42F4DB7"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25C50840"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12DA3D85"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5976C89E" w14:textId="77777777" w:rsidR="00CB3150" w:rsidRDefault="00000000">
      <w:pPr>
        <w:pStyle w:val="Heading2"/>
      </w:pPr>
      <w:bookmarkStart w:id="39" w:name="X61c80e37b1d723545285bb680c26300a41eba3a"/>
      <w:bookmarkEnd w:id="38"/>
      <w:r>
        <w:t>4A.3 Normalization and threshold construction</w:t>
      </w:r>
    </w:p>
    <w:p w14:paraId="3CFB432B"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0E4CA66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2D99B3B0"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7C8F25B9"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1AA732A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1B4F01AB"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40FFBE29"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2E2EF7D9" w14:textId="77777777" w:rsidR="00CB3150" w:rsidRDefault="00000000">
      <w:pPr>
        <w:pStyle w:val="Heading2"/>
      </w:pPr>
      <w:bookmarkStart w:id="40" w:name="X37bb242055bc516b188ab4496a584a40b1a9c72"/>
      <w:bookmarkEnd w:id="39"/>
      <w:r>
        <w:t>4A.4 Saved estimates and parameter transfer</w:t>
      </w:r>
    </w:p>
    <w:p w14:paraId="5AE70836"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6C32EB49"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78795065"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610E1CB7"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75707337"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760103E8"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1FFFCFF2"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33D949B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31ED99F1"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03378FB1" w14:textId="77777777" w:rsidR="00CB3150" w:rsidRDefault="00000000">
      <w:pPr>
        <w:pStyle w:val="Heading2"/>
      </w:pPr>
      <w:bookmarkStart w:id="41" w:name="Xc89fd0d0a0538ad258b22b5118afea5b3189c30"/>
      <w:bookmarkEnd w:id="40"/>
      <w:r>
        <w:lastRenderedPageBreak/>
        <w:t>4A.5 Alternative congestion specifications</w:t>
      </w:r>
    </w:p>
    <w:p w14:paraId="05902450"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05CDCE96"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37AF979" w14:textId="77777777" w:rsidR="00CB3150" w:rsidRDefault="00000000">
      <w:pPr>
        <w:pStyle w:val="Heading1"/>
      </w:pPr>
      <w:bookmarkStart w:id="42" w:name="X8a33aa523801c967d2fea04397cc8e7252f71fa"/>
      <w:bookmarkEnd w:id="36"/>
      <w:bookmarkEnd w:id="41"/>
      <w:r>
        <w:t>Appendix 4B Sources for the equations and completed results</w:t>
      </w:r>
    </w:p>
    <w:p w14:paraId="5FC176E1"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1BFA7340" w14:textId="77777777" w:rsidR="00CB3150" w:rsidRDefault="00000000">
      <w:pPr>
        <w:pStyle w:val="BodyText"/>
      </w:pPr>
      <w:r>
        <w:t xml:space="preserve">[1] The stochastic replay decision and distinction between temperatures are documented in </w:t>
      </w:r>
      <w:hyperlink r:id="rId9">
        <w:r>
          <w:t>MBB_empirical_roster_select_replay.md</w:t>
        </w:r>
      </w:hyperlink>
      <w:r>
        <w:t xml:space="preserve">, lines 370–418 and 454–462. The direct user instruction is preserved in </w:t>
      </w:r>
      <w:hyperlink r:id="rId10">
        <w:r>
          <w:t>.specstory/history/2026-06-11_08-19-11-0400-compass.md</w:t>
        </w:r>
      </w:hyperlink>
      <w:r>
        <w:t>, line 331818, with the subsequent implementation authorization at line 332351. The lock was for empirical-roster replay; it does not retroactively change earlier deterministic runs.</w:t>
      </w:r>
    </w:p>
    <w:p w14:paraId="72242C19" w14:textId="77777777" w:rsidR="00CB3150" w:rsidRDefault="00000000">
      <w:pPr>
        <w:pStyle w:val="BodyText"/>
      </w:pPr>
      <w:r>
        <w:t xml:space="preserve">[2] </w:t>
      </w:r>
      <w:hyperlink r:id="rId11">
        <w:r>
          <w:t>PD20_softmax_K_winners_explainer.md</w:t>
        </w:r>
      </w:hyperlink>
      <w:r>
        <w:t xml:space="preserve">, lines 190–199, describes the observed-set likelihood for sequential proportional sampling. </w:t>
      </w:r>
      <w:hyperlink r:id="rId12">
        <w:r>
          <w:t>PD20_notes.md</w:t>
        </w:r>
      </w:hyperlink>
      <w:r>
        <w:t>, lines 121–127, identifies the weighted without-replacement procedure as Plackett–Luce.</w:t>
      </w:r>
    </w:p>
    <w:p w14:paraId="70BCB0B8" w14:textId="77777777" w:rsidR="00CB3150" w:rsidRDefault="00000000">
      <w:pPr>
        <w:pStyle w:val="BodyText"/>
      </w:pPr>
      <w:r>
        <w:lastRenderedPageBreak/>
        <w:t xml:space="preserve">[3] </w:t>
      </w:r>
      <w:hyperlink r:id="rId13">
        <w:r>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1D4636E" w14:textId="77777777" w:rsidR="00CB3150" w:rsidRDefault="00000000">
      <w:pPr>
        <w:pStyle w:val="BodyText"/>
      </w:pPr>
      <w:r>
        <w:t xml:space="preserve">[4] </w:t>
      </w:r>
      <w:hyperlink r:id="rId14">
        <w:r>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1BF72BAF" w14:textId="77777777" w:rsidR="00CB3150" w:rsidRDefault="00000000">
      <w:pPr>
        <w:pStyle w:val="BodyText"/>
      </w:pPr>
      <w:r>
        <w:t xml:space="preserve">[5] </w:t>
      </w:r>
      <w:hyperlink r:id="rId15">
        <w:r>
          <w:t>ASSORT_20260927_SCOUT_response_selection_population_and_reigning_alignment.md</w:t>
        </w:r>
      </w:hyperlink>
      <w:r>
        <w:t xml:space="preserve">, lines 94–115, documents all-player-season rows and repeated ever-drafted labels. The loader is </w:t>
      </w:r>
      <w:hyperlink r:id="rId16">
        <w:r>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74539F4E" w14:textId="77777777" w:rsidR="00CB3150" w:rsidRDefault="00000000">
      <w:pPr>
        <w:pStyle w:val="BodyText"/>
      </w:pPr>
      <w:r>
        <w:t xml:space="preserve">[6] </w:t>
      </w:r>
      <w:hyperlink r:id="rId17">
        <w:r>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18">
        <w:r>
          <w:t>MBB_empirical_roster_select_replay.md</w:t>
        </w:r>
      </w:hyperlink>
      <w:r>
        <w:t>, lines 464–471.</w:t>
      </w:r>
    </w:p>
    <w:p w14:paraId="47135F28" w14:textId="77777777" w:rsidR="00CB3150" w:rsidRDefault="00000000">
      <w:pPr>
        <w:pStyle w:val="BodyText"/>
      </w:pPr>
      <w:r>
        <w:t xml:space="preserve">[7] </w:t>
      </w:r>
      <w:hyperlink r:id="rId19">
        <w:r>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D366A0E" w14:textId="77777777" w:rsidR="00CB3150" w:rsidRDefault="00000000">
      <w:pPr>
        <w:pStyle w:val="BodyText"/>
      </w:pPr>
      <w:r>
        <w:t xml:space="preserve">[8] </w:t>
      </w:r>
      <w:hyperlink r:id="rId20">
        <w:r>
          <w:t>REIGNING_PD21_rho_hsort_calibrate_2009_2021_mg10_min20_09_21_fit_bracket.json</w:t>
        </w:r>
      </w:hyperlink>
      <w:r>
        <w:t>, lines 332–345, reports longitudinal rho = 0, simulated mean H_sort = 0.0823114512, and empirical mean H_sort = 0.0644102092. These are assignment-calibration results, not output-likelihood estimates.</w:t>
      </w:r>
    </w:p>
    <w:p w14:paraId="3B8F83D6" w14:textId="77777777" w:rsidR="00CB3150" w:rsidRDefault="00000000">
      <w:pPr>
        <w:pStyle w:val="BodyText"/>
      </w:pPr>
      <w:r>
        <w:lastRenderedPageBreak/>
        <w:t xml:space="preserve">[9] </w:t>
      </w:r>
      <w:hyperlink r:id="rId21">
        <w:r>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2">
        <w:r>
          <w:t>calibration/manifest.json</w:t>
        </w:r>
      </w:hyperlink>
      <w:r>
        <w:t xml:space="preserve">. </w:t>
      </w:r>
      <w:hyperlink r:id="rId23">
        <w:r>
          <w:t>sports/scripts/reigning_hero_calibration.py</w:t>
        </w:r>
      </w:hyperlink>
      <w:r>
        <w:t>, lines 40–41 and 82–99, requests the 2009–2021 window. Read these alongside note [5] when describing the effective sample.</w:t>
      </w:r>
    </w:p>
    <w:p w14:paraId="0BC1800A" w14:textId="77777777" w:rsidR="00CB3150" w:rsidRDefault="00000000">
      <w:pPr>
        <w:pStyle w:val="BodyText"/>
      </w:pPr>
      <w:r>
        <w:t xml:space="preserve">[10] </w:t>
      </w:r>
      <w:hyperlink r:id="rId24">
        <w:r>
          <w:t>PD21_draft_bernoulli_mle_2013_2021.json</w:t>
        </w:r>
      </w:hyperlink>
      <w:r>
        <w:t xml:space="preserve">, lines 2–21, records the fixed-gamma fit: gamma = 18, lambda = 2.571500648851351, t = 1.065561586816066, 38,123 rows, 882 positive flags, and nine seasons. The older </w:t>
      </w:r>
      <w:hyperlink r:id="rId25">
        <w:r>
          <w:t>PD21_draft_bernoulli_mle_2011_2021.json</w:t>
        </w:r>
      </w:hyperlink>
      <w:r>
        <w:t xml:space="preserve"> records a grid-best point with gamma = 10 fixed, lambda = 2, t = 1, and bfgs = null; it must not be substituted for the later joint estimate.</w:t>
      </w:r>
    </w:p>
    <w:p w14:paraId="1959A433" w14:textId="77777777" w:rsidR="00CB3150" w:rsidRDefault="00000000">
      <w:pPr>
        <w:pStyle w:val="BodyText"/>
      </w:pPr>
      <w:r>
        <w:t xml:space="preserve">[11] </w:t>
      </w:r>
      <w:hyperlink r:id="rId26">
        <w:r>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1EFD0495" w14:textId="77777777" w:rsidR="00CB3150" w:rsidRDefault="00000000">
      <w:pPr>
        <w:pStyle w:val="BodyText"/>
      </w:pPr>
      <w:r>
        <w:t xml:space="preserve">[12] </w:t>
      </w:r>
      <w:hyperlink r:id="rId27">
        <w:r>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6BA5899D" w14:textId="77777777" w:rsidR="00CB3150" w:rsidRDefault="00000000">
      <w:pPr>
        <w:pStyle w:val="BodyText"/>
      </w:pPr>
      <w:r>
        <w:t xml:space="preserve">[13] </w:t>
      </w:r>
      <w:hyperlink r:id="rId28">
        <w:r>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489D42CC" w14:textId="77777777" w:rsidR="00CB3150" w:rsidRDefault="00000000">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54186233" w14:textId="77777777" w:rsidR="00CB3150" w:rsidRDefault="00000000">
      <w:pPr>
        <w:pStyle w:val="BodyText"/>
      </w:pPr>
      <w:r>
        <w:lastRenderedPageBreak/>
        <w:t>[15] ASSORT_20260927_penalty_magnitude_v1_report.md documents the raw penalty scale relative to standardized individual performance. Numerical values quoted in Section 4.7 are taken from the completed report.</w:t>
      </w:r>
    </w:p>
    <w:p w14:paraId="467C336A" w14:textId="77777777"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Figure 4.1 is the saved 2015_penalty_bars.png under assort_analysis/outputs/penalty_bars_v1. The report identifies its specification, code, bin summaries, and execution record.</w:t>
      </w:r>
    </w:p>
    <w:p w14:paraId="25CD5123" w14:textId="77777777"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Figure 4.2 is the saved 2015_relative.png under assort_analysis/outputs/rho_scarcity_v1. The report links the saved rates, population support, identity summaries, and run record.</w:t>
      </w:r>
      <w:bookmarkEnd w:id="42"/>
    </w:p>
    <w:sectPr w:rsidR="00CB3150" w:rsidSect="00EC7973">
      <w:headerReference w:type="default" r:id="rId29"/>
      <w:footerReference w:type="default" r:id="rId30"/>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4AFF4A" w14:textId="77777777" w:rsidR="0033200D" w:rsidRDefault="0033200D">
      <w:pPr>
        <w:spacing w:after="0" w:line="240" w:lineRule="auto"/>
      </w:pPr>
      <w:r>
        <w:separator/>
      </w:r>
    </w:p>
  </w:endnote>
  <w:endnote w:type="continuationSeparator" w:id="0">
    <w:p w14:paraId="500566E7" w14:textId="77777777" w:rsidR="0033200D" w:rsidRDefault="003320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555F6"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EA9EB9" w14:textId="77777777" w:rsidR="0033200D" w:rsidRDefault="0033200D">
      <w:pPr>
        <w:spacing w:after="0" w:line="240" w:lineRule="auto"/>
      </w:pPr>
      <w:r>
        <w:separator/>
      </w:r>
    </w:p>
  </w:footnote>
  <w:footnote w:type="continuationSeparator" w:id="0">
    <w:p w14:paraId="570FE353" w14:textId="77777777" w:rsidR="0033200D" w:rsidRDefault="003320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1839ED"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2"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3"/>
  </w:num>
  <w:num w:numId="11" w16cid:durableId="1335380630">
    <w:abstractNumId w:val="10"/>
  </w:num>
  <w:num w:numId="12" w16cid:durableId="850726394">
    <w:abstractNumId w:val="14"/>
  </w:num>
  <w:num w:numId="13" w16cid:durableId="1895460450">
    <w:abstractNumId w:val="12"/>
  </w:num>
  <w:num w:numId="14" w16cid:durableId="1623609490">
    <w:abstractNumId w:val="11"/>
  </w:num>
  <w:num w:numId="15" w16cid:durableId="133152028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1"/>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79A2"/>
    <w:rsid w:val="00070F34"/>
    <w:rsid w:val="000A73FC"/>
    <w:rsid w:val="000B4DEE"/>
    <w:rsid w:val="000E1DA7"/>
    <w:rsid w:val="000F167D"/>
    <w:rsid w:val="00107815"/>
    <w:rsid w:val="00121AA1"/>
    <w:rsid w:val="00133EE0"/>
    <w:rsid w:val="0015074B"/>
    <w:rsid w:val="00154186"/>
    <w:rsid w:val="00161C59"/>
    <w:rsid w:val="0018609E"/>
    <w:rsid w:val="0019481C"/>
    <w:rsid w:val="001B5580"/>
    <w:rsid w:val="001C5821"/>
    <w:rsid w:val="002271F4"/>
    <w:rsid w:val="0023452C"/>
    <w:rsid w:val="00250804"/>
    <w:rsid w:val="002623E3"/>
    <w:rsid w:val="0027362F"/>
    <w:rsid w:val="00284DBE"/>
    <w:rsid w:val="00285B94"/>
    <w:rsid w:val="0029639D"/>
    <w:rsid w:val="002B31B8"/>
    <w:rsid w:val="00314308"/>
    <w:rsid w:val="00326F90"/>
    <w:rsid w:val="0033200D"/>
    <w:rsid w:val="00362992"/>
    <w:rsid w:val="00365EB2"/>
    <w:rsid w:val="00384763"/>
    <w:rsid w:val="00387EC6"/>
    <w:rsid w:val="003C2A31"/>
    <w:rsid w:val="00411AEA"/>
    <w:rsid w:val="00432147"/>
    <w:rsid w:val="004337F2"/>
    <w:rsid w:val="00465159"/>
    <w:rsid w:val="004A76BC"/>
    <w:rsid w:val="004E2689"/>
    <w:rsid w:val="005026D1"/>
    <w:rsid w:val="005034AB"/>
    <w:rsid w:val="00517A5E"/>
    <w:rsid w:val="00531C7D"/>
    <w:rsid w:val="005667BC"/>
    <w:rsid w:val="005A1528"/>
    <w:rsid w:val="005A2EC9"/>
    <w:rsid w:val="005A5775"/>
    <w:rsid w:val="005C16C5"/>
    <w:rsid w:val="005D16A8"/>
    <w:rsid w:val="005D1A3F"/>
    <w:rsid w:val="005E6903"/>
    <w:rsid w:val="005F2FB9"/>
    <w:rsid w:val="005F76C5"/>
    <w:rsid w:val="006003BE"/>
    <w:rsid w:val="00605038"/>
    <w:rsid w:val="006225F7"/>
    <w:rsid w:val="00637BCE"/>
    <w:rsid w:val="006421B7"/>
    <w:rsid w:val="006425A8"/>
    <w:rsid w:val="006A31F9"/>
    <w:rsid w:val="006B104D"/>
    <w:rsid w:val="006B3BD3"/>
    <w:rsid w:val="006C0069"/>
    <w:rsid w:val="006D4AE6"/>
    <w:rsid w:val="006F678C"/>
    <w:rsid w:val="00722DD0"/>
    <w:rsid w:val="00736EEB"/>
    <w:rsid w:val="0073798A"/>
    <w:rsid w:val="00751847"/>
    <w:rsid w:val="00757375"/>
    <w:rsid w:val="00782AEB"/>
    <w:rsid w:val="00783EE9"/>
    <w:rsid w:val="00786DAA"/>
    <w:rsid w:val="007D7455"/>
    <w:rsid w:val="007E3BCC"/>
    <w:rsid w:val="008348D0"/>
    <w:rsid w:val="008510FA"/>
    <w:rsid w:val="00857AE0"/>
    <w:rsid w:val="00873F7F"/>
    <w:rsid w:val="008809AA"/>
    <w:rsid w:val="008A30D3"/>
    <w:rsid w:val="008C5B2D"/>
    <w:rsid w:val="00921496"/>
    <w:rsid w:val="00933B73"/>
    <w:rsid w:val="00950606"/>
    <w:rsid w:val="00990069"/>
    <w:rsid w:val="00996049"/>
    <w:rsid w:val="009B11D6"/>
    <w:rsid w:val="009B78C1"/>
    <w:rsid w:val="009E1044"/>
    <w:rsid w:val="009E456A"/>
    <w:rsid w:val="00A05029"/>
    <w:rsid w:val="00A0781E"/>
    <w:rsid w:val="00A16FA4"/>
    <w:rsid w:val="00A42B32"/>
    <w:rsid w:val="00A5791F"/>
    <w:rsid w:val="00A939F3"/>
    <w:rsid w:val="00AA1D8D"/>
    <w:rsid w:val="00AA2BD3"/>
    <w:rsid w:val="00AD3153"/>
    <w:rsid w:val="00B17DFA"/>
    <w:rsid w:val="00B35FFE"/>
    <w:rsid w:val="00B47730"/>
    <w:rsid w:val="00B563C3"/>
    <w:rsid w:val="00B654E4"/>
    <w:rsid w:val="00BA6187"/>
    <w:rsid w:val="00C03B62"/>
    <w:rsid w:val="00C17F93"/>
    <w:rsid w:val="00C253FE"/>
    <w:rsid w:val="00C5104C"/>
    <w:rsid w:val="00C74980"/>
    <w:rsid w:val="00C94276"/>
    <w:rsid w:val="00CB0664"/>
    <w:rsid w:val="00CB3150"/>
    <w:rsid w:val="00CC25D7"/>
    <w:rsid w:val="00CE0DEB"/>
    <w:rsid w:val="00CE1103"/>
    <w:rsid w:val="00CE25E9"/>
    <w:rsid w:val="00D4581D"/>
    <w:rsid w:val="00D936D1"/>
    <w:rsid w:val="00DA0196"/>
    <w:rsid w:val="00DB0F59"/>
    <w:rsid w:val="00DC1B69"/>
    <w:rsid w:val="00DF4153"/>
    <w:rsid w:val="00E46647"/>
    <w:rsid w:val="00E56E0C"/>
    <w:rsid w:val="00E92302"/>
    <w:rsid w:val="00E96D99"/>
    <w:rsid w:val="00EC7973"/>
    <w:rsid w:val="00F11CAF"/>
    <w:rsid w:val="00F17583"/>
    <w:rsid w:val="00F17FCC"/>
    <w:rsid w:val="00F25113"/>
    <w:rsid w:val="00F30A83"/>
    <w:rsid w:val="00F65F15"/>
    <w:rsid w:val="00F67C0C"/>
    <w:rsid w:val="00F72636"/>
    <w:rsid w:val="00F96243"/>
    <w:rsid w:val="00F967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616C50"/>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18"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 Type="http://schemas.openxmlformats.org/officeDocument/2006/relationships/settings" Target="settings.xml"/><Relationship Id="rId2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7" Type="http://schemas.openxmlformats.org/officeDocument/2006/relationships/image" Target="media/image1.png"/><Relationship Id="rId12"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17"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0"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4"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3"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28"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10"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19"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4"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27"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34</Pages>
  <Words>11149</Words>
  <Characters>63551</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74551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3</cp:revision>
  <dcterms:created xsi:type="dcterms:W3CDTF">2026-10-12T00:06:00Z</dcterms:created>
  <dcterms:modified xsi:type="dcterms:W3CDTF">2026-10-12T15:55:00Z</dcterms:modified>
</cp:coreProperties>
</file>