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9: The Nature of Tasks and Jobs – Routine vs. Non‑Routine Work</w:t>
      </w:r>
    </w:p>
    <w:p>
      <w:r>
        <w:rPr>
          <w:b/>
        </w:rPr>
        <w:t xml:space="preserve">Anchor (Original Text): </w:t>
      </w:r>
      <w:r>
        <w:t>"The nature of tasks and jobs: routine and non-routine"</w:t>
      </w:r>
    </w:p>
    <w:p>
      <w:pPr>
        <w:pStyle w:val="Heading2"/>
      </w:pPr>
      <w:r>
        <w:t>Key Quotations Worth Underlining</w:t>
      </w:r>
    </w:p>
    <w:p>
      <w:r>
        <w:rPr>
          <w:b/>
        </w:rPr>
        <w:t>“Non-routine jobs that allow these abilities to have a multiplicative effect...”</w:t>
      </w:r>
    </w:p>
    <w:p>
      <w:r>
        <w:rPr>
          <w:b/>
        </w:rPr>
        <w:t>“Some tasks are so routine... Others are more difficult, more uncertain...”</w:t>
      </w:r>
    </w:p>
    <w:p>
      <w:r>
        <w:rPr>
          <w:b/>
        </w:rPr>
        <w:t>“Talent in these sectors or professions is a complementary or multiplicative factor of production.”</w:t>
      </w:r>
    </w:p>
    <w:p>
      <w:r>
        <w:rPr>
          <w:b/>
        </w:rPr>
        <w:t>“The production function of teaching is additive, while that of research is multiplicative.”</w:t>
      </w:r>
    </w:p>
    <w:p>
      <w:r>
        <w:rPr>
          <w:color w:val="0000FF"/>
        </w:rPr>
        <w:t xml:space="preserve">This section is much more important than it initially appears. Menger is no longer asking what talent is. He is asking where talent matters most. That is a different question. Even if talent exists, its effects will not be equally visible across all jobs. Some jobs compress differences among workers. Other jobs magnify them. The central challenge becomes identifying the kinds of environments in which superior ability can actually express itself. </w:t>
      </w:r>
      <w:r>
        <w:rPr>
          <w:b/>
        </w:rPr>
        <w:t xml:space="preserve">“Some tasks are so routine... Others are more difficult, more uncertain...” </w:t>
      </w:r>
      <w:r>
        <w:rPr>
          <w:color w:val="0000FF"/>
        </w:rPr>
        <w:t>This quotation captures the entire logic of the section. In highly routine work, procedures constrain outcomes. Competent workers produce broadly similar results. The system itself limits variation. In contrast, non-routine work contains uncertainty, discretion, judgment, experimentation, and adaptation. These conditions create room for differences among individuals to emerge. Menger is therefore shifting attention from people alone to the interaction between people and task structures.</w:t>
      </w:r>
      <w:r>
        <w:rPr>
          <w:color w:val="FF0000"/>
        </w:rPr>
        <w:t>This is an important warning for any theory of advancement. The same individual may look ordinary in one environment and extraordinary in another. The environment can either suppress or reveal differences.</w:t>
      </w:r>
      <w:r>
        <w:rPr>
          <w:color w:val="0000FF"/>
        </w:rPr>
        <w:t>Menger draws heavily on research, science, arts, sports, entrepreneurship, and other domains where outcomes are uncertain. These occupations are attractive to social scientists because they act like laboratories for observing talent. When uncertainty is high, individual differences become easier to see. At the same time, evaluation becomes more difficult, which creates the very conditions under which talent labels flourish.</w:t>
      </w:r>
      <w:r>
        <w:rPr>
          <w:b/>
        </w:rPr>
        <w:t xml:space="preserve">“Talent in these sectors or professions is a complementary or multiplicative factor of production.” </w:t>
      </w:r>
      <w:r>
        <w:rPr>
          <w:color w:val="0000FF"/>
        </w:rPr>
        <w:t>This sentence links the discussion directly back to the multiplicative framework. A talented researcher does not simply add output. A breakthrough can transform an entire project. A star athlete can alter the competitive trajectory of a team. A highly productive scientist can reshape a research agenda. The contribution is therefore not additive. It changes the value of many other inputs simultaneously.</w:t>
      </w:r>
      <w:r>
        <w:rPr>
          <w:color w:val="FF0000"/>
        </w:rPr>
        <w:t>This distinction between additive and multiplicative environments may be one of the most transferable ideas in the paper. It suggests that the structure of work determines how strongly talent differences are translated into outcome differences.</w:t>
      </w:r>
      <w:r>
        <w:rPr>
          <w:color w:val="0000FF"/>
        </w:rPr>
        <w:t xml:space="preserve">The university example is particularly fascinating. Menger argues that research and teaching operate under different production functions. </w:t>
      </w:r>
      <w:r>
        <w:rPr>
          <w:b/>
        </w:rPr>
        <w:t xml:space="preserve">“The production function of teaching is additive, while that of research is multiplicative.” </w:t>
      </w:r>
      <w:r>
        <w:rPr>
          <w:color w:val="0000FF"/>
        </w:rPr>
        <w:t>That statement helps explain many otherwise puzzling features of modern academia. Teaching quality tends to be distributed more normally. Research productivity tends to be highly skewed. Universities therefore face tension because the activity that generates prestige follows different dynamics than the activity that delivers instruction.</w:t>
      </w:r>
      <w:r>
        <w:rPr>
          <w:color w:val="FF0000"/>
        </w:rPr>
        <w:t>This section may be especially relevant when talking with Alex because it sits directly within long-standing science-of-science debates about research productivity, elite institutions, and concentration of recognition.</w:t>
      </w:r>
      <w:r>
        <w:rPr>
          <w:color w:val="0000FF"/>
        </w:rPr>
        <w:t>Perhaps the deepest insight in this section is that talent cannot be understood independently of task architecture. Menger is effectively arguing that some environments are talent-revealing while others are talent-suppressing. The resulting inequality patterns therefore emerge not only from individuals but from the interaction between individuals and the structures within which they work.</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