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Outline Summary: Menger (2024) — Talent and the Social Physics of Inequalities</w:t>
      </w:r>
    </w:p>
    <w:p>
      <w:pPr>
        <w:pStyle w:val="Heading2"/>
      </w:pPr>
      <w:r>
        <w:t>I. Central Argument</w:t>
      </w:r>
    </w:p>
    <w:p>
      <w:pPr>
        <w:pStyle w:val="ListBullet"/>
      </w:pPr>
      <w:r>
        <w:t>Talent is widely invoked to explain unequal success but is difficult to define.</w:t>
      </w:r>
    </w:p>
    <w:p>
      <w:pPr>
        <w:pStyle w:val="ListBullet"/>
      </w:pPr>
      <w:r>
        <w:t>Menger links cumulative advantage, skill formation, non-routine work, and assortative matching.</w:t>
      </w:r>
    </w:p>
    <w:p>
      <w:pPr>
        <w:pStyle w:val="ListBullet"/>
      </w:pPr>
      <w:r>
        <w:t>Large inequalities can emerge from small differences through social and organizational processes.</w:t>
      </w:r>
    </w:p>
    <w:p>
      <w:pPr>
        <w:pStyle w:val="Heading2"/>
      </w:pPr>
      <w:r>
        <w:t>II. Talent, Competition, and Tournaments</w:t>
      </w:r>
    </w:p>
    <w:p>
      <w:pPr>
        <w:pStyle w:val="ListBullet"/>
      </w:pPr>
      <w:r>
        <w:t>Talent is most visible in domains with rankings, competitions, and selective advancement.</w:t>
      </w:r>
    </w:p>
    <w:p>
      <w:pPr>
        <w:pStyle w:val="ListBullet"/>
      </w:pPr>
      <w:r>
        <w:t>Examples include science, sports, entrepreneurship, and academia.</w:t>
      </w:r>
    </w:p>
    <w:p>
      <w:pPr>
        <w:pStyle w:val="ListBullet"/>
      </w:pPr>
      <w:r>
        <w:t>Talent is often recognized retrospectively through success and reputation.</w:t>
      </w:r>
    </w:p>
    <w:p>
      <w:pPr>
        <w:pStyle w:val="Heading2"/>
      </w:pPr>
      <w:r>
        <w:t>III. Cumulative Advantage</w:t>
      </w:r>
    </w:p>
    <w:p>
      <w:pPr>
        <w:pStyle w:val="ListBullet"/>
      </w:pPr>
      <w:r>
        <w:t>Early advantages attract resources, collaborators, and opportunities.</w:t>
      </w:r>
    </w:p>
    <w:p>
      <w:pPr>
        <w:pStyle w:val="ListBullet"/>
      </w:pPr>
      <w:r>
        <w:t>Small initial differences can become large career inequalities.</w:t>
      </w:r>
    </w:p>
    <w:p>
      <w:pPr>
        <w:pStyle w:val="ListBullet"/>
      </w:pPr>
      <w:r>
        <w:t>Outcome inequality often exceeds underlying ability differences.</w:t>
      </w:r>
    </w:p>
    <w:p>
      <w:pPr>
        <w:pStyle w:val="Heading2"/>
      </w:pPr>
      <w:r>
        <w:t>IV. Multidimensional Talent</w:t>
      </w:r>
    </w:p>
    <w:p>
      <w:pPr>
        <w:pStyle w:val="ListBullet"/>
      </w:pPr>
      <w:r>
        <w:t>Talent is a bundle of interacting characteristics.</w:t>
      </w:r>
    </w:p>
    <w:p>
      <w:pPr>
        <w:pStyle w:val="ListBullet"/>
      </w:pPr>
      <w:r>
        <w:t>Cognitive and non-cognitive traits combine multiplicatively.</w:t>
      </w:r>
    </w:p>
    <w:p>
      <w:pPr>
        <w:pStyle w:val="ListBullet"/>
      </w:pPr>
      <w:r>
        <w:t>Multiplicative processes generate highly skewed outcomes.</w:t>
      </w:r>
    </w:p>
    <w:p>
      <w:pPr>
        <w:pStyle w:val="Heading2"/>
      </w:pPr>
      <w:r>
        <w:t>V. Non-Routine Work</w:t>
      </w:r>
    </w:p>
    <w:p>
      <w:pPr>
        <w:pStyle w:val="ListBullet"/>
      </w:pPr>
      <w:r>
        <w:t>Talent matters most where uncertainty and performance variation are high.</w:t>
      </w:r>
    </w:p>
    <w:p>
      <w:pPr>
        <w:pStyle w:val="ListBullet"/>
      </w:pPr>
      <w:r>
        <w:t>Research, innovation, sports, and creative work are key examples.</w:t>
      </w:r>
    </w:p>
    <w:p>
      <w:pPr>
        <w:pStyle w:val="ListBullet"/>
      </w:pPr>
      <w:r>
        <w:t>These environments often produce winner-take-most outcomes.</w:t>
      </w:r>
    </w:p>
    <w:p>
      <w:pPr>
        <w:pStyle w:val="Heading2"/>
      </w:pPr>
      <w:r>
        <w:t>VI. Assortative Matching</w:t>
      </w:r>
    </w:p>
    <w:p>
      <w:pPr>
        <w:pStyle w:val="ListBullet"/>
      </w:pPr>
      <w:r>
        <w:t>High performers increasingly work with other high performers.</w:t>
      </w:r>
    </w:p>
    <w:p>
      <w:pPr>
        <w:pStyle w:val="ListBullet"/>
      </w:pPr>
      <w:r>
        <w:t>Matching improves learning and opportunity.</w:t>
      </w:r>
    </w:p>
    <w:p>
      <w:pPr>
        <w:pStyle w:val="ListBullet"/>
      </w:pPr>
      <w:r>
        <w:t>It also amplifies stratification and inequality.</w:t>
      </w:r>
    </w:p>
    <w:p>
      <w:pPr>
        <w:pStyle w:val="Heading2"/>
      </w:pPr>
      <w:r>
        <w:t>VII. Organizations and Inequality</w:t>
      </w:r>
    </w:p>
    <w:p>
      <w:pPr>
        <w:pStyle w:val="ListBullet"/>
      </w:pPr>
      <w:r>
        <w:t>Modern talent management increasingly concentrates rewards.</w:t>
      </w:r>
    </w:p>
    <w:p>
      <w:pPr>
        <w:pStyle w:val="ListBullet"/>
      </w:pPr>
      <w:r>
        <w:t>Strategic jobs receive disproportionate investment.</w:t>
      </w:r>
    </w:p>
    <w:p>
      <w:pPr>
        <w:pStyle w:val="ListBullet"/>
      </w:pPr>
      <w:r>
        <w:t>Menger questions whether talent alone explains inequality.</w:t>
      </w:r>
    </w:p>
    <w:p>
      <w:pPr>
        <w:pStyle w:val="Heading2"/>
      </w:pPr>
      <w:r>
        <w:t>VIII. Main Conclusion</w:t>
      </w:r>
    </w:p>
    <w:p>
      <w:pPr>
        <w:pStyle w:val="ListBullet"/>
      </w:pPr>
      <w:r>
        <w:t>Talent is a process, not a single trait.</w:t>
      </w:r>
    </w:p>
    <w:p>
      <w:pPr>
        <w:pStyle w:val="ListBullet"/>
      </w:pPr>
      <w:r>
        <w:t>Competition structures, matching systems, and cumulative advantage shape outcomes.</w:t>
      </w:r>
    </w:p>
    <w:p>
      <w:pPr>
        <w:pStyle w:val="ListBullet"/>
      </w:pPr>
      <w:r>
        <w:t>Talent and inequality must be analyzed together.</w:t>
      </w:r>
    </w:p>
    <w:p>
      <w:pPr>
        <w:pStyle w:val="Heading2"/>
      </w:pPr>
      <w:r>
        <w:t>Blue Notes: Connections to Charles’ Research</w:t>
      </w:r>
    </w:p>
    <w:p>
      <w:pPr>
        <w:pStyle w:val="ListBullet"/>
      </w:pPr>
      <w:r>
        <w:rPr>
          <w:color w:val="0000FF"/>
        </w:rPr>
        <w:t>Your project's local talent concentration construct closely parallels Menger's discussion of assortative matching.</w:t>
      </w:r>
    </w:p>
    <w:p>
      <w:pPr>
        <w:pStyle w:val="ListBullet"/>
      </w:pPr>
      <w:r>
        <w:rPr>
          <w:color w:val="0000FF"/>
        </w:rPr>
        <w:t>Army promotion, NBA drafting, and tenure systems fit his framework of tournament-like advancement systems.</w:t>
      </w:r>
    </w:p>
    <w:p>
      <w:pPr>
        <w:pStyle w:val="ListBullet"/>
      </w:pPr>
      <w:r>
        <w:rPr>
          <w:color w:val="0000FF"/>
        </w:rPr>
        <w:t>Menger's cumulative advantage framework helps explain why peer environments can magnify career differences.</w:t>
      </w:r>
    </w:p>
    <w:p>
      <w:pPr>
        <w:pStyle w:val="ListBullet"/>
      </w:pPr>
      <w:r>
        <w:rPr>
          <w:color w:val="0000FF"/>
        </w:rPr>
        <w:t>The paper provides theoretical support for studying both developmental benefits and competitive constraints simultaneously.</w:t>
      </w:r>
    </w:p>
    <w:p>
      <w:pPr>
        <w:pStyle w:val="ListBullet"/>
      </w:pPr>
      <w:r>
        <w:rPr>
          <w:color w:val="0000FF"/>
        </w:rPr>
        <w:t>His discussion of research universities is highly relevant to the tenure component of your project.</w:t>
      </w:r>
    </w:p>
    <w:p>
      <w:pPr>
        <w:pStyle w:val="ListBullet"/>
      </w:pPr>
      <w:r>
        <w:rPr>
          <w:color w:val="0000FF"/>
        </w:rPr>
        <w:t>Menger repeatedly emphasizes scarce opportunities, rankings, and competition—ideas closely related to Alex Gates' congestion concept.</w:t>
      </w:r>
    </w:p>
    <w:p>
      <w:pPr>
        <w:pStyle w:val="ListBullet"/>
      </w:pPr>
      <w:r>
        <w:rPr>
          <w:color w:val="0000FF"/>
        </w:rPr>
        <w:t>The paper supports a future deconstructable model because it treats talent as multidimensional rather than singular.</w:t>
      </w:r>
    </w:p>
    <w:p>
      <w:pPr>
        <w:pStyle w:val="ListBullet"/>
      </w:pPr>
      <w:r>
        <w:rPr>
          <w:color w:val="0000FF"/>
        </w:rPr>
        <w:t>Your nonlinear advancement story may provide a mechanism that is largely absent from Menger's treatment of inequality.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