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rPr>
          <w:rFonts w:ascii="Verdana" w:hAnsi="Verdana" w:eastAsia="Verdana" w:cs="Verdana"/>
          <w:sz w:val="28"/>
          <w:szCs w:val="28"/>
          <w:b w:val="1"/>
          <w:bCs w:val="1"/>
        </w:rPr>
        <w:pStyle w:val="Heading1"/>
      </w:pPr>
      <w:bookmarkStart w:id="0" w:name="X166b1176d9c834602c4793dd44ed9435b820f4f"/>
      <w:r>
        <w:rPr>
          <w:rFonts w:ascii="Verdana" w:hAnsi="Verdana" w:eastAsia="Verdana" w:cs="Verdana"/>
          <w:sz w:val="28"/>
          <w:szCs w:val="28"/>
          <w:b w:val="1"/>
          <w:bCs w:val="1"/>
        </w:rP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rPr>
          <w:rFonts w:ascii="Verdana" w:hAnsi="Verdana" w:eastAsia="Verdana" w:cs="Verdana"/>
          <w:sz w:val="28"/>
          <w:szCs w:val="28"/>
          <w:b w:val="1"/>
          <w:bCs w:val="1"/>
        </w:rPr>
        <w:pStyle w:val="Heading1"/>
      </w:pPr>
      <w:bookmarkStart w:id="1" w:name="Xfada5e96b17685afb9851f145398c9afa85bcfe"/>
      <w:bookmarkEnd w:id="0"/>
      <w:r>
        <w:rPr>
          <w:rFonts w:ascii="Verdana" w:hAnsi="Verdana" w:eastAsia="Verdana" w:cs="Verdana"/>
          <w:sz w:val="28"/>
          <w:szCs w:val="28"/>
          <w:b w:val="1"/>
          <w:bCs w:val="1"/>
        </w:rP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rPr>
          <w:rFonts w:ascii="Verdana" w:hAnsi="Verdana" w:eastAsia="Verdana" w:cs="Verdana"/>
          <w:sz w:val="21"/>
          <w:szCs w:val="21"/>
          <w:b w:val="1"/>
          <w:bCs w:val="1"/>
        </w:rPr>
        <w:pStyle w:val="Heading2"/>
      </w:pPr>
      <w:bookmarkStart w:id="2" w:name="performance-and-the-selection-population"/>
      <w:r>
        <w:rPr>
          <w:rFonts w:ascii="Verdana" w:hAnsi="Verdana" w:eastAsia="Verdana" w:cs="Verdana"/>
          <w:sz w:val="21"/>
          <w:szCs w:val="21"/>
          <w:b w:val="1"/>
          <w:bCs w:val="1"/>
        </w:rP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the performance characteristic of individual </w:t>
      </w:r>
      <m:oMath>
        <m:r>
          <w:rPr>
            <w:rFonts w:ascii="Cambria Math" w:hAnsi="Cambria Math"/>
          </w:rPr>
          <m:t>i</m:t>
        </m:r>
      </m:oMath>
      <w:r>
        <w:rPr>
          <w:rFonts w:ascii="Verdana" w:hAnsi="Verdana" w:eastAsia="Verdana" w:cs="Verdana"/>
          <w:sz w:val="20"/>
          <w:szCs w:val="20"/>
        </w:rPr>
        <w:t xml:space="preserve">. </w:t>
      </w:r>
      <m:oMath>
        <m:r>
          <w:rPr>
            <w:rFonts w:ascii="Cambria Math" w:hAnsi="Cambria Math"/>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rPr>
          <m:t>I</m:t>
        </m:r>
      </m:oMath>
      <w:r>
        <w:rPr>
          <w:rFonts w:ascii="Verdana" w:hAnsi="Verdana" w:eastAsia="Verdana" w:cs="Verdana"/>
          <w:sz w:val="20"/>
          <w:szCs w:val="20"/>
        </w:rPr>
        <w:t xml:space="preserve"> be the set of eligible individuals, with </w:t>
      </w:r>
      <m:oMath>
        <m:r>
          <w:rPr>
            <w:rFonts w:ascii="Cambria Math" w:hAnsi="Cambria Math"/>
          </w:rPr>
          <m:t>N</m:t>
        </m:r>
      </m:oMath>
      <w:r>
        <w:rPr>
          <w:rFonts w:ascii="Verdana" w:hAnsi="Verdana" w:eastAsia="Verdana" w:cs="Verdana"/>
          <w:sz w:val="20"/>
          <w:szCs w:val="20"/>
        </w:rPr>
        <w:t xml:space="preserve"> members. Index groups by </w:t>
      </w:r>
      <m:oMath>
        <m:r>
          <w:rPr>
            <w:rFonts w:ascii="Cambria Math" w:hAnsi="Cambria Math"/>
          </w:rPr>
          <m:t>j</m:t>
        </m:r>
      </m:oMath>
      <w:r>
        <w:rPr>
          <w:rFonts w:ascii="Verdana" w:hAnsi="Verdana" w:eastAsia="Verdana" w:cs="Verdana"/>
          <w:sz w:val="20"/>
          <w:szCs w:val="20"/>
        </w:rP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the group containing individual </w:t>
      </w:r>
      <m:oMath>
        <m:r>
          <w:rPr>
            <w:rFonts w:ascii="Cambria Math" w:hAnsi="Cambria Math"/>
          </w:rPr>
          <m:t>i</m:t>
        </m:r>
      </m:oMath>
      <w:r>
        <w:rPr>
          <w:rFonts w:ascii="Verdana" w:hAnsi="Verdana" w:eastAsia="Verdana" w:cs="Verdana"/>
          <w:sz w:val="20"/>
          <w:szCs w:val="20"/>
        </w:rPr>
        <w:t xml:space="preserve">. Group </w:t>
      </w:r>
      <m:oMath>
        <m:r>
          <w:rPr>
            <w:rFonts w:ascii="Cambria Math" w:hAnsi="Cambria Math"/>
          </w:rPr>
          <m:t>j</m:t>
        </m:r>
      </m:oMath>
      <w:r>
        <w:rPr>
          <w:rFonts w:ascii="Verdana" w:hAnsi="Verdana" w:eastAsia="Verdana" w:cs="Verdana"/>
          <w:sz w:val="20"/>
          <w:szCs w:val="20"/>
        </w:rP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rPr>
          <m:t>K</m:t>
        </m:r>
      </m:oMath>
      <w:r>
        <w:rPr>
          <w:rFonts w:ascii="Verdana" w:hAnsi="Verdana" w:eastAsia="Verdana" w:cs="Verdana"/>
          <w:sz w:val="20"/>
          <w:szCs w:val="20"/>
        </w:rP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rPr>
          <w:rFonts w:ascii="Verdana" w:hAnsi="Verdana" w:eastAsia="Verdana" w:cs="Verdana"/>
          <w:sz w:val="21"/>
          <w:szCs w:val="21"/>
          <w:b w:val="1"/>
          <w:bCs w:val="1"/>
        </w:rPr>
        <w:pStyle w:val="Heading2"/>
      </w:pPr>
      <w:bookmarkStart w:id="3" w:name="the-score-and-the-selection-rule"/>
      <w:bookmarkEnd w:id="2"/>
      <w:r>
        <w:rPr>
          <w:rFonts w:ascii="Verdana" w:hAnsi="Verdana" w:eastAsia="Verdana" w:cs="Verdana"/>
          <w:sz w:val="21"/>
          <w:szCs w:val="21"/>
          <w:b w:val="1"/>
          <w:bCs w:val="1"/>
        </w:rP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rPr>
          <m:t>K</m:t>
        </m:r>
      </m:oMath>
      <w:r>
        <w:rPr>
          <w:rFonts w:ascii="Verdana" w:hAnsi="Verdana" w:eastAsia="Verdana" w:cs="Verdana"/>
          <w:sz w:val="20"/>
          <w:szCs w:val="20"/>
        </w:rPr>
        <w:t xml:space="preserve"> highest scores. Write </w:t>
      </w:r>
      <m:oMath>
        <m:r>
          <m:rPr>
            <m:sty m:val="bi"/>
          </m:rPr>
          <w:rPr>
            <w:rFonts w:ascii="Cambria Math" w:hAnsi="Cambria Math"/>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rPr>
          <w:rFonts w:ascii="Verdana" w:hAnsi="Verdana" w:eastAsia="Verdana" w:cs="Verdana"/>
          <w:sz w:val="20"/>
          <w:szCs w:val="20"/>
        </w:rP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Verdana" w:hAnsi="Verdana" w:eastAsia="Verdana" w:cs="Verdana"/>
          <w:sz w:val="20"/>
          <w:szCs w:val="20"/>
        </w:rPr>
        <w:t xml:space="preserve"> equal one if individual </w:t>
      </w:r>
      <m:oMath>
        <m:r>
          <w:rPr>
            <w:rFonts w:ascii="Cambria Math" w:hAnsi="Cambria Math"/>
          </w:rPr>
          <m:t>i</m:t>
        </m:r>
      </m:oMath>
      <w:r>
        <w:rPr>
          <w:rFonts w:ascii="Verdana" w:hAnsi="Verdana" w:eastAsia="Verdana" w:cs="Verdana"/>
          <w:sz w:val="20"/>
          <w:szCs w:val="20"/>
        </w:rP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rPr>
          <w:rFonts w:ascii="Verdana" w:hAnsi="Verdana" w:eastAsia="Verdana" w:cs="Verdana"/>
          <w:sz w:val="21"/>
          <w:szCs w:val="21"/>
          <w:b w:val="1"/>
          <w:bCs w:val="1"/>
        </w:rPr>
        <w:pStyle w:val="Heading2"/>
      </w:pPr>
      <w:bookmarkStart w:id="4" w:name="Xa5823cb72cde8cbb5180a30bdc574971e9835d8"/>
      <w:bookmarkEnd w:id="3"/>
      <w:r>
        <w:rPr>
          <w:rFonts w:ascii="Verdana" w:hAnsi="Verdana" w:eastAsia="Verdana" w:cs="Verdana"/>
          <w:sz w:val="21"/>
          <w:szCs w:val="21"/>
          <w:b w:val="1"/>
          <w:bCs w:val="1"/>
        </w:rPr>
        <w:t xml:space="preserve">4.2.3 What group membership does in the </w:t>
      </w:r>
      <w:r w:rsidR="00A16FA4">
        <w:rPr>
          <w:rFonts w:ascii="Verdana" w:hAnsi="Verdana" w:eastAsia="Verdana" w:cs="Verdana"/>
          <w:sz w:val="21"/>
          <w:szCs w:val="21"/>
          <w:b w:val="1"/>
          <w:bCs w:val="1"/>
        </w:rPr>
        <w:t xml:space="preserve">naïve </w:t>
      </w:r>
      <w:r>
        <w:rPr>
          <w:rFonts w:ascii="Verdana" w:hAnsi="Verdana" w:eastAsia="Verdana" w:cs="Verdana"/>
          <w:sz w:val="21"/>
          <w:szCs w:val="21"/>
          <w:b w:val="1"/>
          <w:bCs w:val="1"/>
        </w:rP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rPr>
          <w:rFonts w:ascii="Verdana" w:hAnsi="Verdana" w:eastAsia="Verdana" w:cs="Verdana"/>
          <w:sz w:val="28"/>
          <w:szCs w:val="28"/>
          <w:b w:val="1"/>
          <w:bCs w:val="1"/>
        </w:rPr>
        <w:pStyle w:val="Heading1"/>
      </w:pPr>
      <w:bookmarkStart w:id="5" w:name="allowing-uncertainty-in-selection"/>
      <w:bookmarkEnd w:id="1"/>
      <w:bookmarkEnd w:id="4"/>
      <w:r>
        <w:rPr>
          <w:rFonts w:ascii="Verdana" w:hAnsi="Verdana" w:eastAsia="Verdana" w:cs="Verdana"/>
          <w:sz w:val="28"/>
          <w:szCs w:val="28"/>
          <w:b w:val="1"/>
          <w:bCs w:val="1"/>
        </w:rP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rPr>
          <w:rFonts w:ascii="Verdana" w:hAnsi="Verdana" w:eastAsia="Verdana" w:cs="Verdana"/>
          <w:sz w:val="21"/>
          <w:szCs w:val="21"/>
          <w:b w:val="1"/>
          <w:bCs w:val="1"/>
        </w:rPr>
        <w:pStyle w:val="Heading2"/>
      </w:pPr>
      <w:bookmarkStart w:id="6" w:name="Xa81b982df13d1d13892043cb673ae528535138a"/>
      <w:r>
        <w:rPr>
          <w:rFonts w:ascii="Verdana" w:hAnsi="Verdana" w:eastAsia="Verdana" w:cs="Verdana"/>
          <w:sz w:val="21"/>
          <w:szCs w:val="21"/>
          <w:b w:val="1"/>
          <w:bCs w:val="1"/>
        </w:rP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was measured.</w:t>
      </w:r>
    </w:p>
    <w:p w14:paraId="70892142" w14:textId="4C1004E2" w:rsidR="00CB3150" w:rsidRDefault="00000000">
      <w:pPr>
        <w:rPr>
          <w:rFonts w:ascii="Verdana" w:hAnsi="Verdana" w:eastAsia="Verdana" w:cs="Verdana"/>
          <w:sz w:val="21"/>
          <w:szCs w:val="21"/>
          <w:b w:val="1"/>
          <w:bCs w:val="1"/>
        </w:rPr>
        <w:pStyle w:val="Heading2"/>
      </w:pPr>
      <w:bookmarkStart w:id="7" w:name="X3403a481b954ec6ac05b20913aa990d79a7f6ac"/>
      <w:bookmarkEnd w:id="6"/>
      <w:r>
        <w:rPr>
          <w:rFonts w:ascii="Verdana" w:hAnsi="Verdana" w:eastAsia="Verdana" w:cs="Verdana"/>
          <w:sz w:val="21"/>
          <w:szCs w:val="21"/>
          <w:b w:val="1"/>
          <w:bCs w:val="1"/>
        </w:rPr>
        <w:t xml:space="preserve">4.3.2 </w:t>
      </w:r>
      <w:r w:rsidR="003E7FF3">
        <w:rPr>
          <w:rFonts w:ascii="Verdana" w:hAnsi="Verdana" w:eastAsia="Verdana" w:cs="Verdana"/>
          <w:sz w:val="21"/>
          <w:szCs w:val="21"/>
          <w:b w:val="1"/>
          <w:bCs w:val="1"/>
        </w:rPr>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rPr>
          <m:t>i</m:t>
        </m:r>
      </m:oMath>
      <w:r>
        <w:rPr>
          <w:rFonts w:ascii="Verdana" w:hAnsi="Verdana" w:eastAsia="Verdana" w:cs="Verdana"/>
          <w:sz w:val="20"/>
          <w:szCs w:val="20"/>
        </w:rP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rFonts w:ascii="Verdana" w:hAnsi="Verdana" w:eastAsia="Verdana" w:cs="Verdana"/>
          <w:sz w:val="20"/>
          <w:szCs w:val="20"/>
        </w:rPr>
        <w:t xml:space="preserve"> denote the individual selected on draw </w:t>
      </w:r>
      <m:oMath>
        <m:r>
          <w:rPr>
            <w:rFonts w:ascii="Cambria Math" w:hAnsi="Cambria Math"/>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rPr>
          <w:rFonts w:ascii="Verdana" w:hAnsi="Verdana" w:eastAsia="Verdana" w:cs="Verdana"/>
          <w:sz w:val="21"/>
          <w:szCs w:val="21"/>
          <w:b w:val="1"/>
          <w:bCs w:val="1"/>
        </w:rPr>
        <w:pStyle w:val="Heading2"/>
      </w:pPr>
      <w:bookmarkStart w:id="8" w:name="limits-and-score-units"/>
      <w:bookmarkEnd w:id="7"/>
      <w:r>
        <w:rPr>
          <w:rFonts w:ascii="Verdana" w:hAnsi="Verdana" w:eastAsia="Verdana" w:cs="Verdana"/>
          <w:sz w:val="21"/>
          <w:szCs w:val="21"/>
          <w:b w:val="1"/>
          <w:bCs w:val="1"/>
        </w:rP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rPr>
          <w:rFonts w:ascii="Verdana" w:hAnsi="Verdana" w:eastAsia="Verdana" w:cs="Verdana"/>
          <w:sz w:val="28"/>
          <w:szCs w:val="28"/>
          <w:b w:val="1"/>
          <w:bCs w:val="1"/>
        </w:rPr>
        <w:pStyle w:val="Heading1"/>
      </w:pPr>
      <w:bookmarkStart w:id="9" w:name="introducing-local-competitive-congestion"/>
      <w:bookmarkEnd w:id="5"/>
      <w:bookmarkEnd w:id="8"/>
      <w:r>
        <w:rPr>
          <w:rFonts w:ascii="Verdana" w:hAnsi="Verdana" w:eastAsia="Verdana" w:cs="Verdana"/>
          <w:sz w:val="28"/>
          <w:szCs w:val="28"/>
          <w:b w:val="1"/>
          <w:bCs w:val="1"/>
        </w:rP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Verdana" w:hAnsi="Verdana" w:eastAsia="Verdana" w:cs="Verdana"/>
          <w:sz w:val="20"/>
          <w:szCs w:val="20"/>
        </w:rPr>
        <w:t xml:space="preserve"> denote the congestion experienced by individual </w:t>
      </w:r>
      <m:oMath>
        <m:r>
          <w:rPr>
            <w:rFonts w:ascii="Cambria Math" w:hAnsi="Cambria Math"/>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rPr>
          <m:t>λ=0</m:t>
        </m:r>
      </m:oMath>
      <w:r w:rsidRPr="00F90200">
        <w:rPr>
          <w:rFonts w:ascii="Verdana" w:hAnsi="Verdana" w:eastAsia="Verdana" w:cs="Verdana"/>
          <w:sz w:val="20"/>
          <w:szCs w:val="20"/>
        </w:rPr>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rPr>
          <w:rFonts w:ascii="Verdana" w:hAnsi="Verdana" w:eastAsia="Verdana" w:cs="Verdana"/>
          <w:sz w:val="20"/>
          <w:szCs w:val="20"/>
        </w:rPr>
        <w:t xml:space="preserve">. At positive </w:t>
      </w:r>
      <m:oMath>
        <m:r>
          <w:rPr>
            <w:rFonts w:ascii="Cambria Math" w:hAnsi="Cambria Math"/>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rPr>
          <w:rFonts w:ascii="Verdana" w:hAnsi="Verdana" w:eastAsia="Verdana" w:cs="Verdana"/>
          <w:sz w:val="21"/>
          <w:szCs w:val="21"/>
          <w:b w:val="1"/>
          <w:bCs w:val="1"/>
        </w:rPr>
        <w:pStyle w:val="Heading2"/>
      </w:pPr>
      <w:bookmarkStart w:id="10" w:name="Xfcdd4f2c4319546fc0ffa163bb157420eb9d8c3"/>
      <w:r>
        <w:rPr>
          <w:rFonts w:ascii="Verdana" w:hAnsi="Verdana" w:eastAsia="Verdana" w:cs="Verdana"/>
          <w:sz w:val="21"/>
          <w:szCs w:val="21"/>
          <w:b w:val="1"/>
          <w:bCs w:val="1"/>
        </w:rP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rPr>
          <w:rFonts w:ascii="Verdana" w:hAnsi="Verdana" w:eastAsia="Verdana" w:cs="Verdana"/>
          <w:sz w:val="20"/>
          <w:szCs w:val="20"/>
        </w:rPr>
        <w:t xml:space="preserve"> identifies the group containing individual </w:t>
      </w:r>
      <m:oMath>
        <m:r>
          <w:rPr>
            <w:rFonts w:ascii="Cambria Math" w:hAnsi="Cambria Math"/>
          </w:rPr>
          <m:t>i</m:t>
        </m:r>
      </m:oMath>
      <w:r>
        <w:rPr>
          <w:rFonts w:ascii="Verdana" w:hAnsi="Verdana" w:eastAsia="Verdana" w:cs="Verdana"/>
          <w:sz w:val="20"/>
          <w:szCs w:val="20"/>
        </w:rP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rPr>
          <m:t>i</m:t>
        </m:r>
      </m:oMath>
      <w:r>
        <w:rPr>
          <w:rFonts w:ascii="Verdana" w:hAnsi="Verdana" w:eastAsia="Verdana" w:cs="Verdana"/>
          <w:sz w:val="20"/>
          <w:szCs w:val="20"/>
        </w:rPr>
        <w:t xml:space="preserve">’s group except </w:t>
      </w:r>
      <m:oMath>
        <m:r>
          <w:rPr>
            <w:rFonts w:ascii="Cambria Math" w:hAnsi="Cambria Math"/>
          </w:rPr>
          <m:t>i</m:t>
        </m:r>
      </m:oMath>
      <w:r>
        <w:rPr>
          <w:rFonts w:ascii="Verdana" w:hAnsi="Verdana" w:eastAsia="Verdana" w:cs="Verdana"/>
          <w:sz w:val="20"/>
          <w:szCs w:val="20"/>
        </w:rP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rPr>
          <w:rFonts w:ascii="Verdana" w:hAnsi="Verdana" w:eastAsia="Verdana" w:cs="Verdana"/>
          <w:sz w:val="20"/>
          <w:szCs w:val="20"/>
        </w:rPr>
        <w:t xml:space="preserve">, where </w:t>
      </w:r>
      <m:oMath>
        <m:r>
          <w:rPr>
            <w:rFonts w:ascii="Cambria Math" w:hAnsi="Cambria Math"/>
          </w:rPr>
          <m:t>Q</m:t>
        </m:r>
      </m:oMath>
      <w:r>
        <w:rPr>
          <w:rFonts w:ascii="Verdana" w:hAnsi="Verdana" w:eastAsia="Verdana" w:cs="Verdana"/>
          <w:sz w:val="20"/>
          <w:szCs w:val="20"/>
        </w:rPr>
        <w:t xml:space="preserve"> labels the group-quality specification. Individual </w:t>
      </w:r>
      <m:oMath>
        <m:r>
          <w:rPr>
            <w:rFonts w:ascii="Cambria Math" w:hAnsi="Cambria Math"/>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rPr>
          <m:t>j</m:t>
        </m:r>
      </m:oMath>
      <w:r>
        <w:rPr>
          <w:rFonts w:ascii="Verdana" w:hAnsi="Verdana" w:eastAsia="Verdana" w:cs="Verdana"/>
          <w:sz w:val="20"/>
          <w:szCs w:val="20"/>
        </w:rP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rPr>
          <m:t>i</m:t>
        </m:r>
      </m:oMath>
      <w:r>
        <w:rPr>
          <w:rFonts w:ascii="Verdana" w:hAnsi="Verdana" w:eastAsia="Verdana" w:cs="Verdana"/>
          <w:sz w:val="20"/>
          <w:szCs w:val="20"/>
        </w:rPr>
        <w:t xml:space="preserve"> in group </w:t>
      </w:r>
      <m:oMath>
        <m:r>
          <w:rPr>
            <w:rFonts w:ascii="Cambria Math" w:hAnsi="Cambria Math"/>
          </w:rPr>
          <m:t>j</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rPr>
          <m:t>λ</m:t>
        </m:r>
      </m:oMath>
      <w:r w:rsidRPr="006E112A">
        <w:rPr>
          <w:rFonts w:ascii="Verdana" w:hAnsi="Verdana" w:eastAsia="Verdana" w:cs="Verdana"/>
          <w:sz w:val="20"/>
          <w:szCs w:val="20"/>
        </w:rPr>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rPr>
          <w:rFonts w:ascii="Verdana" w:hAnsi="Verdana" w:eastAsia="Verdana" w:cs="Verdana"/>
          <w:sz w:val="21"/>
          <w:szCs w:val="21"/>
          <w:b w:val="1"/>
          <w:bCs w:val="1"/>
        </w:rPr>
        <w:pStyle w:val="Heading2"/>
      </w:pPr>
      <w:bookmarkStart w:id="11" w:name="Xdc28eb0d9af23d26594087763702d6632d638b0"/>
      <w:bookmarkEnd w:id="10"/>
      <w:r>
        <w:rPr>
          <w:rFonts w:ascii="Verdana" w:hAnsi="Verdana" w:eastAsia="Verdana" w:cs="Verdana"/>
          <w:sz w:val="21"/>
          <w:szCs w:val="21"/>
          <w:b w:val="1"/>
          <w:bCs w:val="1"/>
        </w:rPr>
        <w:t>4.4.</w:t>
      </w:r>
      <w:r w:rsidR="00506582">
        <w:rPr>
          <w:rFonts w:ascii="Verdana" w:hAnsi="Verdana" w:eastAsia="Verdana" w:cs="Verdana"/>
          <w:sz w:val="21"/>
          <w:szCs w:val="21"/>
          <w:b w:val="1"/>
          <w:bCs w:val="1"/>
        </w:rPr>
        <w:t>2</w:t>
      </w:r>
      <w:r>
        <w:rPr>
          <w:rFonts w:ascii="Verdana" w:hAnsi="Verdana" w:eastAsia="Verdana" w:cs="Verdana"/>
          <w:sz w:val="21"/>
          <w:szCs w:val="21"/>
          <w:b w:val="1"/>
          <w:bCs w:val="1"/>
        </w:rPr>
        <w:t xml:space="preserve"> </w:t>
      </w:r>
      <w:r w:rsidR="00506582">
        <w:rPr>
          <w:rFonts w:ascii="Verdana" w:hAnsi="Verdana" w:eastAsia="Verdana" w:cs="Verdana"/>
          <w:sz w:val="21"/>
          <w:szCs w:val="21"/>
          <w:b w:val="1"/>
          <w:bCs w:val="1"/>
        </w:rPr>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denote member </w:t>
      </w:r>
      <m:oMath>
        <m:r>
          <w:rPr>
            <w:rFonts w:ascii="Cambria Math" w:hAnsi="Cambria Math"/>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rPr>
          <m:t>σ</m:t>
        </m:r>
      </m:oMath>
      <w:r>
        <w:rPr>
          <w:rFonts w:ascii="Verdana" w:hAnsi="Verdana" w:eastAsia="Verdana" w:cs="Verdana"/>
          <w:sz w:val="20"/>
          <w:szCs w:val="20"/>
        </w:rPr>
        <w:t xml:space="preserve">, to map performance relative to </w:t>
      </w:r>
      <m:oMath>
        <m:r>
          <w:rPr>
            <w:rFonts w:ascii="Cambria Math" w:hAnsi="Cambria Math"/>
          </w:rPr>
          <m:t>θ</m:t>
        </m:r>
      </m:oMath>
      <w:r>
        <w:rPr>
          <w:rFonts w:ascii="Verdana" w:hAnsi="Verdana" w:eastAsia="Verdana" w:cs="Verdana"/>
          <w:sz w:val="20"/>
          <w:szCs w:val="20"/>
        </w:rPr>
        <w:t xml:space="preserve"> into a value between zero and one. A positive parameter </w:t>
      </w:r>
      <m:oMath>
        <m:r>
          <w:rPr>
            <w:rFonts w:ascii="Cambria Math" w:hAnsi="Cambria Math"/>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rPr>
          <m:t>γ</m:t>
        </m:r>
      </m:oMath>
      <w:r>
        <w:rPr>
          <w:rFonts w:ascii="Verdana" w:hAnsi="Verdana" w:eastAsia="Verdana" w:cs="Verdana"/>
          <w:sz w:val="20"/>
          <w:szCs w:val="20"/>
        </w:rPr>
        <w:t xml:space="preserve"> produces a sharper transition around the threshold; smaller </w:t>
      </w:r>
      <m:oMath>
        <m:r>
          <w:rPr>
            <w:rFonts w:ascii="Cambria Math" w:hAnsi="Cambria Math"/>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rPr>
          <m:t>h</m:t>
        </m:r>
      </m:oMath>
      <w:r>
        <w:rPr>
          <w:rFonts w:ascii="Verdana" w:hAnsi="Verdana" w:eastAsia="Verdana" w:cs="Verdana"/>
          <w:sz w:val="20"/>
          <w:szCs w:val="20"/>
        </w:rPr>
        <w:t xml:space="preserve"> will be selected. The threshold </w:t>
      </w:r>
      <m:oMath>
        <m:r>
          <w:rPr>
            <w:rFonts w:ascii="Cambria Math" w:hAnsi="Cambria Math"/>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rPr>
          <m:t>θ</m:t>
        </m:r>
      </m:oMath>
      <w:r>
        <w:rPr>
          <w:rFonts w:ascii="Verdana" w:hAnsi="Verdana" w:eastAsia="Verdana" w:cs="Verdana"/>
          <w:sz w:val="20"/>
          <w:szCs w:val="20"/>
        </w:rPr>
        <w:t xml:space="preserve"> automatically the top-</w:t>
      </w:r>
      <m:oMath>
        <m:r>
          <w:rPr>
            <w:rFonts w:ascii="Cambria Math" w:hAnsi="Cambria Math"/>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rPr>
          <w:rFonts w:ascii="Verdana" w:hAnsi="Verdana" w:eastAsia="Verdana" w:cs="Verdana"/>
          <w:sz w:val="21"/>
          <w:szCs w:val="21"/>
          <w:b w:val="1"/>
          <w:bCs w:val="1"/>
        </w:rPr>
        <w:pStyle w:val="Heading2"/>
      </w:pPr>
      <w:bookmarkStart w:id="12" w:name="Xc082d50cc048025a16853c6d31ad799bd4fde31"/>
      <w:bookmarkEnd w:id="11"/>
      <w:r>
        <w:rPr>
          <w:rFonts w:ascii="Verdana" w:hAnsi="Verdana" w:eastAsia="Verdana" w:cs="Verdana"/>
          <w:sz w:val="21"/>
          <w:szCs w:val="21"/>
          <w:b w:val="1"/>
          <w:bCs w:val="1"/>
        </w:rP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rPr>
          <m:t>j</m:t>
        </m:r>
      </m:oMath>
      <w:r w:rsidRPr="006D78CC">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rPr>
          <w:rFonts w:ascii="Verdana" w:hAnsi="Verdana" w:eastAsia="Verdana" w:cs="Verdana"/>
          <w:sz w:val="20"/>
          <w:szCs w:val="20"/>
        </w:rPr>
        <w:t xml:space="preserve"> members and each member </w:t>
      </w:r>
      <m:oMath>
        <m:r>
          <w:rPr>
            <w:rFonts w:ascii="Cambria Math" w:hAnsi="Cambria Math"/>
          </w:rPr>
          <m:t>h</m:t>
        </m:r>
      </m:oMath>
      <w:r w:rsidRPr="006D78CC">
        <w:rPr>
          <w:rFonts w:ascii="Verdana" w:hAnsi="Verdana" w:eastAsia="Verdana" w:cs="Verdana"/>
          <w:sz w:val="20"/>
          <w:szCs w:val="20"/>
        </w:rPr>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rPr>
          <m:t>i</m:t>
        </m:r>
      </m:oMath>
      <w:r w:rsidRPr="006D78CC">
        <w:rPr>
          <w:rFonts w:ascii="Verdana" w:hAnsi="Verdana" w:eastAsia="Verdana" w:cs="Verdana"/>
          <w:sz w:val="20"/>
          <w:szCs w:val="20"/>
        </w:rPr>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Likewise, the numerical meaning of </w:t>
      </w:r>
      <m:oMath>
        <m:r>
          <w:rPr>
            <w:rFonts w:ascii="Cambria Math" w:hAnsi="Cambria Math"/>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rPr>
          <w:rFonts w:ascii="Verdana" w:hAnsi="Verdana" w:eastAsia="Verdana" w:cs="Verdana"/>
          <w:sz w:val="20"/>
          <w:szCs w:val="20"/>
        </w:rPr>
        <w:t xml:space="preserve"> is standardized, </w:t>
      </w:r>
      <m:oMath>
        <m:r>
          <w:rPr>
            <w:rFonts w:ascii="Cambria Math" w:hAnsi="Cambria Math"/>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rPr>
          <w:rFonts w:ascii="Verdana" w:hAnsi="Verdana" w:eastAsia="Verdana" w:cs="Verdana"/>
          <w:sz w:val="21"/>
          <w:szCs w:val="21"/>
          <w:b w:val="1"/>
          <w:bCs w:val="1"/>
        </w:rPr>
        <w:pStyle w:val="Heading2"/>
      </w:pPr>
      <w:bookmarkStart w:id="13" w:name="X6be0b98e308fb3b1e3a269c0b46a979e83043a9"/>
      <w:bookmarkEnd w:id="12"/>
      <w:r>
        <w:rPr>
          <w:rFonts w:ascii="Verdana" w:hAnsi="Verdana" w:eastAsia="Verdana" w:cs="Verdana"/>
          <w:sz w:val="21"/>
          <w:szCs w:val="21"/>
          <w:b w:val="1"/>
          <w:bCs w:val="1"/>
        </w:rP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rPr>
          <w:rFonts w:ascii="Verdana" w:hAnsi="Verdana" w:eastAsia="Verdana" w:cs="Verdana"/>
          <w:sz w:val="28"/>
          <w:szCs w:val="28"/>
          <w:b w:val="1"/>
          <w:bCs w:val="1"/>
        </w:rPr>
        <w:pStyle w:val="Heading1"/>
      </w:pPr>
      <w:bookmarkStart w:id="14" w:name="X7a04dd235f4b61b299248b9776f1ec12743c145"/>
      <w:bookmarkEnd w:id="9"/>
      <w:bookmarkEnd w:id="13"/>
      <w:r>
        <w:rPr>
          <w:rFonts w:ascii="Verdana" w:hAnsi="Verdana" w:eastAsia="Verdana" w:cs="Verdana"/>
          <w:sz w:val="28"/>
          <w:szCs w:val="28"/>
          <w:b w:val="1"/>
          <w:bCs w:val="1"/>
        </w:rP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rPr>
          <w:rFonts w:ascii="Verdana" w:hAnsi="Verdana" w:eastAsia="Verdana" w:cs="Verdana"/>
          <w:sz w:val="21"/>
          <w:szCs w:val="21"/>
          <w:b w:val="1"/>
          <w:bCs w:val="1"/>
        </w:rPr>
        <w:pStyle w:val="Heading2"/>
      </w:pPr>
      <w:bookmarkStart w:id="15" w:name="X6d651838145b13eafa5e51df11b757b7c1070b2"/>
      <w:r>
        <w:rPr>
          <w:rFonts w:ascii="Verdana" w:hAnsi="Verdana" w:eastAsia="Verdana" w:cs="Verdana"/>
          <w:sz w:val="21"/>
          <w:szCs w:val="21"/>
          <w:b w:val="1"/>
          <w:bCs w:val="1"/>
        </w:rP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rPr>
          <m:t>θ</m:t>
        </m:r>
      </m:oMath>
      <w:r>
        <w:rPr>
          <w:rFonts w:ascii="Verdana" w:hAnsi="Verdana" w:eastAsia="Verdana" w:cs="Verdana"/>
          <w:sz w:val="20"/>
          <w:szCs w:val="20"/>
        </w:rPr>
        <w:t xml:space="preserve"> determines where performance becomes competitively relevant, while </w:t>
      </w:r>
      <m:oMath>
        <m:r>
          <w:rPr>
            <w:rFonts w:ascii="Cambria Math" w:hAnsi="Cambria Math"/>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holding </w:t>
      </w:r>
      <m:oMath>
        <m:r>
          <w:rPr>
            <w:rFonts w:ascii="Cambria Math" w:hAnsi="Cambria Math"/>
          </w:rPr>
          <m:t>θ</m:t>
        </m:r>
      </m:oMath>
      <w:r>
        <w:rPr>
          <w:rFonts w:ascii="Verdana" w:hAnsi="Verdana" w:eastAsia="Verdana" w:cs="Verdana"/>
          <w:sz w:val="20"/>
          <w:szCs w:val="20"/>
        </w:rPr>
        <w:t xml:space="preserve"> and </w:t>
      </w:r>
      <m:oMath>
        <m:r>
          <w:rPr>
            <w:rFonts w:ascii="Cambria Math" w:hAnsi="Cambria Math"/>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4"/>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4"/>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m:rPr>
              <m:sty m:val="p"/>
            </m:rPr>
            <w:rPr>
              <w:rFonts w:eastAsia="Times New Roman" w:cs="Times New Roman"/>
              <w:color w:val="auto"/>
              <w:szCs w:val="24"/>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Verdana" w:hAnsi="Verdana" w:eastAsia="Verdana" w:cs="Verdana"/>
          <w:sz w:val="20"/>
          <w:szCs w:val="20"/>
        </w:rP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Verdana" w:hAnsi="Verdana" w:eastAsia="Verdana" w:cs="Verdana"/>
          <w:sz w:val="20"/>
          <w:szCs w:val="20"/>
        </w:rPr>
        <w:t xml:space="preserve">, and its value there is </w:t>
      </w:r>
      <m:oMath>
        <m:r>
          <w:rPr>
            <w:rFonts w:ascii="Cambria Math" w:hAnsi="Cambria Math"/>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rPr>
          <m:t>γ</m:t>
        </m:r>
      </m:oMath>
      <w:r w:rsidRPr="00521087">
        <w:rPr>
          <w:rFonts w:ascii="Verdana" w:hAnsi="Verdana" w:eastAsia="Verdana" w:cs="Verdana"/>
          <w:sz w:val="20"/>
          <w:szCs w:val="20"/>
        </w:rPr>
        <w:t xml:space="preserve">. Increasing </w:t>
      </w:r>
      <m:oMath>
        <m:r>
          <w:rPr>
            <w:rFonts w:ascii="Cambria Math" w:hAnsi="Cambria Math"/>
          </w:rPr>
          <m:t>γ</m:t>
        </m:r>
      </m:oMath>
      <w:r w:rsidRPr="00521087">
        <w:rPr>
          <w:rFonts w:ascii="Verdana" w:hAnsi="Verdana" w:eastAsia="Verdana" w:cs="Verdana"/>
          <w:sz w:val="20"/>
          <w:szCs w:val="20"/>
        </w:rPr>
        <w:t xml:space="preserve"> makes the distinction around </w:t>
      </w:r>
      <m:oMath>
        <m:r>
          <w:rPr>
            <w:rFonts w:ascii="Cambria Math" w:hAnsi="Cambria Math"/>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0A9D5AE3" w:rsidR="00927B5E" w:rsidRPr="00521087" w:rsidRDefault="00927B5E" w:rsidP="00E21165">
      <w:pPr>
        <w:pStyle w:val="Caption"/>
      </w:pPr>
      <w:bookmarkStart w:id="16" w:name="Chapter4Figure1"/>
      <w:bookmarkStart w:id="17" w:name="_Ref242720681"/>
      <w:bookmarkStart w:id="18" w:name="_Ref242772765"/>
      <w:r>
        <w:rPr>
          <w:rFonts w:ascii="Trebuchet MS" w:hAnsi="Trebuchet MS" w:eastAsia="Trebuchet MS" w:cs="Trebuchet MS"/>
        </w:rPr>
        <w:t>Figure 4-</w:t>
      </w:r>
      <w:fldSimple w:instr=" SEQ Figure \* ARABIC ">
        <w:r w:rsidR="005E5BEF">
          <w:rPr>
            <w:noProof/>
            <w:rFonts w:ascii="Trebuchet MS" w:hAnsi="Trebuchet MS" w:eastAsia="Trebuchet MS" w:cs="Trebuchet MS"/>
          </w:rPr>
          <w:t>1</w:t>
        </w:r>
      </w:fldSimple>
      <w:bookmarkEnd w:id="16"/>
      <w:bookmarkEnd w:id="17"/>
      <w:bookmarkEnd w:id="18"/>
      <w:r>
        <w:rPr/>
        <w:t xml:space="preserve">. </w:t>
      </w:r>
      <w:r w:rsidRPr="00E21165">
        <w:rPr>
          <w:b/>
          <w:bCs w:val="0"/>
          <w:rFonts w:ascii="Trebuchet MS" w:hAnsi="Trebuchet MS" w:eastAsia="Trebuchet MS" w:cs="Trebuchet MS"/>
        </w:rPr>
        <w:t>Threshold location and transition sharpness</w:t>
      </w:r>
      <w:r>
        <w:rPr>
          <w:rFonts w:ascii="Trebuchet MS" w:hAnsi="Trebuchet MS" w:eastAsia="Trebuchet MS" w:cs="Trebuchet MS"/>
        </w:rP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Trebuchet MS" w:hAnsi="Trebuchet MS" w:eastAsia="Trebuchet MS" w:cs="Trebuchet MS"/>
        </w:rP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Trebuchet MS" w:hAnsi="Trebuchet MS" w:eastAsia="Trebuchet MS" w:cs="Trebuchet MS"/>
        </w:rPr>
        <w:t xml:space="preserve">. Panel A holds </w:t>
      </w:r>
      <m:oMath>
        <m:r>
          <w:rPr>
            <w:rFonts w:ascii="Cambria Math" w:hAnsi="Cambria Math"/>
          </w:rPr>
          <m:t>θ=0</m:t>
        </m:r>
      </m:oMath>
      <w:r>
        <w:rPr>
          <w:rFonts w:ascii="Trebuchet MS" w:hAnsi="Trebuchet MS" w:eastAsia="Trebuchet MS" w:cs="Trebuchet MS"/>
        </w:rPr>
        <w:t xml:space="preserve"> and compares </w:t>
      </w:r>
      <m:oMath>
        <m:r>
          <w:rPr>
            <w:rFonts w:ascii="Cambria Math" w:hAnsi="Cambria Math"/>
          </w:rPr>
          <m:t>γ=0.5,2,</m:t>
        </m:r>
      </m:oMath>
      <w:r>
        <w:rPr>
          <w:rFonts w:ascii="Trebuchet MS" w:hAnsi="Trebuchet MS" w:eastAsia="Trebuchet MS" w:cs="Trebuchet MS"/>
        </w:rPr>
        <w:t xml:space="preserve"> and </w:t>
      </w:r>
      <m:oMath>
        <m:r>
          <w:rPr>
            <w:rFonts w:ascii="Cambria Math" w:hAnsi="Cambria Math"/>
          </w:rPr>
          <m:t>8</m:t>
        </m:r>
      </m:oMath>
      <w:r>
        <w:rPr>
          <w:rFonts w:ascii="Trebuchet MS" w:hAnsi="Trebuchet MS" w:eastAsia="Trebuchet MS" w:cs="Trebuchet MS"/>
        </w:rPr>
        <w:t xml:space="preserve">. Panel B holds </w:t>
      </w:r>
      <m:oMath>
        <m:r>
          <w:rPr>
            <w:rFonts w:ascii="Cambria Math" w:hAnsi="Cambria Math"/>
          </w:rPr>
          <m:t>γ=2</m:t>
        </m:r>
      </m:oMath>
      <w:r>
        <w:rPr>
          <w:rFonts w:ascii="Trebuchet MS" w:hAnsi="Trebuchet MS" w:eastAsia="Trebuchet MS" w:cs="Trebuchet MS"/>
        </w:rPr>
        <w:t xml:space="preserve"> and compares </w:t>
      </w:r>
      <m:oMath>
        <m:r>
          <w:rPr>
            <w:rFonts w:ascii="Cambria Math" w:hAnsi="Cambria Math"/>
          </w:rPr>
          <m:t>θ=-1,0,</m:t>
        </m:r>
      </m:oMath>
      <w:r>
        <w:rPr>
          <w:rFonts w:ascii="Trebuchet MS" w:hAnsi="Trebuchet MS" w:eastAsia="Trebuchet MS" w:cs="Trebuchet MS"/>
        </w:rPr>
        <w:t xml:space="preserve"> and </w:t>
      </w:r>
      <m:oMath>
        <m:r>
          <w:rPr>
            <w:rFonts w:ascii="Cambria Math" w:hAnsi="Cambria Math"/>
          </w:rPr>
          <m:t>1</m:t>
        </m:r>
      </m:oMath>
      <w:r>
        <w:rPr>
          <w:rFonts w:ascii="Trebuchet MS" w:hAnsi="Trebuchet MS" w:eastAsia="Trebuchet MS" w:cs="Trebuchet MS"/>
        </w:rP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Trebuchet MS" w:hAnsi="Trebuchet MS" w:eastAsia="Trebuchet MS" w:cs="Trebuchet MS"/>
        </w:rP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Trebuchet MS" w:hAnsi="Trebuchet MS" w:eastAsia="Trebuchet MS" w:cs="Trebuchet MS"/>
        </w:rP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rPr>
          <m:t>γ</m:t>
        </m:r>
      </m:oMath>
      <w:r w:rsidRPr="00521087">
        <w:rPr>
          <w:rFonts w:ascii="Verdana" w:hAnsi="Verdana" w:eastAsia="Verdana" w:cs="Verdana"/>
          <w:sz w:val="20"/>
          <w:szCs w:val="20"/>
        </w:rPr>
        <w:t xml:space="preserve"> approaches zero, with performance values and </w:t>
      </w:r>
      <m:oMath>
        <m:r>
          <w:rPr>
            <w:rFonts w:ascii="Cambria Math" w:hAnsi="Cambria Math"/>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rPr>
          <w:rFonts w:ascii="Verdana" w:hAnsi="Verdana" w:eastAsia="Verdana" w:cs="Verdana"/>
          <w:sz w:val="21"/>
          <w:szCs w:val="21"/>
          <w:b w:val="1"/>
          <w:bCs w:val="1"/>
        </w:rPr>
        <w:pStyle w:val="Heading2"/>
      </w:pPr>
      <w:bookmarkStart w:id="19" w:name="penalty-strength-and-score-scale"/>
      <w:bookmarkEnd w:id="15"/>
      <w:r>
        <w:rPr>
          <w:rFonts w:ascii="Verdana" w:hAnsi="Verdana" w:eastAsia="Verdana" w:cs="Verdana"/>
          <w:sz w:val="21"/>
          <w:szCs w:val="21"/>
          <w:b w:val="1"/>
          <w:bCs w:val="1"/>
        </w:rP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rPr>
          <m:t>λ</m:t>
        </m:r>
        <m:r>
          <m:rPr>
            <m:sty m:val="p"/>
          </m:rPr>
          <w:rPr>
            <w:rFonts w:ascii="Cambria Math" w:hAnsi="Cambria Math"/>
          </w:rPr>
          <m:t>&gt;</m:t>
        </m:r>
        <m:r>
          <w:rPr>
            <w:rFonts w:ascii="Cambria Math" w:hAnsi="Cambria Math"/>
          </w:rPr>
          <m:t>0</m:t>
        </m:r>
      </m:oMath>
      <w:r>
        <w:rPr>
          <w:rFonts w:ascii="Verdana" w:hAnsi="Verdana" w:eastAsia="Verdana" w:cs="Verdana"/>
          <w:sz w:val="20"/>
          <w:szCs w:val="20"/>
        </w:rPr>
        <w:t xml:space="preserve">, the raw penalty on any candidate lies strictly between zero and </w:t>
      </w:r>
      <m:oMath>
        <m:r>
          <w:rPr>
            <w:rFonts w:ascii="Cambria Math" w:hAnsi="Cambria Math"/>
          </w:rPr>
          <m:t>λ</m:t>
        </m:r>
      </m:oMath>
      <w:r>
        <w:rPr>
          <w:rFonts w:ascii="Verdana" w:hAnsi="Verdana" w:eastAsia="Verdana" w:cs="Verdana"/>
          <w:sz w:val="20"/>
          <w:szCs w:val="20"/>
        </w:rPr>
        <w:t xml:space="preserve">, and a cross-group penalty difference has magnitude less than </w:t>
      </w:r>
      <m:oMath>
        <m:r>
          <w:rPr>
            <w:rFonts w:ascii="Cambria Math" w:hAnsi="Cambria Math"/>
          </w:rPr>
          <m:t>λ</m:t>
        </m:r>
      </m:oMath>
      <w:r>
        <w:rPr>
          <w:rFonts w:ascii="Verdana" w:hAnsi="Verdana" w:eastAsia="Verdana" w:cs="Verdana"/>
          <w:sz w:val="20"/>
          <w:szCs w:val="20"/>
        </w:rPr>
        <w:t xml:space="preserve">. At </w:t>
      </w:r>
      <m:oMath>
        <m:r>
          <w:rPr>
            <w:rFonts w:ascii="Cambria Math" w:hAnsi="Cambria Math"/>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rPr>
          <m:t>λ</m:t>
        </m:r>
      </m:oMath>
      <w:r>
        <w:rPr>
          <w:rFonts w:ascii="Verdana" w:hAnsi="Verdana" w:eastAsia="Verdana" w:cs="Verdana"/>
          <w:sz w:val="20"/>
          <w:szCs w:val="20"/>
        </w:rP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pPr>
      <w:bookmarkStart w:id="20" w:name="Chapter4Figure2"/>
      <w:bookmarkStart w:id="21" w:name="_Ref242721199"/>
      <w:r>
        <w:rPr>
          <w:rFonts w:ascii="Trebuchet MS" w:hAnsi="Trebuchet MS" w:eastAsia="Trebuchet MS" w:cs="Trebuchet MS"/>
        </w:rPr>
        <w:t>Figure 4-</w:t>
      </w:r>
      <w:fldSimple w:instr=" SEQ Figure \* ARABIC ">
        <w:r w:rsidR="005E5BEF">
          <w:rPr>
            <w:noProof/>
            <w:rFonts w:ascii="Trebuchet MS" w:hAnsi="Trebuchet MS" w:eastAsia="Trebuchet MS" w:cs="Trebuchet MS"/>
          </w:rPr>
          <w:t>2</w:t>
        </w:r>
      </w:fldSimple>
      <w:bookmarkEnd w:id="20"/>
      <w:bookmarkEnd w:id="21"/>
      <w:r>
        <w:rPr/>
        <w:t xml:space="preserve">. </w:t>
      </w:r>
      <w:r w:rsidRPr="007D56E8">
        <w:rPr/>
        <w:t xml:space="preserve"> </w:t>
      </w:r>
      <w:r w:rsidRPr="00E21165">
        <w:rPr>
          <w:b/>
          <w:bCs w:val="0"/>
          <w:rFonts w:ascii="Trebuchet MS" w:hAnsi="Trebuchet MS" w:eastAsia="Trebuchet MS" w:cs="Trebuchet MS"/>
        </w:rPr>
        <w:t>Continuous score changes and discrete changes in selection.</w:t>
      </w:r>
      <w:r>
        <w:rPr>
          <w:b/>
          <w:bCs w:val="0"/>
        </w:rPr>
        <w:t xml:space="preserve"> </w:t>
      </w:r>
      <w:r>
        <w:rPr>
          <w:rFonts w:ascii="Trebuchet MS" w:hAnsi="Trebuchet MS" w:eastAsia="Trebuchet MS" w:cs="Trebuchet MS"/>
        </w:rPr>
        <w:t xml:space="preserve">Nine illustrative individuals belong to three groups of three. Competitive relevance is calculated using </w:t>
      </w:r>
      <m:oMath>
        <m:r>
          <w:rPr>
            <w:rFonts w:ascii="Cambria Math" w:hAnsi="Cambria Math"/>
          </w:rPr>
          <m:t>θ=1</m:t>
        </m:r>
      </m:oMath>
      <w:r>
        <w:rPr>
          <w:rFonts w:ascii="Trebuchet MS" w:hAnsi="Trebuchet MS" w:eastAsia="Trebuchet MS" w:cs="Trebuchet MS"/>
        </w:rPr>
        <w:t xml:space="preserve"> and </w:t>
      </w:r>
      <m:oMath>
        <m:r>
          <w:rPr>
            <w:rFonts w:ascii="Cambria Math" w:hAnsi="Cambria Math"/>
          </w:rPr>
          <m:t>γ=2</m:t>
        </m:r>
      </m:oMath>
      <w:r>
        <w:rPr>
          <w:rFonts w:ascii="Trebuchet MS" w:hAnsi="Trebuchet MS" w:eastAsia="Trebuchet MS" w:cs="Trebuchet MS"/>
        </w:rP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rebuchet MS" w:hAnsi="Trebuchet MS" w:eastAsia="Trebuchet MS" w:cs="Trebuchet MS"/>
        </w:rPr>
        <w:t xml:space="preserve"> is the mean relevance of all its members. Performance, membership, and roster pressure remain fixed while </w:t>
      </w:r>
      <m:oMath>
        <m:r>
          <w:rPr>
            <w:rFonts w:ascii="Cambria Math" w:hAnsi="Cambria Math"/>
          </w:rPr>
          <m:t>λ</m:t>
        </m:r>
      </m:oMath>
      <w:r>
        <w:rPr>
          <w:rFonts w:ascii="Trebuchet MS" w:hAnsi="Trebuchet MS" w:eastAsia="Trebuchet MS" w:cs="Trebuchet MS"/>
        </w:rP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Trebuchet MS" w:hAnsi="Trebuchet MS" w:eastAsia="Trebuchet MS" w:cs="Trebuchet MS"/>
        </w:rPr>
        <w:t xml:space="preserve">; colors identify groups, and bold segments identify the global top three. Panel B records selection membership. At </w:t>
      </w:r>
      <m:oMath>
        <m:r>
          <w:rPr>
            <w:rFonts w:ascii="Cambria Math" w:hAnsi="Cambria Math"/>
          </w:rPr>
          <m:t>λ≈0.336</m:t>
        </m:r>
      </m:oMath>
      <w:r>
        <w:rPr>
          <w:rFonts w:ascii="Trebuchet MS" w:hAnsi="Trebuchet MS" w:eastAsia="Trebuchet MS" w:cs="Trebuchet MS"/>
        </w:rPr>
        <w:t xml:space="preserve">, P7 replaces P2. At </w:t>
      </w:r>
      <m:oMath>
        <m:r>
          <w:rPr>
            <w:rFonts w:ascii="Cambria Math" w:hAnsi="Cambria Math"/>
          </w:rPr>
          <m:t>λ≈0.617</m:t>
        </m:r>
      </m:oMath>
      <w:r>
        <w:rPr>
          <w:rFonts w:ascii="Trebuchet MS" w:hAnsi="Trebuchet MS" w:eastAsia="Trebuchet MS" w:cs="Trebuchet MS"/>
        </w:rP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rPr>
          <w:rFonts w:ascii="Verdana" w:hAnsi="Verdana" w:eastAsia="Verdana" w:cs="Verdana"/>
          <w:sz w:val="20"/>
          <w:szCs w:val="20"/>
        </w:rPr>
        <w:t xml:space="preserve"> denote individual </w:t>
      </w:r>
      <m:oMath>
        <m:r>
          <w:rPr>
            <w:rFonts w:ascii="Cambria Math" w:hAnsi="Cambria Math"/>
          </w:rPr>
          <m:t>i</m:t>
        </m:r>
      </m:oMath>
      <w:r w:rsidRPr="0064739C">
        <w:rPr>
          <w:rFonts w:ascii="Verdana" w:hAnsi="Verdana" w:eastAsia="Verdana" w:cs="Verdana"/>
          <w:sz w:val="20"/>
          <w:szCs w:val="20"/>
        </w:rPr>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rPr>
          <w:rFonts w:ascii="Verdana" w:hAnsi="Verdana" w:eastAsia="Verdana" w:cs="Verdana"/>
          <w:sz w:val="20"/>
          <w:szCs w:val="20"/>
        </w:rPr>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always improves </w:t>
      </w:r>
      <m:oMath>
        <m:r>
          <w:rPr>
            <w:rFonts w:ascii="Cambria Math" w:hAnsi="Cambria Math"/>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rPr>
          <m:t>i</m:t>
        </m:r>
      </m:oMath>
      <w:r w:rsidRPr="0064739C">
        <w:rPr>
          <w:rFonts w:ascii="Verdana" w:hAnsi="Verdana" w:eastAsia="Verdana" w:cs="Verdana"/>
          <w:sz w:val="20"/>
          <w:szCs w:val="20"/>
        </w:rPr>
        <w:t>’s own adjusted score decreases.</w:t>
      </w:r>
    </w:p>
    <w:p w14:paraId="6513ED26" w14:textId="77777777" w:rsidR="00CB3150" w:rsidRDefault="00000000">
      <w:pPr>
        <w:rPr>
          <w:rFonts w:ascii="Verdana" w:hAnsi="Verdana" w:eastAsia="Verdana" w:cs="Verdana"/>
          <w:sz w:val="21"/>
          <w:szCs w:val="21"/>
          <w:b w:val="1"/>
          <w:bCs w:val="1"/>
        </w:rPr>
        <w:pStyle w:val="Heading2"/>
      </w:pPr>
      <w:bookmarkStart w:id="22" w:name="scarcity-and-the-selection-margin"/>
      <w:bookmarkEnd w:id="19"/>
      <w:r>
        <w:rPr>
          <w:rFonts w:ascii="Verdana" w:hAnsi="Verdana" w:eastAsia="Verdana" w:cs="Verdana"/>
          <w:sz w:val="21"/>
          <w:szCs w:val="21"/>
          <w:b w:val="1"/>
          <w:bCs w:val="1"/>
        </w:rP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rPr>
          <m:t>N</m:t>
        </m:r>
      </m:oMath>
      <w:r w:rsidRPr="00471E0D">
        <w:rPr>
          <w:rFonts w:ascii="Verdana" w:hAnsi="Verdana" w:eastAsia="Verdana" w:cs="Verdana"/>
          <w:sz w:val="20"/>
          <w:szCs w:val="20"/>
        </w:rPr>
        <w:t xml:space="preserve"> denote the number of individuals competing for </w:t>
      </w:r>
      <m:oMath>
        <m:r>
          <w:rPr>
            <w:rFonts w:ascii="Cambria Math" w:hAnsi="Cambria Math"/>
          </w:rPr>
          <m:t>K</m:t>
        </m:r>
      </m:oMath>
      <w:r w:rsidRPr="00471E0D">
        <w:rPr>
          <w:rFonts w:ascii="Verdana" w:hAnsi="Verdana" w:eastAsia="Verdana" w:cs="Verdana"/>
          <w:sz w:val="20"/>
          <w:szCs w:val="20"/>
        </w:rPr>
        <w:t xml:space="preserve"> available places. The selection fraction </w:t>
      </w:r>
      <m:oMath>
        <m:r>
          <w:rPr>
            <w:rFonts w:ascii="Cambria Math" w:hAnsi="Cambria Math"/>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rPr>
          <m:t>K</m:t>
        </m:r>
      </m:oMath>
      <w:r>
        <w:rPr>
          <w:rFonts w:ascii="Verdana" w:hAnsi="Verdana" w:eastAsia="Verdana" w:cs="Verdana"/>
          <w:sz w:val="20"/>
          <w:szCs w:val="20"/>
        </w:rPr>
        <w:t xml:space="preserve"> directly limits how many individuals advance, while </w:t>
      </w:r>
      <m:oMath>
        <m:r>
          <w:rPr>
            <w:rFonts w:ascii="Cambria Math" w:hAnsi="Cambria Math"/>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rPr>
          <m:t>θ</m:t>
        </m:r>
      </m:oMath>
      <w:r>
        <w:rPr>
          <w:rFonts w:ascii="Verdana" w:hAnsi="Verdana" w:eastAsia="Verdana" w:cs="Verdana"/>
          <w:sz w:val="20"/>
          <w:szCs w:val="20"/>
        </w:rPr>
        <w:t xml:space="preserve"> in relation to </w:t>
      </w:r>
      <m:oMath>
        <m:r>
          <w:rPr>
            <w:rFonts w:ascii="Cambria Math" w:hAnsi="Cambria Math"/>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rPr>
          <m:t>γ</m:t>
        </m:r>
      </m:oMath>
      <w:r>
        <w:rPr>
          <w:rFonts w:ascii="Verdana" w:hAnsi="Verdana" w:eastAsia="Verdana" w:cs="Verdana"/>
          <w:sz w:val="20"/>
          <w:szCs w:val="20"/>
        </w:rPr>
        <w:t xml:space="preserve"> held fixed, a higher </w:t>
      </w:r>
      <m:oMath>
        <m:r>
          <w:rPr>
            <w:rFonts w:ascii="Cambria Math" w:hAnsi="Cambria Math"/>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rPr>
          <m:t>θ</m:t>
        </m:r>
      </m:oMath>
      <w:r w:rsidR="00432E89">
        <w:rPr>
          <w:rFonts w:ascii="Verdana" w:hAnsi="Verdana" w:eastAsia="Verdana" w:cs="Verdana"/>
          <w:sz w:val="20"/>
          <w:szCs w:val="20"/>
        </w:rPr>
        <w:t xml:space="preserve">, </w:t>
      </w:r>
      <m:oMath>
        <m:r>
          <w:rPr>
            <w:rFonts w:ascii="Cambria Math" w:hAnsi="Cambria Math"/>
          </w:rPr>
          <m:t>γ</m:t>
        </m:r>
      </m:oMath>
      <w:r w:rsidR="00432E89">
        <w:rPr>
          <w:rFonts w:ascii="Verdana" w:hAnsi="Verdana" w:eastAsia="Verdana" w:cs="Verdana"/>
          <w:sz w:val="20"/>
          <w:szCs w:val="20"/>
        </w:rPr>
        <w:t xml:space="preserve">, and </w:t>
      </w:r>
      <m:oMath>
        <m:r>
          <w:rPr>
            <w:rFonts w:ascii="Cambria Math" w:hAnsi="Cambria Math"/>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rPr>
          <w:rFonts w:ascii="Verdana" w:hAnsi="Verdana" w:eastAsia="Verdana" w:cs="Verdana"/>
          <w:sz w:val="20"/>
          <w:szCs w:val="20"/>
        </w:rPr>
        <w:t xml:space="preserve"> and </w:t>
      </w:r>
      <m:oMath>
        <m:r>
          <w:rPr>
            <w:rFonts w:ascii="Cambria Math" w:hAnsi="Cambria Math"/>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rPr>
          <m:t>θ</m:t>
        </m:r>
      </m:oMath>
      <w:r>
        <w:rPr>
          <w:rFonts w:ascii="Verdana" w:hAnsi="Verdana" w:eastAsia="Verdana" w:cs="Verdana"/>
          <w:sz w:val="20"/>
          <w:szCs w:val="20"/>
        </w:rPr>
        <w:t xml:space="preserve"> at the empirical performance quantile corresponding to </w:t>
      </w:r>
      <m:oMath>
        <m:r>
          <w:rPr>
            <w:rFonts w:ascii="Cambria Math" w:hAnsi="Cambria Math"/>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Pr>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p>
    <w:p w14:paraId="193820DF" w14:textId="1CD3A31F" w:rsidR="00B21393" w:rsidRPr="00B21393" w:rsidRDefault="00B21393" w:rsidP="00D8262B">
      <w:pPr>
        <w:pStyle w:val="Caption"/>
      </w:pPr>
      <w:bookmarkStart w:id="23" w:name="Chapter4Figure3"/>
      <w:bookmarkStart w:id="24" w:name="_Ref242736721"/>
      <w:r>
        <w:rPr>
          <w:rFonts w:ascii="Trebuchet MS" w:hAnsi="Trebuchet MS" w:eastAsia="Trebuchet MS" w:cs="Trebuchet MS"/>
        </w:rPr>
        <w:t>Figure 4-</w:t>
      </w:r>
      <w:fldSimple w:instr=" SEQ Figure \* ARABIC ">
        <w:r w:rsidR="005E5BEF">
          <w:rPr>
            <w:noProof/>
            <w:rFonts w:ascii="Trebuchet MS" w:hAnsi="Trebuchet MS" w:eastAsia="Trebuchet MS" w:cs="Trebuchet MS"/>
          </w:rPr>
          <w:t>3</w:t>
        </w:r>
      </w:fldSimple>
      <w:bookmarkEnd w:id="23"/>
      <w:bookmarkEnd w:id="24"/>
      <w:r>
        <w:rPr/>
        <w:t xml:space="preserve">. </w:t>
      </w:r>
      <w:r w:rsidRPr="00C5784C">
        <w:rPr>
          <w:b/>
          <w:bCs w:val="0"/>
          <w:rFonts w:ascii="Trebuchet MS" w:hAnsi="Trebuchet MS" w:eastAsia="Trebuchet MS" w:cs="Trebuchet MS"/>
        </w:rPr>
        <w:t>Scarcity and competitive relevance change together.</w:t>
      </w:r>
      <w:r>
        <w:rPr>
          <w:b/>
          <w:bCs w:val="0"/>
        </w:rPr>
        <w:t xml:space="preserve">  </w:t>
      </w:r>
      <w:r>
        <w:rPr>
          <w:rFonts w:ascii="Trebuchet MS" w:hAnsi="Trebuchet MS" w:eastAsia="Trebuchet MS" w:cs="Trebuchet MS"/>
        </w:rPr>
        <w:t xml:space="preserve">The same nine individuals compete for three places in the left column and one place in the right column. For this illustration, </w:t>
      </w:r>
      <m:oMath>
        <m:r>
          <w:rPr>
            <w:rFonts w:ascii="Cambria Math" w:hAnsi="Cambria Math"/>
          </w:rPr>
          <m:t>θ</m:t>
        </m:r>
      </m:oMath>
      <w:r>
        <w:rPr>
          <w:rFonts w:ascii="Trebuchet MS" w:hAnsi="Trebuchet MS" w:eastAsia="Trebuchet MS" w:cs="Trebuchet MS"/>
        </w:rPr>
        <w:t xml:space="preserve"> is the linearly interpolated empirical </w:t>
      </w:r>
      <m:oMath>
        <m:d>
          <m:dPr>
            <m:ctrlPr>
              <w:rPr>
                <w:rFonts w:ascii="Cambria Math" w:hAnsi="Cambria Math"/>
              </w:rPr>
            </m:ctrlPr>
          </m:dPr>
          <m:e>
            <m:r>
              <w:rPr>
                <w:rFonts w:ascii="Cambria Math" w:hAnsi="Cambria Math"/>
              </w:rPr>
              <m:t>1-K/N</m:t>
            </m:r>
          </m:e>
        </m:d>
      </m:oMath>
      <w:r>
        <w:rPr>
          <w:rFonts w:ascii="Trebuchet MS" w:hAnsi="Trebuchet MS" w:eastAsia="Trebuchet MS" w:cs="Trebuchet MS"/>
        </w:rPr>
        <w:t xml:space="preserve">-quantile of performance, while </w:t>
      </w:r>
      <m:oMath>
        <m:r>
          <w:rPr>
            <w:rFonts w:ascii="Cambria Math" w:hAnsi="Cambria Math"/>
          </w:rPr>
          <m:t>γ=2</m:t>
        </m:r>
      </m:oMath>
      <w:r>
        <w:rPr>
          <w:rFonts w:ascii="Trebuchet MS" w:hAnsi="Trebuchet MS" w:eastAsia="Trebuchet MS" w:cs="Trebuchet MS"/>
        </w:rPr>
        <w:t xml:space="preserve"> and </w:t>
      </w:r>
      <m:oMath>
        <m:r>
          <w:rPr>
            <w:rFonts w:ascii="Cambria Math" w:hAnsi="Cambria Math"/>
          </w:rPr>
          <m:t>λ=2</m:t>
        </m:r>
      </m:oMath>
      <w:r>
        <w:rPr>
          <w:rFonts w:ascii="Trebuchet MS" w:hAnsi="Trebuchet MS" w:eastAsia="Trebuchet MS" w:cs="Trebuchet MS"/>
        </w:rP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rPr>
          <w:rFonts w:ascii="Trebuchet MS" w:hAnsi="Trebuchet MS" w:eastAsia="Trebuchet MS" w:cs="Trebuchet MS"/>
        </w:rPr>
        <w:t xml:space="preserve"> and </w:t>
      </w:r>
      <m:oMath>
        <m:r>
          <w:rPr>
            <w:rFonts w:ascii="Cambria Math" w:hAnsi="Cambria Math"/>
          </w:rPr>
          <m:t>D/K=1/3</m:t>
        </m:r>
      </m:oMath>
      <w:r>
        <w:rPr>
          <w:rFonts w:ascii="Trebuchet MS" w:hAnsi="Trebuchet MS" w:eastAsia="Trebuchet MS" w:cs="Trebuchet MS"/>
        </w:rPr>
        <w:t xml:space="preserve">. With one place, P4 replaces P1, giving </w:t>
      </w:r>
      <m:oMath>
        <m:r>
          <w:rPr>
            <w:rFonts w:ascii="Cambria Math" w:hAnsi="Cambria Math"/>
          </w:rPr>
          <m:t>D=1</m:t>
        </m:r>
      </m:oMath>
      <w:r>
        <w:rPr>
          <w:rFonts w:ascii="Trebuchet MS" w:hAnsi="Trebuchet MS" w:eastAsia="Trebuchet MS" w:cs="Trebuchet MS"/>
        </w:rPr>
        <w:t xml:space="preserve"> and </w:t>
      </w:r>
      <m:oMath>
        <m:r>
          <w:rPr>
            <w:rFonts w:ascii="Cambria Math" w:hAnsi="Cambria Math"/>
          </w:rPr>
          <m:t>D/K=1</m:t>
        </m:r>
      </m:oMath>
      <w:r>
        <w:rPr>
          <w:rFonts w:ascii="Trebuchet MS" w:hAnsi="Trebuchet MS" w:eastAsia="Trebuchet MS" w:cs="Trebuchet MS"/>
        </w:rP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rPr>
          <w:rFonts w:ascii="Verdana" w:hAnsi="Verdana" w:eastAsia="Verdana" w:cs="Verdana"/>
          <w:sz w:val="21"/>
          <w:szCs w:val="21"/>
          <w:b w:val="1"/>
          <w:bCs w:val="1"/>
        </w:rPr>
        <w:pStyle w:val="Heading2"/>
      </w:pPr>
      <w:bookmarkStart w:id="25" w:name="Xa069076e58659a3b4bc8e27a3dcbab40ab45238"/>
      <w:bookmarkEnd w:id="22"/>
      <w:r>
        <w:rPr>
          <w:rFonts w:ascii="Verdana" w:hAnsi="Verdana" w:eastAsia="Verdana" w:cs="Verdana"/>
          <w:sz w:val="21"/>
          <w:szCs w:val="21"/>
          <w:b w:val="1"/>
          <w:bCs w:val="1"/>
        </w:rPr>
        <w:lastRenderedPageBreak/>
        <w:t xml:space="preserve">4.5.4 </w:t>
      </w:r>
      <w:r w:rsidR="00B21393">
        <w:rPr>
          <w:rFonts w:ascii="Verdana" w:hAnsi="Verdana" w:eastAsia="Verdana" w:cs="Verdana"/>
          <w:sz w:val="21"/>
          <w:szCs w:val="21"/>
          <w:b w:val="1"/>
          <w:bCs w:val="1"/>
        </w:rPr>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pPr>
      <w:bookmarkStart w:id="26" w:name="_Ref242801844"/>
      <w:r>
        <w:rPr>
          <w:rFonts w:ascii="Trebuchet MS" w:hAnsi="Trebuchet MS" w:eastAsia="Trebuchet MS" w:cs="Trebuchet MS"/>
        </w:rPr>
        <w:t>Figure 4-</w:t>
      </w:r>
      <w:fldSimple w:instr=" SEQ Figure \* ARABIC ">
        <w:r w:rsidR="005E5BEF">
          <w:rPr>
            <w:noProof/>
            <w:rFonts w:ascii="Trebuchet MS" w:hAnsi="Trebuchet MS" w:eastAsia="Trebuchet MS" w:cs="Trebuchet MS"/>
          </w:rPr>
          <w:t>4</w:t>
        </w:r>
      </w:fldSimple>
      <w:bookmarkEnd w:id="26"/>
      <w:r>
        <w:rPr/>
        <w:t xml:space="preserve"> </w:t>
      </w:r>
      <w:r>
        <w:rPr>
          <w:rStyle w:val="Strong"/>
          <w:rFonts w:ascii="Trebuchet MS" w:hAnsi="Trebuchet MS" w:eastAsia="Trebuchet MS" w:cs="Trebuchet MS"/>
        </w:rPr>
        <w:t>Selection across peer environments for the full basketball cohort and its top performance band.</w:t>
      </w:r>
      <w:r>
        <w:rPr>
          <w:rFonts w:ascii="Trebuchet MS" w:hAnsi="Trebuchet MS" w:eastAsia="Trebuchet MS" w:cs="Trebuchet MS"/>
        </w:rP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rPr>
          <w:rFonts w:ascii="Trebuchet MS" w:hAnsi="Trebuchet MS" w:eastAsia="Trebuchet MS" w:cs="Trebuchet MS"/>
        </w:rPr>
        <w:t>winsorization</w:t>
      </w:r>
      <w:proofErr w:type="spellEnd"/>
      <w:r>
        <w:rPr>
          <w:rFonts w:ascii="Trebuchet MS" w:hAnsi="Trebuchet MS" w:eastAsia="Trebuchet MS" w:cs="Trebuchet MS"/>
        </w:rP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pPr>
      <w:bookmarkStart w:id="27" w:name="_Ref242867911"/>
      <w:r>
        <w:rPr>
          <w:rFonts w:ascii="Trebuchet MS" w:hAnsi="Trebuchet MS" w:eastAsia="Trebuchet MS" w:cs="Trebuchet MS"/>
        </w:rPr>
        <w:t>Figure 4-</w:t>
      </w:r>
      <w:fldSimple w:instr=" SEQ Figure \* ARABIC ">
        <w:r w:rsidR="005E5BEF">
          <w:rPr>
            <w:noProof/>
            <w:rFonts w:ascii="Trebuchet MS" w:hAnsi="Trebuchet MS" w:eastAsia="Trebuchet MS" w:cs="Trebuchet MS"/>
          </w:rPr>
          <w:t>5</w:t>
        </w:r>
      </w:fldSimple>
      <w:bookmarkEnd w:id="27"/>
      <w:r>
        <w:rPr/>
        <w:t xml:space="preserve"> </w:t>
      </w:r>
      <w:r>
        <w:rPr>
          <w:rStyle w:val="Strong"/>
          <w:rFonts w:ascii="Trebuchet MS" w:hAnsi="Trebuchet MS" w:eastAsia="Trebuchet MS" w:cs="Trebuchet MS"/>
        </w:rPr>
        <w:t>Draft outcomes across peer environments within two high-performance bands.</w:t>
      </w:r>
      <w:r>
        <w:rPr>
          <w:rFonts w:ascii="Trebuchet MS" w:hAnsi="Trebuchet MS" w:eastAsia="Trebuchet MS" w:cs="Trebuchet MS"/>
        </w:rP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rPr>
          <w:rFonts w:ascii="Verdana" w:hAnsi="Verdana" w:eastAsia="Verdana" w:cs="Verdana"/>
          <w:sz w:val="28"/>
          <w:szCs w:val="28"/>
          <w:b w:val="1"/>
          <w:bCs w:val="1"/>
        </w:rPr>
        <w:pStyle w:val="Heading1"/>
      </w:pPr>
      <w:bookmarkStart w:id="28" w:name="Xace9f33b90814f9bd53ece6c999c09ae207edc6"/>
      <w:bookmarkEnd w:id="14"/>
      <w:bookmarkEnd w:id="25"/>
      <w:r>
        <w:rPr>
          <w:rFonts w:ascii="Verdana" w:hAnsi="Verdana" w:eastAsia="Verdana" w:cs="Verdana"/>
          <w:sz w:val="28"/>
          <w:szCs w:val="28"/>
          <w:b w:val="1"/>
          <w:bCs w:val="1"/>
        </w:rP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rPr>
          <w:rFonts w:ascii="Verdana" w:hAnsi="Verdana" w:eastAsia="Verdana" w:cs="Verdana"/>
          <w:sz w:val="21"/>
          <w:szCs w:val="21"/>
          <w:b w:val="1"/>
          <w:bCs w:val="1"/>
        </w:rPr>
        <w:pStyle w:val="Heading2"/>
      </w:pPr>
      <w:bookmarkStart w:id="29" w:name="why-an-assignment-mechanism-is-needed"/>
      <w:r>
        <w:rPr>
          <w:rFonts w:ascii="Verdana" w:hAnsi="Verdana" w:eastAsia="Verdana" w:cs="Verdana"/>
          <w:sz w:val="21"/>
          <w:szCs w:val="21"/>
          <w:b w:val="1"/>
          <w:bCs w:val="1"/>
        </w:rPr>
        <w:lastRenderedPageBreak/>
        <w:t xml:space="preserve">4.6.1 </w:t>
      </w:r>
      <w:r w:rsidR="00912BB1">
        <w:rPr>
          <w:rFonts w:ascii="Verdana" w:hAnsi="Verdana" w:eastAsia="Verdana" w:cs="Verdana"/>
          <w:sz w:val="21"/>
          <w:szCs w:val="21"/>
          <w:b w:val="1"/>
          <w:bCs w:val="1"/>
        </w:rPr>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rPr>
          <m:t>J</m:t>
        </m:r>
      </m:oMath>
      <w:r w:rsidRPr="00912BB1">
        <w:rPr>
          <w:rFonts w:ascii="Verdana" w:hAnsi="Verdana" w:eastAsia="Verdana" w:cs="Verdana"/>
          <w:sz w:val="20"/>
          <w:szCs w:val="20"/>
        </w:rPr>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rPr>
          <w:rFonts w:ascii="Verdana" w:hAnsi="Verdana" w:eastAsia="Verdana" w:cs="Verdana"/>
          <w:sz w:val="20"/>
          <w:szCs w:val="20"/>
        </w:rPr>
        <w:t xml:space="preserve"> the specified capacity of group </w:t>
      </w:r>
      <m:oMath>
        <m:r>
          <w:rPr>
            <w:rFonts w:ascii="Cambria Math" w:hAnsi="Cambria Math"/>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rPr>
          <w:rFonts w:ascii="Verdana" w:hAnsi="Verdana" w:eastAsia="Verdana" w:cs="Verdana"/>
          <w:sz w:val="21"/>
          <w:szCs w:val="21"/>
          <w:b w:val="1"/>
          <w:bCs w:val="1"/>
        </w:rPr>
        <w:pStyle w:val="Heading2"/>
      </w:pPr>
      <w:bookmarkStart w:id="30" w:name="X3819545970a9b5cccbdae8e4b8b7e3182042c91"/>
      <w:bookmarkEnd w:id="29"/>
      <w:r>
        <w:rPr>
          <w:rFonts w:ascii="Verdana" w:hAnsi="Verdana" w:eastAsia="Verdana" w:cs="Verdana"/>
          <w:sz w:val="21"/>
          <w:szCs w:val="21"/>
          <w:b w:val="1"/>
          <w:bCs w:val="1"/>
        </w:rP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rPr>
          <m:t>j</m:t>
        </m:r>
      </m:oMath>
      <w:r w:rsidRPr="00912BB1">
        <w:rPr>
          <w:rFonts w:ascii="Verdana" w:hAnsi="Verdana" w:eastAsia="Verdana" w:cs="Verdana"/>
          <w:sz w:val="20"/>
          <w:szCs w:val="20"/>
        </w:rPr>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rPr>
          <m:t>m</m:t>
        </m:r>
      </m:oMath>
      <w:r w:rsidRPr="00912BB1">
        <w:rPr>
          <w:rFonts w:ascii="Verdana" w:hAnsi="Verdana" w:eastAsia="Verdana" w:cs="Verdana"/>
          <w:sz w:val="20"/>
          <w:szCs w:val="20"/>
        </w:rPr>
        <w:t xml:space="preserve">. The nonnegative parameter </w:t>
      </w:r>
      <m:oMath>
        <m:r>
          <m:rPr>
            <m:sty m:val="bi"/>
          </m:rPr>
          <w:rPr>
            <w:rFonts w:ascii="Cambria Math" w:hAnsi="Cambria Math"/>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rPr>
          <m:t>i</m:t>
        </m:r>
      </m:oMath>
      <w:r w:rsidRPr="00912BB1">
        <w:rPr>
          <w:rFonts w:ascii="Verdana" w:hAnsi="Verdana" w:eastAsia="Verdana" w:cs="Verdana"/>
          <w:sz w:val="20"/>
          <w:szCs w:val="20"/>
        </w:rPr>
        <w:t xml:space="preserve"> considered at step </w:t>
      </w:r>
      <m:oMath>
        <m:r>
          <w:rPr>
            <w:rFonts w:ascii="Cambria Math" w:hAnsi="Cambria Math"/>
          </w:rPr>
          <m:t>m</m:t>
        </m:r>
      </m:oMath>
      <w:r w:rsidRPr="00912BB1">
        <w:rPr>
          <w:rFonts w:ascii="Verdana" w:hAnsi="Verdana" w:eastAsia="Verdana" w:cs="Verdana"/>
          <w:sz w:val="20"/>
          <w:szCs w:val="20"/>
        </w:rPr>
        <w:t xml:space="preserve">, the probability of assignment to group </w:t>
      </w:r>
      <m:oMath>
        <m:r>
          <w:rPr>
            <w:rFonts w:ascii="Cambria Math" w:hAnsi="Cambria Math"/>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members. Because total capacity equals </w:t>
      </w:r>
      <m:oMath>
        <m:r>
          <w:rPr>
            <w:rFonts w:ascii="Cambria Math" w:hAnsi="Cambria Math"/>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pPr>
      <w:bookmarkStart w:id="31" w:name="Chapter4Figure4"/>
      <w:r>
        <w:rPr>
          <w:rFonts w:ascii="Trebuchet MS" w:hAnsi="Trebuchet MS" w:eastAsia="Trebuchet MS" w:cs="Trebuchet MS"/>
        </w:rPr>
        <w:t>Figure 4-</w:t>
      </w:r>
      <w:fldSimple w:instr=" SEQ Figure \* ARABIC ">
        <w:r w:rsidR="005E5BEF">
          <w:rPr>
            <w:noProof/>
            <w:rFonts w:ascii="Trebuchet MS" w:hAnsi="Trebuchet MS" w:eastAsia="Trebuchet MS" w:cs="Trebuchet MS"/>
          </w:rPr>
          <w:t>6</w:t>
        </w:r>
      </w:fldSimple>
      <w:bookmarkEnd w:id="31"/>
      <w:r>
        <w:rPr/>
        <w:t xml:space="preserve">. </w:t>
      </w:r>
      <w:r w:rsidRPr="0030367F">
        <w:rPr>
          <w:b/>
          <w:bCs w:val="0"/>
          <w:rFonts w:ascii="Trebuchet MS" w:hAnsi="Trebuchet MS" w:eastAsia="Trebuchet MS" w:cs="Trebuchet MS"/>
        </w:rPr>
        <w:t>Sequential assignment with evolving group centroids</w:t>
      </w:r>
      <w:r w:rsidRPr="00436C53">
        <w:rPr/>
        <w:t>.</w:t>
      </w:r>
      <w:r>
        <w:rPr>
          <w:rFonts w:ascii="Trebuchet MS" w:hAnsi="Trebuchet MS" w:eastAsia="Trebuchet MS" w:cs="Trebuchet MS"/>
        </w:rP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rPr>
          <w:rFonts w:ascii="Trebuchet MS" w:hAnsi="Trebuchet MS" w:eastAsia="Trebuchet MS" w:cs="Trebuchet MS"/>
        </w:rPr>
        <w:t xml:space="preserve"> are assigned to two groups of capacity three using </w:t>
      </w:r>
      <m:oMath>
        <m:r>
          <w:rPr>
            <w:rFonts w:ascii="Cambria Math" w:hAnsi="Cambria Math"/>
          </w:rPr>
          <m:t>ρ=2</m:t>
        </m:r>
      </m:oMath>
      <w:r>
        <w:rPr>
          <w:rFonts w:ascii="Trebuchet MS" w:hAnsi="Trebuchet MS" w:eastAsia="Trebuchet MS" w:cs="Trebuchet MS"/>
        </w:rP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rPr>
          <w:rFonts w:ascii="Trebuchet MS" w:hAnsi="Trebuchet MS" w:eastAsia="Trebuchet MS" w:cs="Trebuchet MS"/>
        </w:rP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rPr>
          <w:rFonts w:ascii="Verdana" w:hAnsi="Verdana" w:eastAsia="Verdana" w:cs="Verdana"/>
          <w:sz w:val="21"/>
          <w:szCs w:val="21"/>
          <w:b w:val="1"/>
          <w:bCs w:val="1"/>
        </w:rPr>
        <w:pStyle w:val="Heading2"/>
      </w:pPr>
      <w:bookmarkStart w:id="32" w:name="preference-and-realized-sorting"/>
      <w:bookmarkEnd w:id="30"/>
      <w:r>
        <w:rPr>
          <w:rFonts w:ascii="Verdana" w:hAnsi="Verdana" w:eastAsia="Verdana" w:cs="Verdana"/>
          <w:sz w:val="21"/>
          <w:szCs w:val="21"/>
          <w:b w:val="1"/>
          <w:bCs w:val="1"/>
        </w:rPr>
        <w:lastRenderedPageBreak/>
        <w:t xml:space="preserve">4.6.3 </w:t>
      </w:r>
      <w:r w:rsidR="0050416D">
        <w:rPr>
          <w:rFonts w:ascii="Verdana" w:hAnsi="Verdana" w:eastAsia="Verdana" w:cs="Verdana"/>
          <w:sz w:val="21"/>
          <w:szCs w:val="21"/>
          <w:b w:val="1"/>
          <w:bCs w:val="1"/>
        </w:rPr>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rPr>
          <m:t>i</m:t>
        </m:r>
      </m:oMath>
      <w:r w:rsidRPr="0050416D">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rPr>
          <m:t>A</m:t>
        </m:r>
      </m:oMath>
      <w:r w:rsidRPr="0050416D">
        <w:rPr>
          <w:rFonts w:ascii="Verdana" w:hAnsi="Verdana" w:eastAsia="Verdana" w:cs="Verdana"/>
          <w:sz w:val="20"/>
          <w:szCs w:val="20"/>
        </w:rPr>
        <w:t xml:space="preserve">, including individual </w:t>
      </w:r>
      <m:oMath>
        <m:r>
          <m:rPr>
            <m:sty m:val="bi"/>
          </m:rPr>
          <w:rPr>
            <w:rFonts w:ascii="Cambria Math" w:hAnsi="Cambria Math"/>
          </w:rPr>
          <m:t>i</m:t>
        </m:r>
      </m:oMath>
      <w:r w:rsidRPr="0050416D">
        <w:rPr>
          <w:rFonts w:ascii="Verdana" w:hAnsi="Verdana" w:eastAsia="Verdana" w:cs="Verdana"/>
          <w:sz w:val="20"/>
          <w:szCs w:val="20"/>
        </w:rPr>
        <w:t xml:space="preserve">, and </w:t>
      </w:r>
      <m:oMath>
        <m:acc>
          <m:accPr>
            <m:chr m:val="̅"/>
            <m:ctrlPr>
              <w:rPr>
                <w:rFonts w:ascii="Cambria Math" w:hAnsi="Cambria Math"/>
              </w:rPr>
            </m:ctrlPr>
          </m:accPr>
          <m:e>
            <m:r>
              <m:rPr>
                <m:sty m:val="bi"/>
              </m:rPr>
              <w:rPr>
                <w:rFonts w:ascii="Cambria Math" w:hAnsi="Cambria Math"/>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rPr>
          <m:t>ρ</m:t>
        </m:r>
      </m:oMath>
      <w:r w:rsidRPr="0050416D">
        <w:rPr>
          <w:rFonts w:ascii="Verdana" w:hAnsi="Verdana" w:eastAsia="Verdana" w:cs="Verdana"/>
          <w:sz w:val="20"/>
          <w:szCs w:val="20"/>
        </w:rPr>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rPr>
          <w:rFonts w:ascii="Verdana" w:hAnsi="Verdana" w:eastAsia="Verdana" w:cs="Verdana"/>
          <w:sz w:val="21"/>
          <w:szCs w:val="21"/>
          <w:b w:val="1"/>
          <w:bCs w:val="1"/>
        </w:rPr>
        <w:pStyle w:val="Heading2"/>
      </w:pPr>
      <w:bookmarkStart w:id="33" w:name="X1ad203f4aedc8fcded9afae827919e65ec1bf18"/>
      <w:bookmarkEnd w:id="32"/>
      <w:r>
        <w:rPr>
          <w:rFonts w:ascii="Verdana" w:hAnsi="Verdana" w:eastAsia="Verdana" w:cs="Verdana"/>
          <w:sz w:val="21"/>
          <w:szCs w:val="21"/>
          <w:b w:val="1"/>
          <w:bCs w:val="1"/>
        </w:rPr>
        <w:t xml:space="preserve">4.6.4 </w:t>
      </w:r>
      <w:r w:rsidR="0050416D">
        <w:rPr>
          <w:rFonts w:ascii="Verdana" w:hAnsi="Verdana" w:eastAsia="Verdana" w:cs="Verdana"/>
          <w:sz w:val="21"/>
          <w:szCs w:val="21"/>
          <w:b w:val="1"/>
          <w:bCs w:val="1"/>
        </w:rPr>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rPr>
          <w:rFonts w:ascii="Verdana" w:hAnsi="Verdana" w:eastAsia="Verdana" w:cs="Verdana"/>
          <w:sz w:val="28"/>
          <w:szCs w:val="28"/>
          <w:b w:val="1"/>
          <w:bCs w:val="1"/>
        </w:rPr>
        <w:pStyle w:val="Heading1"/>
      </w:pPr>
      <w:bookmarkStart w:id="34" w:name="X3c3c4c0997d1df4bc4320797fc414201263c54a"/>
      <w:bookmarkEnd w:id="28"/>
      <w:bookmarkEnd w:id="33"/>
      <w:r>
        <w:rPr>
          <w:rFonts w:ascii="Verdana" w:hAnsi="Verdana" w:eastAsia="Verdana" w:cs="Verdana"/>
          <w:sz w:val="28"/>
          <w:szCs w:val="28"/>
          <w:b w:val="1"/>
          <w:bCs w:val="1"/>
        </w:rP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rPr>
          <w:rFonts w:ascii="Verdana" w:hAnsi="Verdana" w:eastAsia="Verdana" w:cs="Verdana"/>
          <w:sz w:val="21"/>
          <w:szCs w:val="21"/>
          <w:b w:val="1"/>
          <w:bCs w:val="1"/>
        </w:rPr>
        <w:pStyle w:val="Heading2"/>
      </w:pPr>
      <w:bookmarkStart w:id="35" w:name="experimental-setting-and-interpretation"/>
      <w:r>
        <w:rPr>
          <w:rFonts w:ascii="Verdana" w:hAnsi="Verdana" w:eastAsia="Verdana" w:cs="Verdana"/>
          <w:sz w:val="21"/>
          <w:szCs w:val="21"/>
          <w:b w:val="1"/>
          <w:bCs w:val="1"/>
        </w:rP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rPr>
          <w:rFonts w:ascii="Verdana" w:hAnsi="Verdana" w:eastAsia="Verdana" w:cs="Verdana"/>
          <w:sz w:val="20"/>
          <w:szCs w:val="20"/>
        </w:rPr>
        <w:t xml:space="preserve">, and a </w:t>
      </w:r>
      <m:oMath>
        <m:r>
          <w:rPr>
            <w:rFonts w:ascii="Cambria Math" w:hAnsi="Cambria Math"/>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rPr>
          <w:rFonts w:ascii="Verdana" w:hAnsi="Verdana" w:eastAsia="Verdana" w:cs="Verdana"/>
          <w:sz w:val="21"/>
          <w:szCs w:val="21"/>
          <w:b w:val="1"/>
          <w:bCs w:val="1"/>
        </w:rPr>
        <w:pStyle w:val="Heading2"/>
      </w:pPr>
      <w:bookmarkStart w:id="36" w:name="X2bdcce90be781303280a4b078df70adb92028df"/>
      <w:bookmarkEnd w:id="35"/>
      <w:r>
        <w:rPr>
          <w:rFonts w:ascii="Verdana" w:hAnsi="Verdana" w:eastAsia="Verdana" w:cs="Verdana"/>
          <w:sz w:val="21"/>
          <w:szCs w:val="21"/>
          <w:b w:val="1"/>
          <w:bCs w:val="1"/>
        </w:rP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rPr>
          <w:rFonts w:ascii="Verdana" w:hAnsi="Verdana" w:eastAsia="Verdana" w:cs="Verdana"/>
          <w:sz w:val="21"/>
          <w:szCs w:val="21"/>
          <w:b w:val="1"/>
          <w:bCs w:val="1"/>
        </w:rPr>
        <w:pStyle w:val="Heading2"/>
      </w:pPr>
      <w:bookmarkStart w:id="37" w:name="X97d9df95a828479ab0f1857fc0478829051bfc4"/>
      <w:bookmarkEnd w:id="36"/>
      <w:r>
        <w:rPr>
          <w:rFonts w:ascii="Verdana" w:hAnsi="Verdana" w:eastAsia="Verdana" w:cs="Verdana"/>
          <w:sz w:val="21"/>
          <w:szCs w:val="21"/>
          <w:b w:val="1"/>
          <w:bCs w:val="1"/>
        </w:rP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and selection near 10% fixed, the next comparison varied </w:t>
      </w:r>
      <m:oMath>
        <m:r>
          <w:rPr>
            <w:rFonts w:ascii="Cambria Math" w:hAnsi="Cambria Math"/>
          </w:rPr>
          <m:t>λ</m:t>
        </m:r>
      </m:oMath>
      <w:r>
        <w:rPr>
          <w:rFonts w:ascii="Verdana" w:hAnsi="Verdana" w:eastAsia="Verdana" w:cs="Verdana"/>
          <w:sz w:val="20"/>
          <w:szCs w:val="20"/>
        </w:rP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pPr>
      <w:bookmarkStart w:id="38" w:name="Chapter4Figure5"/>
      <w:r>
        <w:rPr>
          <w:rFonts w:ascii="Trebuchet MS" w:hAnsi="Trebuchet MS" w:eastAsia="Trebuchet MS" w:cs="Trebuchet MS"/>
        </w:rPr>
        <w:t>Figure 4-</w:t>
      </w:r>
      <w:fldSimple w:instr=" SEQ Figure \* ARABIC ">
        <w:r w:rsidR="005E5BEF">
          <w:rPr>
            <w:noProof/>
            <w:rFonts w:ascii="Trebuchet MS" w:hAnsi="Trebuchet MS" w:eastAsia="Trebuchet MS" w:cs="Trebuchet MS"/>
          </w:rPr>
          <w:t>7</w:t>
        </w:r>
      </w:fldSimple>
      <w:bookmarkEnd w:id="38"/>
      <w:r>
        <w:rPr>
          <w:rFonts w:ascii="Trebuchet MS" w:hAnsi="Trebuchet MS" w:eastAsia="Trebuchet MS" w:cs="Trebuchet MS"/>
        </w:rPr>
        <w:t xml:space="preserve">.  Penalty strength and binning in the 2015 simulation. Rows compare </w:t>
      </w:r>
      <m:oMath>
        <m:r>
          <w:rPr>
            <w:rFonts w:ascii="Cambria Math" w:hAnsi="Cambria Math"/>
          </w:rPr>
          <m:t>λ</m:t>
        </m:r>
      </m:oMath>
      <w:r>
        <w:rPr>
          <w:rFonts w:ascii="Trebuchet MS" w:hAnsi="Trebuchet MS" w:eastAsia="Trebuchet MS" w:cs="Trebuchet MS"/>
        </w:rP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rPr>
          <w:rFonts w:ascii="Trebuchet MS" w:hAnsi="Trebuchet MS" w:eastAsia="Trebuchet MS" w:cs="Trebuchet MS"/>
        </w:rP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rPr>
          <w:rFonts w:ascii="Verdana" w:hAnsi="Verdana" w:eastAsia="Verdana" w:cs="Verdana"/>
          <w:sz w:val="21"/>
          <w:szCs w:val="21"/>
          <w:b w:val="1"/>
          <w:bCs w:val="1"/>
        </w:rPr>
        <w:pStyle w:val="Heading2"/>
      </w:pPr>
      <w:bookmarkStart w:id="39" w:name="assignment-preference-and-scarcity"/>
      <w:bookmarkEnd w:id="37"/>
      <w:r>
        <w:rPr>
          <w:rFonts w:ascii="Verdana" w:hAnsi="Verdana" w:eastAsia="Verdana" w:cs="Verdana"/>
          <w:sz w:val="21"/>
          <w:szCs w:val="21"/>
          <w:b w:val="1"/>
          <w:bCs w:val="1"/>
        </w:rP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with </w:t>
      </w:r>
      <m:oMath>
        <m:r>
          <w:rPr>
            <w:rFonts w:ascii="Cambria Math" w:hAnsi="Cambria Math"/>
          </w:rPr>
          <m:t>ρ</m:t>
        </m:r>
        <m:r>
          <m:rPr>
            <m:sty m:val="p"/>
          </m:rPr>
          <w:rPr>
            <w:rFonts w:ascii="Cambria Math" w:hAnsi="Cambria Math"/>
          </w:rPr>
          <m:t>=</m:t>
        </m:r>
        <m:r>
          <w:rPr>
            <w:rFonts w:ascii="Cambria Math" w:hAnsi="Cambria Math"/>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pPr>
      <w:bookmarkStart w:id="40" w:name="Chapter4Figure6"/>
      <w:r>
        <w:rPr>
          <w:rFonts w:ascii="Trebuchet MS" w:hAnsi="Trebuchet MS" w:eastAsia="Trebuchet MS" w:cs="Trebuchet MS"/>
        </w:rPr>
        <w:t>Figure 4-</w:t>
      </w:r>
      <w:fldSimple w:instr=" SEQ Figure \* ARABIC ">
        <w:r w:rsidR="005E5BEF">
          <w:rPr>
            <w:noProof/>
            <w:rFonts w:ascii="Trebuchet MS" w:hAnsi="Trebuchet MS" w:eastAsia="Trebuchet MS" w:cs="Trebuchet MS"/>
          </w:rPr>
          <w:t>8</w:t>
        </w:r>
      </w:fldSimple>
      <w:bookmarkEnd w:id="40"/>
      <w:r>
        <w:rPr>
          <w:rFonts w:ascii="Trebuchet MS" w:hAnsi="Trebuchet MS" w:eastAsia="Trebuchet MS" w:cs="Trebuchet MS"/>
        </w:rPr>
        <w:t xml:space="preserve">.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rPr>
          <w:rFonts w:ascii="Trebuchet MS" w:hAnsi="Trebuchet MS" w:eastAsia="Trebuchet MS" w:cs="Trebuchet MS"/>
        </w:rP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rPr>
          <w:rFonts w:ascii="Trebuchet MS" w:hAnsi="Trebuchet MS" w:eastAsia="Trebuchet MS" w:cs="Trebuchet MS"/>
        </w:rP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rPr>
          <w:rFonts w:ascii="Trebuchet MS" w:hAnsi="Trebuchet MS" w:eastAsia="Trebuchet MS" w:cs="Trebuchet MS"/>
        </w:rP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rPr>
          <w:rFonts w:ascii="Verdana" w:hAnsi="Verdana" w:eastAsia="Verdana" w:cs="Verdana"/>
          <w:sz w:val="21"/>
          <w:szCs w:val="21"/>
          <w:b w:val="1"/>
          <w:bCs w:val="1"/>
        </w:rPr>
        <w:pStyle w:val="Heading2"/>
      </w:pPr>
      <w:bookmarkStart w:id="41" w:name="what-remains-to-be-established"/>
      <w:bookmarkEnd w:id="39"/>
      <w:r>
        <w:rPr>
          <w:rFonts w:ascii="Verdana" w:hAnsi="Verdana" w:eastAsia="Verdana" w:cs="Verdana"/>
          <w:sz w:val="21"/>
          <w:szCs w:val="21"/>
          <w:b w:val="1"/>
          <w:bCs w:val="1"/>
        </w:rP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rPr>
          <m:t>γ</m:t>
        </m:r>
      </m:oMath>
      <w:r>
        <w:rPr>
          <w:rFonts w:ascii="Verdana" w:hAnsi="Verdana" w:eastAsia="Verdana" w:cs="Verdana"/>
          <w:sz w:val="20"/>
          <w:szCs w:val="20"/>
        </w:rPr>
        <w:t xml:space="preserve">, </w:t>
      </w:r>
      <m:oMath>
        <m:r>
          <w:rPr>
            <w:rFonts w:ascii="Cambria Math" w:hAnsi="Cambria Math"/>
          </w:rPr>
          <m:t>θ</m:t>
        </m:r>
      </m:oMath>
      <w:r>
        <w:rPr>
          <w:rFonts w:ascii="Verdana" w:hAnsi="Verdana" w:eastAsia="Verdana" w:cs="Verdana"/>
          <w:sz w:val="20"/>
          <w:szCs w:val="20"/>
        </w:rPr>
        <w:t xml:space="preserve">, </w:t>
      </w:r>
      <m:oMath>
        <m:r>
          <w:rPr>
            <w:rFonts w:ascii="Cambria Math" w:hAnsi="Cambria Math"/>
          </w:rPr>
          <m:t>λ</m:t>
        </m:r>
      </m:oMath>
      <w:r>
        <w:rPr>
          <w:rFonts w:ascii="Verdana" w:hAnsi="Verdana" w:eastAsia="Verdana" w:cs="Verdana"/>
          <w:sz w:val="20"/>
          <w:szCs w:val="20"/>
        </w:rPr>
        <w:t xml:space="preserve">,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rPr>
          <w:rFonts w:ascii="Verdana" w:hAnsi="Verdana" w:eastAsia="Verdana" w:cs="Verdana"/>
          <w:sz w:val="28"/>
          <w:szCs w:val="28"/>
          <w:b w:val="1"/>
          <w:bCs w:val="1"/>
        </w:rPr>
        <w:pStyle w:val="Heading1"/>
      </w:pPr>
      <w:bookmarkStart w:id="42" w:name="the-bridge-to-empirical-fitting"/>
      <w:bookmarkEnd w:id="34"/>
      <w:bookmarkEnd w:id="41"/>
      <w:r>
        <w:rPr>
          <w:rFonts w:ascii="Verdana" w:hAnsi="Verdana" w:eastAsia="Verdana" w:cs="Verdana"/>
          <w:sz w:val="28"/>
          <w:szCs w:val="28"/>
          <w:b w:val="1"/>
          <w:bCs w:val="1"/>
        </w:rP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rPr>
          <m:t>s</m:t>
        </m:r>
      </m:oMath>
      <w:r>
        <w:rPr>
          <w:rFonts w:ascii="Verdana" w:hAnsi="Verdana" w:eastAsia="Verdana" w:cs="Verdana"/>
          <w:sz w:val="20"/>
          <w:szCs w:val="20"/>
        </w:rP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set of players included in season </w:t>
      </w:r>
      <m:oMath>
        <m:r>
          <w:rPr>
            <w:rFonts w:ascii="Cambria Math" w:hAnsi="Cambria Math"/>
          </w:rPr>
          <m:t>s</m:t>
        </m:r>
      </m:oMath>
      <w:r>
        <w:rPr>
          <w:rFonts w:ascii="Verdana" w:hAnsi="Verdana" w:eastAsia="Verdana" w:cs="Verdana"/>
          <w:sz w:val="20"/>
          <w:szCs w:val="20"/>
        </w:rPr>
        <w:t xml:space="preserve">. For player </w:t>
      </w:r>
      <m:oMath>
        <m:r>
          <w:rPr>
            <w:rFonts w:ascii="Cambria Math" w:hAnsi="Cambria Math"/>
          </w:rPr>
          <m:t>i</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rPr>
          <w:rFonts w:ascii="Verdana" w:hAnsi="Verdana" w:eastAsia="Verdana" w:cs="Verdana"/>
          <w:sz w:val="20"/>
          <w:szCs w:val="20"/>
        </w:rPr>
        <w:t xml:space="preserve"> for the congestion assigned to player </w:t>
      </w:r>
      <m:oMath>
        <m:r>
          <w:rPr>
            <w:rFonts w:ascii="Cambria Math" w:hAnsi="Cambria Math"/>
          </w:rPr>
          <m:t>i</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parameter </w:t>
      </w:r>
      <m:oMath>
        <m:r>
          <w:rPr>
            <w:rFonts w:ascii="Cambria Math" w:hAnsi="Cambria Math"/>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rPr>
          <m:t>γ</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by maximizing this objective. Assignment preference </w:t>
      </w:r>
      <m:oMath>
        <m:r>
          <w:rPr>
            <w:rFonts w:ascii="Cambria Math" w:hAnsi="Cambria Math"/>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rPr>
          <m:t>A</m:t>
        </m:r>
      </m:oMath>
      <w:r>
        <w:rPr>
          <w:rFonts w:ascii="Verdana" w:hAnsi="Verdana" w:eastAsia="Verdana" w:cs="Verdana"/>
          <w:sz w:val="20"/>
          <w:szCs w:val="20"/>
        </w:rP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rPr>
          <w:rFonts w:ascii="Verdana" w:hAnsi="Verdana" w:eastAsia="Verdana" w:cs="Verdana"/>
          <w:sz w:val="20"/>
          <w:szCs w:val="20"/>
        </w:rPr>
        <w:t xml:space="preserve"> by temperature while retaining the same numerical </w:t>
      </w:r>
      <m:oMath>
        <m:r>
          <w:rPr>
            <w:rFonts w:ascii="Cambria Math" w:hAnsi="Cambria Math"/>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rPr>
          <m:t>K</m:t>
        </m:r>
      </m:oMath>
      <w:r>
        <w:rPr>
          <w:rFonts w:ascii="Verdana" w:hAnsi="Verdana" w:eastAsia="Verdana" w:cs="Verdana"/>
          <w:sz w:val="20"/>
          <w:szCs w:val="20"/>
        </w:rPr>
        <w:t xml:space="preserve"> selection. No completed exact-</w:t>
      </w:r>
      <m:oMath>
        <m:r>
          <w:rPr>
            <w:rFonts w:ascii="Cambria Math" w:hAnsi="Cambria Math"/>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rPr>
          <w:rFonts w:ascii="Verdana" w:hAnsi="Verdana" w:eastAsia="Verdana" w:cs="Verdana"/>
          <w:sz w:val="28"/>
          <w:szCs w:val="28"/>
          <w:b w:val="1"/>
          <w:bCs w:val="1"/>
        </w:rPr>
        <w:pStyle w:val="Heading1"/>
      </w:pPr>
      <w:bookmarkStart w:id="43" w:name="X34faad1c749316954420b934931aff7c96ea3d6"/>
      <w:bookmarkEnd w:id="42"/>
      <w:r>
        <w:rPr>
          <w:rFonts w:ascii="Verdana" w:hAnsi="Verdana" w:eastAsia="Verdana" w:cs="Verdana"/>
          <w:sz w:val="28"/>
          <w:szCs w:val="28"/>
          <w:b w:val="1"/>
          <w:bCs w:val="1"/>
        </w:rPr>
        <w:t>Appendix 4A Technical qualifications and the historical fitting record</w:t>
      </w:r>
    </w:p>
    <w:p w14:paraId="5AFD4C45" w14:textId="77777777" w:rsidR="00CB3150" w:rsidRDefault="00000000">
      <w:pPr>
        <w:rPr>
          <w:rFonts w:ascii="Verdana" w:hAnsi="Verdana" w:eastAsia="Verdana" w:cs="Verdana"/>
          <w:sz w:val="21"/>
          <w:szCs w:val="21"/>
          <w:b w:val="1"/>
          <w:bCs w:val="1"/>
        </w:rPr>
        <w:pStyle w:val="Heading2"/>
      </w:pPr>
      <w:bookmarkStart w:id="44" w:name="Xc4cff8260d0316924cc51552c5cb860d3737775"/>
      <w:r>
        <w:rPr>
          <w:rFonts w:ascii="Verdana" w:hAnsi="Verdana" w:eastAsia="Verdana" w:cs="Verdana"/>
          <w:sz w:val="21"/>
          <w:szCs w:val="21"/>
          <w:b w:val="1"/>
          <w:bCs w:val="1"/>
        </w:rP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rPr>
          <w:rFonts w:ascii="Verdana" w:hAnsi="Verdana" w:eastAsia="Verdana" w:cs="Verdana"/>
          <w:sz w:val="21"/>
          <w:szCs w:val="21"/>
          <w:b w:val="1"/>
          <w:bCs w:val="1"/>
        </w:rPr>
        <w:pStyle w:val="Heading2"/>
      </w:pPr>
      <w:bookmarkStart w:id="45" w:name="X30020ca2e28c3ddcf47702a707f4f0d8976e712"/>
      <w:bookmarkEnd w:id="44"/>
      <w:r>
        <w:rPr>
          <w:rFonts w:ascii="Verdana" w:hAnsi="Verdana" w:eastAsia="Verdana" w:cs="Verdana"/>
          <w:sz w:val="21"/>
          <w:szCs w:val="21"/>
          <w:b w:val="1"/>
          <w:bCs w:val="1"/>
        </w:rP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rPr>
          <m:t>s</m:t>
        </m:r>
      </m:oMath>
      <w:r>
        <w:rPr>
          <w:rFonts w:ascii="Verdana" w:hAnsi="Verdana" w:eastAsia="Verdana" w:cs="Verdana"/>
          <w:sz w:val="20"/>
          <w:szCs w:val="20"/>
        </w:rP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individual </w:t>
      </w:r>
      <m:oMath>
        <m:r>
          <w:rPr>
            <w:rFonts w:ascii="Cambria Math" w:hAnsi="Cambria Math"/>
          </w:rPr>
          <m:t>i</m:t>
        </m:r>
      </m:oMath>
      <w:r>
        <w:rPr>
          <w:rFonts w:ascii="Verdana" w:hAnsi="Verdana" w:eastAsia="Verdana" w:cs="Verdana"/>
          <w:sz w:val="20"/>
          <w:szCs w:val="20"/>
        </w:rPr>
        <w:t xml:space="preserve">’s group in season </w:t>
      </w:r>
      <m:oMath>
        <m:r>
          <w:rPr>
            <w:rFonts w:ascii="Cambria Math" w:hAnsi="Cambria Math"/>
          </w:rPr>
          <m:t>s</m:t>
        </m:r>
      </m:oMath>
      <w:r>
        <w:rPr>
          <w:rFonts w:ascii="Verdana" w:hAnsi="Verdana" w:eastAsia="Verdana" w:cs="Verdana"/>
          <w:sz w:val="20"/>
          <w:szCs w:val="20"/>
        </w:rP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rPr>
          <w:rFonts w:ascii="Verdana" w:hAnsi="Verdana" w:eastAsia="Verdana" w:cs="Verdana"/>
          <w:sz w:val="20"/>
          <w:szCs w:val="20"/>
        </w:rPr>
        <w:t xml:space="preserve"> be the number of individuals included in group </w:t>
      </w:r>
      <m:oMath>
        <m:r>
          <w:rPr>
            <w:rFonts w:ascii="Cambria Math" w:hAnsi="Cambria Math"/>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rPr>
          <w:rFonts w:ascii="Verdana" w:hAnsi="Verdana" w:eastAsia="Verdana" w:cs="Verdana"/>
          <w:sz w:val="20"/>
          <w:szCs w:val="20"/>
        </w:rP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rPr>
          <w:rFonts w:ascii="Verdana" w:hAnsi="Verdana" w:eastAsia="Verdana" w:cs="Verdana"/>
          <w:sz w:val="20"/>
          <w:szCs w:val="20"/>
        </w:rP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rPr>
          <w:rFonts w:ascii="Verdana" w:hAnsi="Verdana" w:eastAsia="Verdana" w:cs="Verdana"/>
          <w:sz w:val="20"/>
          <w:szCs w:val="20"/>
        </w:rPr>
        <w:t xml:space="preserve"> denotes the shared congestion of group </w:t>
      </w:r>
      <m:oMath>
        <m:r>
          <w:rPr>
            <w:rFonts w:ascii="Cambria Math" w:hAnsi="Cambria Math"/>
          </w:rPr>
          <m:t>j</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effective congestion applied to individual </w:t>
      </w:r>
      <m:oMath>
        <m:r>
          <w:rPr>
            <w:rFonts w:ascii="Cambria Math" w:hAnsi="Cambria Math"/>
          </w:rPr>
          <m:t>i</m:t>
        </m:r>
      </m:oMath>
      <w:r>
        <w:rPr>
          <w:rFonts w:ascii="Verdana" w:hAnsi="Verdana" w:eastAsia="Verdana" w:cs="Verdana"/>
          <w:sz w:val="20"/>
          <w:szCs w:val="20"/>
        </w:rP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w:t>
      </w:r>
      <m:oMath>
        <m:r>
          <w:rPr>
            <w:rFonts w:ascii="Cambria Math" w:hAnsi="Cambria Math"/>
          </w:rPr>
          <m:t>γ</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Congestion was recomputed as </w:t>
      </w:r>
      <m:oMath>
        <m:r>
          <w:rPr>
            <w:rFonts w:ascii="Cambria Math" w:hAnsi="Cambria Math"/>
          </w:rPr>
          <m:t>γ</m:t>
        </m:r>
      </m:oMath>
      <w:r>
        <w:rPr>
          <w:rFonts w:ascii="Verdana" w:hAnsi="Verdana" w:eastAsia="Verdana" w:cs="Verdana"/>
          <w:sz w:val="20"/>
          <w:szCs w:val="20"/>
        </w:rPr>
        <w:t xml:space="preserve"> changed during joint optimization. A separate option held </w:t>
      </w:r>
      <m:oMath>
        <m:r>
          <w:rPr>
            <w:rFonts w:ascii="Cambria Math" w:hAnsi="Cambria Math"/>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rPr>
          <w:rFonts w:ascii="Verdana" w:hAnsi="Verdana" w:eastAsia="Verdana" w:cs="Verdana"/>
          <w:sz w:val="21"/>
          <w:szCs w:val="21"/>
          <w:b w:val="1"/>
          <w:bCs w:val="1"/>
        </w:rPr>
        <w:pStyle w:val="Heading2"/>
      </w:pPr>
      <w:bookmarkStart w:id="46" w:name="X61c80e37b1d723545285bb680c26300a41eba3a"/>
      <w:bookmarkEnd w:id="45"/>
      <w:r>
        <w:rPr>
          <w:rFonts w:ascii="Verdana" w:hAnsi="Verdana" w:eastAsia="Verdana" w:cs="Verdana"/>
          <w:sz w:val="21"/>
          <w:szCs w:val="21"/>
          <w:b w:val="1"/>
          <w:bCs w:val="1"/>
        </w:rP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rPr>
          <w:rFonts w:ascii="Verdana" w:hAnsi="Verdana" w:eastAsia="Verdana" w:cs="Verdana"/>
          <w:sz w:val="20"/>
          <w:szCs w:val="20"/>
        </w:rPr>
        <w:t xml:space="preserve"> for an expected value under the model, and let </w:t>
      </w:r>
      <m:oMath>
        <m:r>
          <m:rPr>
            <m:sty m:val="bi"/>
          </m:rPr>
          <w:rPr>
            <w:rFonts w:ascii="Cambria Math" w:hAnsi="Cambria Math"/>
          </w:rPr>
          <m:t>A</m:t>
        </m:r>
      </m:oMath>
      <w:r>
        <w:rPr>
          <w:rFonts w:ascii="Verdana" w:hAnsi="Verdana" w:eastAsia="Verdana" w:cs="Verdana"/>
          <w:sz w:val="20"/>
          <w:szCs w:val="20"/>
        </w:rPr>
        <w:t xml:space="preserve"> and </w:t>
      </w:r>
      <m:oMath>
        <m:r>
          <m:rPr>
            <m:sty m:val="bi"/>
          </m:rPr>
          <w:rPr>
            <w:rFonts w:ascii="Cambria Math" w:hAnsi="Cambria Math"/>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rPr>
          <w:rFonts w:ascii="Verdana" w:hAnsi="Verdana" w:eastAsia="Verdana" w:cs="Verdana"/>
          <w:sz w:val="20"/>
          <w:szCs w:val="20"/>
        </w:rPr>
        <w:t xml:space="preserve"> denote its empirical </w:t>
      </w:r>
      <m:oMath>
        <m:r>
          <w:rPr>
            <w:rFonts w:ascii="Cambria Math" w:hAnsi="Cambria Math"/>
          </w:rPr>
          <m:t>q</m:t>
        </m:r>
      </m:oMath>
      <w:r>
        <w:rPr>
          <w:rFonts w:ascii="Verdana" w:hAnsi="Verdana" w:eastAsia="Verdana" w:cs="Verdana"/>
          <w:sz w:val="20"/>
          <w:szCs w:val="20"/>
        </w:rPr>
        <w:t xml:space="preserve">-quantile—the performance value marking approximately the fraction </w:t>
      </w:r>
      <m:oMath>
        <m:r>
          <w:rPr>
            <w:rFonts w:ascii="Cambria Math" w:hAnsi="Cambria Math"/>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Pr>
          <w:rFonts w:ascii="Verdana" w:hAnsi="Verdana" w:eastAsia="Verdana" w:cs="Verdana"/>
          <w:sz w:val="20"/>
          <w:szCs w:val="20"/>
        </w:rP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rPr>
          <w:rFonts w:ascii="Verdana" w:hAnsi="Verdana" w:eastAsia="Verdana" w:cs="Verdana"/>
          <w:sz w:val="20"/>
          <w:szCs w:val="20"/>
        </w:rPr>
        <w:t xml:space="preserve"> likelihood. [1, 8]</w:t>
      </w:r>
    </w:p>
    <w:p w14:paraId="6FF1297A" w14:textId="77777777" w:rsidR="00CB3150" w:rsidRDefault="00000000">
      <w:pPr>
        <w:rPr>
          <w:rFonts w:ascii="Verdana" w:hAnsi="Verdana" w:eastAsia="Verdana" w:cs="Verdana"/>
          <w:sz w:val="21"/>
          <w:szCs w:val="21"/>
          <w:b w:val="1"/>
          <w:bCs w:val="1"/>
        </w:rPr>
        <w:pStyle w:val="Heading2"/>
      </w:pPr>
      <w:bookmarkStart w:id="47" w:name="X37bb242055bc516b188ab4496a584a40b1a9c72"/>
      <w:bookmarkEnd w:id="46"/>
      <w:r>
        <w:rPr>
          <w:rFonts w:ascii="Verdana" w:hAnsi="Verdana" w:eastAsia="Verdana" w:cs="Verdana"/>
          <w:sz w:val="21"/>
          <w:szCs w:val="21"/>
          <w:b w:val="1"/>
          <w:bCs w:val="1"/>
        </w:rP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rPr>
            </m:ctrlPr>
          </m:accPr>
          <m:e>
            <m:r>
              <w:rPr>
                <w:rFonts w:ascii="Cambria Math" w:hAnsi="Cambria Math"/>
              </w:rPr>
              <m:t>γ</m:t>
            </m:r>
          </m:e>
        </m:acc>
      </m:oMath>
      <w:r>
        <w:rPr>
          <w:rFonts w:ascii="Verdana" w:hAnsi="Verdana" w:eastAsia="Verdana" w:cs="Verdana"/>
          <w:sz w:val="20"/>
          <w:szCs w:val="20"/>
        </w:rPr>
        <w:t xml:space="preserve"> is the estimate of </w:t>
      </w:r>
      <m:oMath>
        <m:r>
          <w:rPr>
            <w:rFonts w:ascii="Cambria Math" w:hAnsi="Cambria Math"/>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rPr>
          <w:rFonts w:ascii="Verdana" w:hAnsi="Verdana" w:eastAsia="Verdana" w:cs="Verdana"/>
          <w:sz w:val="20"/>
          <w:szCs w:val="20"/>
        </w:rP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rPr>
          <w:rFonts w:ascii="Verdana" w:hAnsi="Verdana" w:eastAsia="Verdana" w:cs="Verdana"/>
          <w:sz w:val="20"/>
          <w:szCs w:val="20"/>
        </w:rP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rPr>
          <m:t>K</m:t>
        </m:r>
      </m:oMath>
      <w:r>
        <w:rPr>
          <w:rFonts w:ascii="Verdana" w:hAnsi="Verdana" w:eastAsia="Verdana" w:cs="Verdana"/>
          <w:sz w:val="20"/>
          <w:szCs w:val="20"/>
        </w:rPr>
        <w:t xml:space="preserve"> or stochastic exact-</w:t>
      </w:r>
      <m:oMath>
        <m:r>
          <w:rPr>
            <w:rFonts w:ascii="Cambria Math" w:hAnsi="Cambria Math"/>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rPr>
          <w:rFonts w:ascii="Verdana" w:hAnsi="Verdana" w:eastAsia="Verdana" w:cs="Verdana"/>
          <w:sz w:val="21"/>
          <w:szCs w:val="21"/>
          <w:b w:val="1"/>
          <w:bCs w:val="1"/>
        </w:rPr>
        <w:pStyle w:val="Heading2"/>
      </w:pPr>
      <w:bookmarkStart w:id="48" w:name="Xc89fd0d0a0538ad258b22b5118afea5b3189c30"/>
      <w:bookmarkEnd w:id="47"/>
      <w:r>
        <w:rPr>
          <w:rFonts w:ascii="Verdana" w:hAnsi="Verdana" w:eastAsia="Verdana" w:cs="Verdana"/>
          <w:sz w:val="21"/>
          <w:szCs w:val="21"/>
          <w:b w:val="1"/>
          <w:bCs w:val="1"/>
        </w:rP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rPr>
          <w:rFonts w:ascii="Verdana" w:hAnsi="Verdana" w:eastAsia="Verdana" w:cs="Verdana"/>
          <w:sz w:val="20"/>
          <w:szCs w:val="20"/>
        </w:rPr>
        <w:t xml:space="preserve">. Moving the threshold with </w:t>
      </w:r>
      <m:oMath>
        <m:r>
          <w:rPr>
            <w:rFonts w:ascii="Cambria Math" w:hAnsi="Cambria Math"/>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rPr>
          <m:t>i</m:t>
        </m:r>
      </m:oMath>
      <w:r>
        <w:rPr>
          <w:rFonts w:ascii="Verdana" w:hAnsi="Verdana" w:eastAsia="Verdana" w:cs="Verdana"/>
          <w:sz w:val="20"/>
          <w:szCs w:val="20"/>
        </w:rPr>
        <w:t xml:space="preserve"> belongs to group </w:t>
      </w:r>
      <m:oMath>
        <m:r>
          <w:rPr>
            <w:rFonts w:ascii="Cambria Math" w:hAnsi="Cambria Math"/>
          </w:rPr>
          <m:t>j</m:t>
        </m:r>
      </m:oMath>
      <w:r>
        <w:rPr>
          <w:rFonts w:ascii="Verdana" w:hAnsi="Verdana" w:eastAsia="Verdana" w:cs="Verdana"/>
          <w:sz w:val="20"/>
          <w:szCs w:val="20"/>
        </w:rP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rPr>
          <w:rFonts w:ascii="Verdana" w:hAnsi="Verdana" w:eastAsia="Verdana" w:cs="Verdana"/>
          <w:sz w:val="28"/>
          <w:szCs w:val="28"/>
          <w:b w:val="1"/>
          <w:bCs w:val="1"/>
        </w:rPr>
        <w:pStyle w:val="Heading1"/>
      </w:pPr>
      <w:bookmarkStart w:id="49" w:name="X8a33aa523801c967d2fea04397cc8e7252f71fa"/>
      <w:bookmarkEnd w:id="43"/>
      <w:bookmarkEnd w:id="48"/>
      <w:r>
        <w:rPr>
          <w:rFonts w:ascii="Verdana" w:hAnsi="Verdana" w:eastAsia="Verdana" w:cs="Verdana"/>
          <w:sz w:val="28"/>
          <w:szCs w:val="28"/>
          <w:b w:val="1"/>
          <w:bCs w:val="1"/>
        </w:rP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Verdana" w:hAnsi="Verdana" w:eastAsia="Verdana" w:cs="Verdana"/>
      <w:b w:val="1"/>
      <w:bCs w:val="1"/>
      <w:sz w:val="28"/>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Verdana" w:hAnsi="Verdana" w:eastAsia="Verdana" w:cs="Verdana"/>
      <w:b w:val="1"/>
      <w:bCs w:val="1"/>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Verdana" w:hAnsi="Verdana" w:eastAsia="Verdana" w:cs="Verdana"/>
      <w:b w:val="1"/>
      <w:b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Verdana" w:hAnsi="Verdana" w:eastAsia="Verdana" w:cs="Verdana"/>
      <w:b w:val="1"/>
      <w:bCs w:val="1"/>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