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pStyle w:val="Heading1"/>
      </w:pPr>
      <w:bookmarkStart w:id="0" w:name="X166b1176d9c834602c4793dd44ed9435b820f4f"/>
      <w:r>
        <w:t>4.1 Individual performance and success in groups</w:t>
      </w:r>
    </w:p>
    <w:p w14:paraId="044CF15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pStyle w:val="Heading1"/>
      </w:pPr>
      <w:bookmarkStart w:id="1" w:name="Xfada5e96b17685afb9851f145398c9afa85bcfe"/>
      <w:bookmarkEnd w:id="0"/>
      <w:r>
        <w:t>4.2 Selecting the highest performing individuals</w:t>
      </w:r>
    </w:p>
    <w:p w14:paraId="456FF18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pStyle w:val="Heading2"/>
      </w:pPr>
      <w:bookmarkStart w:id="2" w:name="performance-and-the-selection-population"/>
      <w:r>
        <w:t>4.2.1 Performance and the selection population</w:t>
      </w:r>
    </w:p>
    <w:p w14:paraId="63B1491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pStyle w:val="Heading2"/>
      </w:pPr>
      <w:bookmarkStart w:id="3" w:name="the-score-and-the-selection-rule"/>
      <w:bookmarkEnd w:id="2"/>
      <w:r>
        <w:lastRenderedPageBreak/>
        <w:t>4.2.2 The score and the selection rule</w:t>
      </w:r>
    </w:p>
    <w:p w14:paraId="68A7704C" w14:textId="69CBD16E" w:rsidR="00CB3150" w:rsidRDefault="00D8262B">
      <w:pPr>
        <w:rPr>
          <w:rFonts w:ascii="Verdana" w:hAnsi="Verdana" w:eastAsia="Verdana" w:cs="Verdana"/>
          <w:sz w:val="20"/>
          <w:szCs w:val="20"/>
        </w:rPr>
        <w:spacing w:line="480" w:lineRule="auto"/>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pStyle w:val="Heading2"/>
      </w:pPr>
      <w:bookmarkStart w:id="4" w:name="Xa5823cb72cde8cbb5180a30bdc574971e9835d8"/>
      <w:bookmarkEnd w:id="3"/>
      <w:r>
        <w:t xml:space="preserve">4.2.3 What group membership does in the </w:t>
      </w:r>
      <w:r w:rsidR="00A16FA4">
        <w:t xml:space="preserve">naïve </w:t>
      </w:r>
      <w:r>
        <w:t>benchmark</w:t>
      </w:r>
    </w:p>
    <w:p w14:paraId="3B668D3B" w14:textId="094697BA"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pStyle w:val="Heading1"/>
      </w:pPr>
      <w:bookmarkStart w:id="5" w:name="allowing-uncertainty-in-selection"/>
      <w:bookmarkEnd w:id="1"/>
      <w:bookmarkEnd w:id="4"/>
      <w:r>
        <w:lastRenderedPageBreak/>
        <w:t>4.3 Allowing uncertainty in selection</w:t>
      </w:r>
    </w:p>
    <w:p w14:paraId="76D564EE" w14:textId="74377C6E" w:rsidR="00CB3150" w:rsidRDefault="00000000" w:rsidP="00C5784C">
      <w:pPr>
        <w:rPr>
          <w:rFonts w:ascii="Verdana" w:hAnsi="Verdana" w:eastAsia="Verdana" w:cs="Verdana"/>
          <w:sz w:val="20"/>
          <w:szCs w:val="20"/>
        </w:rPr>
        <w:spacing w:line="480" w:lineRule="auto"/>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pStyle w:val="Heading2"/>
      </w:pPr>
      <w:bookmarkStart w:id="6" w:name="Xa81b982df13d1d13892043cb673ae528535138a"/>
      <w:r>
        <w:t>4.3.1 From a fixed ranking to uncertain winners</w:t>
      </w:r>
    </w:p>
    <w:p w14:paraId="26EBAE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pStyle w:val="Heading2"/>
      </w:pPr>
      <w:bookmarkStart w:id="7" w:name="X3403a481b954ec6ac05b20913aa990d79a7f6ac"/>
      <w:bookmarkEnd w:id="6"/>
      <w:r>
        <w:t xml:space="preserve">4.3.2 </w:t>
      </w:r>
      <w:r w:rsidR="003E7FF3">
        <w:t>Stochastic selection using Gibbs weights</w:t>
      </w:r>
    </w:p>
    <w:p w14:paraId="57CDE4ED" w14:textId="1D98298C" w:rsidR="003E7FF3"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pStyle w:val="Heading2"/>
      </w:pPr>
      <w:bookmarkStart w:id="8" w:name="limits-and-score-units"/>
      <w:bookmarkEnd w:id="7"/>
      <w:r>
        <w:t>4.3.3 Limits and score units</w:t>
      </w:r>
    </w:p>
    <w:p w14:paraId="5D605602" w14:textId="0D5C3B4E" w:rsidR="0005452B" w:rsidRDefault="0005452B">
      <w:pPr>
        <w:rPr>
          <w:rFonts w:ascii="Verdana" w:hAnsi="Verdana" w:eastAsia="Verdana" w:cs="Verdana"/>
          <w:sz w:val="20"/>
          <w:szCs w:val="20"/>
        </w:rPr>
        <w:spacing w:line="480" w:lineRule="auto"/>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pStyle w:val="Heading1"/>
      </w:pPr>
      <w:bookmarkStart w:id="9" w:name="introducing-local-competitive-congestion"/>
      <w:bookmarkEnd w:id="5"/>
      <w:bookmarkEnd w:id="8"/>
      <w:r>
        <w:t>4.4 Introducing local competitive congestion</w:t>
      </w:r>
    </w:p>
    <w:p w14:paraId="04B48624" w14:textId="0E9FB4DA"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spacing w:line="480" w:lineRule="auto"/>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pStyle w:val="Heading2"/>
      </w:pPr>
      <w:bookmarkStart w:id="10" w:name="Xfcdd4f2c4319546fc0ffa163bb157420eb9d8c3"/>
      <w:r>
        <w:t>4.4.1 A first approximation using average peer performance</w:t>
      </w:r>
    </w:p>
    <w:p w14:paraId="05E1F5E2" w14:textId="28B4AE2D"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spacing w:line="480" w:lineRule="auto"/>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spacing w:line="480" w:lineRule="auto"/>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spacing w:line="480" w:lineRule="auto"/>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spacing w:line="480" w:lineRule="auto"/>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32FD9E13" w14:textId="01A4CBB6"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spacing w:line="480" w:lineRule="auto"/>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spacing w:line="480" w:lineRule="auto"/>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spacing w:line="480" w:lineRule="auto"/>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pStyle w:val="Heading2"/>
      </w:pPr>
      <w:bookmarkStart w:id="12" w:name="Xc082d50cc048025a16853c6d31ad799bd4fde31"/>
      <w:bookmarkEnd w:id="11"/>
      <w: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spacing w:line="480" w:lineRule="auto"/>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spacing w:line="480" w:lineRule="auto"/>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spacing w:line="480" w:lineRule="auto"/>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spacing w:line="480" w:lineRule="auto"/>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pStyle w:val="Heading2"/>
      </w:pPr>
      <w:bookmarkStart w:id="13" w:name="X6be0b98e308fb3b1e3a269c0b46a979e83043a9"/>
      <w:bookmarkEnd w:id="12"/>
      <w:r>
        <w:t>4.4.4 How local composition changes global comparisons</w:t>
      </w:r>
    </w:p>
    <w:p w14:paraId="4CEA2E9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spacing w:line="480" w:lineRule="auto"/>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pStyle w:val="Heading1"/>
      </w:pPr>
      <w:bookmarkStart w:id="14" w:name="X7a04dd235f4b61b299248b9776f1ec12743c145"/>
      <w:bookmarkEnd w:id="9"/>
      <w:bookmarkEnd w:id="13"/>
      <w:r>
        <w:lastRenderedPageBreak/>
        <w:t>4.5 Mathematical behavior and parameter regimes</w:t>
      </w:r>
    </w:p>
    <w:p w14:paraId="26FEE580" w14:textId="551067B1"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pStyle w:val="Heading2"/>
      </w:pPr>
      <w:bookmarkStart w:id="15" w:name="X6d651838145b13eafa5e51df11b757b7c1070b2"/>
      <w:r>
        <w:t>4.5.1 Threshold location and transition sharpness</w:t>
      </w:r>
    </w:p>
    <w:p w14:paraId="5F1130EC" w14:textId="12A5520F" w:rsidR="00CB3150" w:rsidRDefault="0039309B">
      <w:pPr>
        <w:rPr>
          <w:rFonts w:ascii="Verdana" w:hAnsi="Verdana" w:eastAsia="Verdana" w:cs="Verdana"/>
          <w:sz w:val="20"/>
          <w:szCs w:val="20"/>
        </w:rPr>
        <w:spacing w:line="480" w:lineRule="auto"/>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48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spacing w:line="480" w:lineRule="auto"/>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b/>
          <w:bCs w:val="0"/>
        </w:rPr>
        <w:t>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spacing w:line="480" w:lineRule="auto"/>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spacing w:line="480" w:lineRule="auto"/>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pStyle w:val="Heading2"/>
      </w:pPr>
      <w:bookmarkStart w:id="19" w:name="penalty-strength-and-score-scale"/>
      <w:bookmarkEnd w:id="15"/>
      <w:r>
        <w:t>4.5.2 Penalty strength and score scale</w:t>
      </w:r>
    </w:p>
    <w:p w14:paraId="4DDB59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spacing w:line="480" w:lineRule="auto"/>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spacing w:line="480" w:lineRule="auto"/>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pStyle w:val="Heading2"/>
      </w:pPr>
      <w:bookmarkStart w:id="22" w:name="scarcity-and-the-selection-margin"/>
      <w:bookmarkEnd w:id="19"/>
      <w:r>
        <w:t>4.5.3 Scarcity and the selection margin</w:t>
      </w:r>
    </w:p>
    <w:p w14:paraId="3DD64941" w14:textId="1ADA48E2" w:rsidR="00471E0D" w:rsidRPr="00471E0D" w:rsidRDefault="009A1126" w:rsidP="00471E0D">
      <w:pPr>
        <w:rPr>
          <w:rFonts w:ascii="Verdana" w:hAnsi="Verdana" w:eastAsia="Verdana" w:cs="Verdana"/>
          <w:sz w:val="20"/>
          <w:szCs w:val="20"/>
        </w:rPr>
        <w:spacing w:line="480" w:lineRule="auto"/>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spacing w:line="480" w:lineRule="auto"/>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spacing w:line="480" w:lineRule="auto"/>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spacing w:line="480" w:lineRule="auto"/>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spacing w:line="480" w:lineRule="auto"/>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b/>
          <w:bCs w:val="0"/>
        </w:rPr>
        <w:t>Scarcity and competitive relevance change together.</w:t>
      </w:r>
      <w:r>
        <w:rPr>
          <w:b/>
          <w:bCs w:val="0"/>
        </w:rPr>
        <w:t xml:space="preserve">  </w:t>
      </w:r>
      <w:r>
        <w:t xml:space="preserve">The same nine individuals compete for three places in the left column and one place in the right column. For this illustration, </w:t>
      </w:r>
      <m:oMath>
        <m:r>
          <w:rPr>
            <w:rFonts w:ascii="Cambria Math" w:hAnsi="Cambria Math"/>
          </w:rPr>
          <m:t>θ</m:t>
        </m:r>
      </m:oMath>
      <w:r>
        <w:t xml:space="preserve"> is the linearly interpolated empirical </w:t>
      </w:r>
      <m:oMath>
        <m:d>
          <m:dPr>
            <m:ctrlPr>
              <w:rPr>
                <w:rFonts w:ascii="Cambria Math" w:hAnsi="Cambria Math"/>
              </w:rPr>
            </m:ctrlPr>
          </m:dPr>
          <m:e>
            <m:r>
              <w:rPr>
                <w:rFonts w:ascii="Cambria Math" w:hAnsi="Cambria Math"/>
              </w:rPr>
              <m:t>1-K/N</m:t>
            </m:r>
          </m:e>
        </m:d>
      </m:oMath>
      <w:r>
        <w:t xml:space="preserve">-quantile of performance, while </w:t>
      </w:r>
      <m:oMath>
        <m:r>
          <w:rPr>
            <w:rFonts w:ascii="Cambria Math" w:hAnsi="Cambria Math"/>
          </w:rPr>
          <m:t>γ=2</m:t>
        </m:r>
      </m:oMath>
      <w:r>
        <w:t xml:space="preserve"> and </w:t>
      </w:r>
      <m:oMath>
        <m:r>
          <w:rPr>
            <w:rFonts w:ascii="Cambria Math" w:hAnsi="Cambria Math"/>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t xml:space="preserve"> and </w:t>
      </w:r>
      <m:oMath>
        <m:r>
          <w:rPr>
            <w:rFonts w:ascii="Cambria Math" w:hAnsi="Cambria Math"/>
          </w:rPr>
          <m:t>D/K=1/3</m:t>
        </m:r>
      </m:oMath>
      <w:r>
        <w:t xml:space="preserve">. With one place, P4 replaces P1, giving </w:t>
      </w:r>
      <m:oMath>
        <m:r>
          <w:rPr>
            <w:rFonts w:ascii="Cambria Math" w:hAnsi="Cambria Math"/>
          </w:rPr>
          <m:t>D=1</m:t>
        </m:r>
      </m:oMath>
      <w:r>
        <w:t xml:space="preserve"> and </w:t>
      </w:r>
      <m:oMath>
        <m:r>
          <w:rPr>
            <w:rFonts w:ascii="Cambria Math" w:hAnsi="Cambria Math"/>
          </w:rPr>
          <m:t>D/K=1</m:t>
        </m:r>
      </m:oMath>
      <w: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spacing w:line="480" w:lineRule="auto"/>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spacing w:line="480" w:lineRule="auto"/>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spacing w:line="480" w:lineRule="auto"/>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Strong"/>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spacing w:line="480" w:lineRule="auto"/>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Strong"/>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pStyle w:val="Heading1"/>
      </w:pPr>
      <w:bookmarkStart w:id="28" w:name="Xace9f33b90814f9bd53ece6c999c09ae207edc6"/>
      <w:bookmarkEnd w:id="14"/>
      <w:bookmarkEnd w:id="25"/>
      <w: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pStyle w:val="Heading2"/>
      </w:pPr>
      <w:bookmarkStart w:id="29" w:name="why-an-assignment-mechanism-is-needed"/>
      <w:r>
        <w:lastRenderedPageBreak/>
        <w:t xml:space="preserve">4.6.1 </w:t>
      </w:r>
      <w:r w:rsidR="00912BB1">
        <w:t>Representing individuals and groups</w:t>
      </w:r>
    </w:p>
    <w:p w14:paraId="3777C203" w14:textId="77777777" w:rsidR="00912BB1" w:rsidRPr="00912BB1" w:rsidRDefault="00000000" w:rsidP="00912BB1">
      <w:pPr>
        <w:rPr>
          <w:rFonts w:ascii="Verdana" w:hAnsi="Verdana" w:eastAsia="Verdana" w:cs="Verdana"/>
          <w:sz w:val="20"/>
          <w:szCs w:val="20"/>
        </w:rPr>
        <w:spacing w:line="480" w:lineRule="auto"/>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pStyle w:val="Heading2"/>
      </w:pPr>
      <w:bookmarkStart w:id="30" w:name="X3819545970a9b5cccbdae8e4b8b7e3182042c91"/>
      <w:bookmarkEnd w:id="29"/>
      <w: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spacing w:line="480" w:lineRule="auto"/>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spacing w:line="480" w:lineRule="auto"/>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48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spacing w:line="480" w:lineRule="auto"/>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pPr>
      <w:bookmarkStart w:id="31" w:name="Chapter4Figure4"/>
      <w:r>
        <w:t>Figure 4-</w:t>
      </w:r>
      <w:fldSimple w:instr=" SEQ Figure \* ARABIC ">
        <w:r w:rsidR="005E5BEF">
          <w:rPr>
            <w:noProof/>
          </w:rPr>
          <w:t>6</w:t>
        </w:r>
      </w:fldSimple>
      <w:bookmarkEnd w:id="31"/>
      <w:r>
        <w:t xml:space="preserve">. </w:t>
      </w:r>
      <w:r w:rsidRPr="0030367F">
        <w:rPr>
          <w:b/>
          <w:bCs w:val="0"/>
        </w:rPr>
        <w:t>Sequential assignment with evolving group centroids</w:t>
      </w:r>
      <w:r w:rsidRPr="00436C53">
        <w:t>.</w:t>
      </w:r>
      <w: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t xml:space="preserve"> are assigned to two groups of capacity three using </w:t>
      </w:r>
      <m:oMath>
        <m:r>
          <w:rPr>
            <w:rFonts w:ascii="Cambria Math" w:hAnsi="Cambria Math"/>
          </w:rPr>
          <m:t>ρ=2</m:t>
        </m:r>
      </m:oMath>
      <w: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spacing w:line="480" w:lineRule="auto"/>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pStyle w:val="Heading2"/>
      </w:pPr>
      <w:bookmarkStart w:id="32" w:name="preference-and-realized-sorting"/>
      <w:bookmarkEnd w:id="30"/>
      <w:r>
        <w:lastRenderedPageBreak/>
        <w:t xml:space="preserve">4.6.3 </w:t>
      </w:r>
      <w:r w:rsidR="0050416D">
        <w:t>Measuring the sorting that results</w:t>
      </w:r>
    </w:p>
    <w:p w14:paraId="68293E9C" w14:textId="1D6FB079"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spacing w:line="480" w:lineRule="auto"/>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pStyle w:val="Heading2"/>
      </w:pPr>
      <w:bookmarkStart w:id="33" w:name="X1ad203f4aedc8fcded9afae827919e65ec1bf18"/>
      <w:bookmarkEnd w:id="32"/>
      <w:r>
        <w:t xml:space="preserve">4.6.4 </w:t>
      </w:r>
      <w:r w:rsidR="0050416D">
        <w:t>Using artificial groups to investigate congestion</w:t>
      </w:r>
    </w:p>
    <w:p w14:paraId="7FB19BA2" w14:textId="1015ED3B"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spacing w:line="480" w:lineRule="auto"/>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pStyle w:val="Heading1"/>
      </w:pPr>
      <w:bookmarkStart w:id="34" w:name="X3c3c4c0997d1df4bc4320797fc414201263c54a"/>
      <w:bookmarkEnd w:id="28"/>
      <w:bookmarkEnd w:id="33"/>
      <w:r>
        <w:t>4.7 What the completed mechanism experiments establish</w:t>
      </w:r>
    </w:p>
    <w:p w14:paraId="240CB1C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pStyle w:val="Heading2"/>
      </w:pPr>
      <w:bookmarkStart w:id="35" w:name="experimental-setting-and-interpretation"/>
      <w:r>
        <w:t>4.7.1 Experimental setting and interpretation</w:t>
      </w:r>
    </w:p>
    <w:p w14:paraId="0EEBAEEB" w14:textId="58C8EB9B"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pStyle w:val="Heading2"/>
      </w:pPr>
      <w:bookmarkStart w:id="36" w:name="X2bdcce90be781303280a4b078df70adb92028df"/>
      <w:bookmarkEnd w:id="35"/>
      <w:r>
        <w:t>4.7.2 Congestion can change winners without similarity preference</w:t>
      </w:r>
    </w:p>
    <w:p w14:paraId="602156B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pStyle w:val="Heading2"/>
      </w:pPr>
      <w:bookmarkStart w:id="37" w:name="X97d9df95a828479ab0f1857fc0478829051bfc4"/>
      <w:bookmarkEnd w:id="36"/>
      <w:r>
        <w:t>4.7.3 Penalty strength and the visibility of the tail</w:t>
      </w:r>
    </w:p>
    <w:p w14:paraId="54BC3DD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pPr>
      <w:bookmarkStart w:id="38" w:name="Chapter4Figure5"/>
      <w:r>
        <w:t>Figure 4-</w:t>
      </w:r>
      <w:fldSimple w:instr=" SEQ Figure \* ARABIC ">
        <w:r w:rsidR="005E5BEF">
          <w:rPr>
            <w:noProof/>
          </w:rPr>
          <w:t>7</w:t>
        </w:r>
      </w:fldSimple>
      <w:bookmarkEnd w:id="38"/>
      <w:r>
        <w:t xml:space="preserve">.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pStyle w:val="Heading2"/>
      </w:pPr>
      <w:bookmarkStart w:id="39" w:name="assignment-preference-and-scarcity"/>
      <w:bookmarkEnd w:id="37"/>
      <w:r>
        <w:lastRenderedPageBreak/>
        <w:t>4.7.4 Assignment preference and scarcity</w:t>
      </w:r>
    </w:p>
    <w:p w14:paraId="09AAD914" w14:textId="18874AB0"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pPr>
      <w:bookmarkStart w:id="40" w:name="Chapter4Figure6"/>
      <w:r>
        <w:t>Figure 4-</w:t>
      </w:r>
      <w:fldSimple w:instr=" SEQ Figure \* ARABIC ">
        <w:r w:rsidR="005E5BEF">
          <w:rPr>
            <w:noProof/>
          </w:rPr>
          <w:t>8</w:t>
        </w:r>
      </w:fldSimple>
      <w:bookmarkEnd w:id="40"/>
      <w: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pStyle w:val="Heading2"/>
      </w:pPr>
      <w:bookmarkStart w:id="41" w:name="what-remains-to-be-established"/>
      <w:bookmarkEnd w:id="39"/>
      <w:r>
        <w:t>4.7.5 What remains to be established</w:t>
      </w:r>
    </w:p>
    <w:p w14:paraId="18F23E7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pStyle w:val="Heading1"/>
      </w:pPr>
      <w:bookmarkStart w:id="42" w:name="the-bridge-to-empirical-fitting"/>
      <w:bookmarkEnd w:id="34"/>
      <w:bookmarkEnd w:id="41"/>
      <w:r>
        <w:t>4.8 The bridge to empirical fitting</w:t>
      </w:r>
    </w:p>
    <w:p w14:paraId="7A33143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pStyle w:val="Heading1"/>
      </w:pPr>
      <w:bookmarkStart w:id="43" w:name="X34faad1c749316954420b934931aff7c96ea3d6"/>
      <w:bookmarkEnd w:id="42"/>
      <w:r>
        <w:t>Appendix 4A Technical qualifications and the historical fitting record</w:t>
      </w:r>
    </w:p>
    <w:p w14:paraId="5AFD4C45" w14:textId="77777777" w:rsidR="00CB3150" w:rsidRDefault="00000000">
      <w:pPr>
        <w:pStyle w:val="Heading2"/>
      </w:pPr>
      <w:bookmarkStart w:id="44" w:name="Xc4cff8260d0316924cc51552c5cb860d3737775"/>
      <w:r>
        <w:t>4A.1 The intended stochastic rule and legacy software</w:t>
      </w:r>
    </w:p>
    <w:p w14:paraId="4263E7E1"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pStyle w:val="Heading2"/>
      </w:pPr>
      <w:bookmarkStart w:id="45" w:name="X30020ca2e28c3ddcf47702a707f4f0d8976e712"/>
      <w:bookmarkEnd w:id="44"/>
      <w:r>
        <w:t>4A.2 Differences between the stated selection rule and earlier implementations</w:t>
      </w:r>
    </w:p>
    <w:p w14:paraId="1BB91E1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pStyle w:val="Heading2"/>
      </w:pPr>
      <w:bookmarkStart w:id="46" w:name="X61c80e37b1d723545285bb680c26300a41eba3a"/>
      <w:bookmarkEnd w:id="45"/>
      <w:r>
        <w:t>4A.3 Normalization and threshold construction</w:t>
      </w:r>
    </w:p>
    <w:p w14:paraId="4EB4FB79"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pStyle w:val="Heading2"/>
      </w:pPr>
      <w:bookmarkStart w:id="47" w:name="X37bb242055bc516b188ab4496a584a40b1a9c72"/>
      <w:bookmarkEnd w:id="46"/>
      <w:r>
        <w:t>4A.4 Saved estimates and parameter transfer</w:t>
      </w:r>
    </w:p>
    <w:p w14:paraId="11D128A8"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spacing w:line="480" w:lineRule="auto"/>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pStyle w:val="Heading2"/>
      </w:pPr>
      <w:bookmarkStart w:id="48" w:name="Xc89fd0d0a0538ad258b22b5118afea5b3189c30"/>
      <w:bookmarkEnd w:id="47"/>
      <w:r>
        <w:lastRenderedPageBreak/>
        <w:t>4A.5 Alternative congestion specifications</w:t>
      </w:r>
    </w:p>
    <w:p w14:paraId="172B8F7A"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spacing w:line="480" w:lineRule="auto"/>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pStyle w:val="Heading1"/>
      </w:pPr>
      <w:bookmarkStart w:id="49" w:name="X8a33aa523801c967d2fea04397cc8e7252f71fa"/>
      <w:bookmarkEnd w:id="43"/>
      <w:bookmarkEnd w:id="48"/>
      <w:r>
        <w:lastRenderedPageBreak/>
        <w:t>Appendix 4B Sources for the equations and completed results</w:t>
      </w:r>
    </w:p>
    <w:p w14:paraId="23EA309D" w14:textId="77777777" w:rsidR="00CB3150" w:rsidRDefault="00000000">
      <w:pPr>
        <w:rPr>
          <w:rFonts w:ascii="Verdana" w:hAnsi="Verdana" w:eastAsia="Verdana" w:cs="Verdana"/>
          <w:sz w:val="20"/>
          <w:szCs w:val="20"/>
        </w:rPr>
        <w:spacing w:line="480" w:lineRule="auto"/>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spacing w:line="480" w:lineRule="auto"/>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