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spacing w:line="240" w:lineRule="auto"/>
        <w:rPr>
          <w:rFonts w:ascii="Verdana" w:hAnsi="Verdana" w:eastAsia="Verdana" w:cs="Verdana"/>
          <w:sz w:val="28"/>
          <w:szCs w:val="28"/>
          <w:b w:val="1"/>
          <w:bCs w:val="1"/>
        </w:rPr>
      </w:pPr>
      <w:r>
        <w:rPr>
          <w:rFonts w:ascii="Verdana" w:hAnsi="Verdana" w:eastAsia="Verdana" w:cs="Verdana"/>
          <w:sz w:val="28"/>
          <w:szCs w:val="28"/>
          <w:b w:val="1"/>
          <w:bCs w:val="1"/>
        </w:rP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spacing w:line="240" w:lineRule="auto"/>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spacing w:line="240" w:lineRule="auto"/>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spacing w:line="240" w:lineRule="auto"/>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spacing w:line="240" w:lineRule="auto"/>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spacing w:line="240" w:lineRule="auto"/>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spacing w:line="240" w:lineRule="auto"/>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spacing w:line="240" w:lineRule="auto"/>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spacing w:line="240" w:lineRule="auto"/>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spacing w:line="240" w:lineRule="auto"/>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spacing w:line="240" w:lineRule="auto"/>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spacing w:line="240" w:lineRule="auto"/>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spacing w:line="240" w:lineRule="auto"/>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spacing w:line="240" w:lineRule="auto"/>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spacing w:line="240" w:lineRule="auto"/>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spacing w:line="240" w:lineRule="auto"/>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spacing w:line="240" w:lineRule="auto"/>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spacing w:line="240" w:lineRule="auto"/>
        <w:rPr>
          <w:rFonts w:ascii="Trebuchet MS" w:hAnsi="Trebuchet MS" w:eastAsia="Trebuchet MS" w:cs="Trebuchet MS"/>
          <w:sz w:val="18"/>
          <w:szCs w:val="18"/>
          <w:b w:val="0"/>
          <w:bCs w:val="0"/>
        </w:rPr>
      </w:pPr>
      <w:bookmarkStart w:id="16" w:name="Chapter4Figure1"/>
      <w:bookmarkStart w:id="17" w:name="_Ref242720681"/>
      <w:bookmarkStart w:id="18" w:name="_Ref24277276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1</w:t>
        </w:r>
      </w:fldSimple>
      <w:bookmarkEnd w:id="16"/>
      <w:bookmarkEnd w:id="17"/>
      <w:bookmarkEnd w:id="18"/>
      <w:r>
        <w:rPr/>
        <w:t xml:space="preserve">. </w:t>
      </w:r>
      <w:r w:rsidRPr="00E21165">
        <w:rPr>
          <w:b w:val="1"/>
          <w:bCs w:val="1"/>
          <w:rFonts w:ascii="Trebuchet MS" w:hAnsi="Trebuchet MS" w:eastAsia="Trebuchet MS" w:cs="Trebuchet MS"/>
          <w:sz w:val="18"/>
          <w:szCs w:val="18"/>
        </w:rPr>
        <w:t xml:space="preserve">Threshold location and transition sharpness</w:t>
      </w:r>
      <w:r>
        <w:rPr>
          <w:rFonts w:ascii="Trebuchet MS" w:hAnsi="Trebuchet MS" w:eastAsia="Trebuchet MS" w:cs="Trebuchet MS"/>
          <w:sz w:val="18"/>
          <w:szCs w:val="18"/>
        </w:rP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Trebuchet MS" w:hAnsi="Trebuchet MS" w:eastAsia="Trebuchet MS" w:cs="Trebuchet MS"/>
          <w:sz w:val="18"/>
          <w:szCs w:val="18"/>
        </w:rP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Trebuchet MS" w:hAnsi="Trebuchet MS" w:eastAsia="Trebuchet MS" w:cs="Trebuchet MS"/>
          <w:sz w:val="18"/>
          <w:szCs w:val="18"/>
        </w:rPr>
        <w:t xml:space="preserve">. Panel A holds </w:t>
      </w:r>
      <m:oMath>
        <m:r>
          <w:rPr>
            <w:rFonts w:ascii="Cambria Math" w:hAnsi="Cambria Math"/>
          </w:rPr>
          <m:t>θ=0</m:t>
        </m:r>
      </m:oMath>
      <w:r>
        <w:rPr>
          <w:rFonts w:ascii="Trebuchet MS" w:hAnsi="Trebuchet MS" w:eastAsia="Trebuchet MS" w:cs="Trebuchet MS"/>
          <w:sz w:val="18"/>
          <w:szCs w:val="18"/>
        </w:rPr>
        <w:t xml:space="preserve"> and compares </w:t>
      </w:r>
      <m:oMath>
        <m:r>
          <w:rPr>
            <w:rFonts w:ascii="Cambria Math" w:hAnsi="Cambria Math"/>
          </w:rPr>
          <m:t>γ=0.5,2,</m:t>
        </m:r>
      </m:oMath>
      <w:r>
        <w:rPr>
          <w:rFonts w:ascii="Trebuchet MS" w:hAnsi="Trebuchet MS" w:eastAsia="Trebuchet MS" w:cs="Trebuchet MS"/>
          <w:sz w:val="18"/>
          <w:szCs w:val="18"/>
        </w:rPr>
        <w:t xml:space="preserve"> and </w:t>
      </w:r>
      <m:oMath>
        <m:r>
          <w:rPr>
            <w:rFonts w:ascii="Cambria Math" w:hAnsi="Cambria Math"/>
          </w:rPr>
          <m:t>8</m:t>
        </m:r>
      </m:oMath>
      <w:r>
        <w:rPr>
          <w:rFonts w:ascii="Trebuchet MS" w:hAnsi="Trebuchet MS" w:eastAsia="Trebuchet MS" w:cs="Trebuchet MS"/>
          <w:sz w:val="18"/>
          <w:szCs w:val="18"/>
        </w:rPr>
        <w:t xml:space="preserve">. Panel B holds </w:t>
      </w:r>
      <m:oMath>
        <m:r>
          <w:rPr>
            <w:rFonts w:ascii="Cambria Math" w:hAnsi="Cambria Math"/>
          </w:rPr>
          <m:t>γ=2</m:t>
        </m:r>
      </m:oMath>
      <w:r>
        <w:rPr>
          <w:rFonts w:ascii="Trebuchet MS" w:hAnsi="Trebuchet MS" w:eastAsia="Trebuchet MS" w:cs="Trebuchet MS"/>
          <w:sz w:val="18"/>
          <w:szCs w:val="18"/>
        </w:rPr>
        <w:t xml:space="preserve"> and compares </w:t>
      </w:r>
      <m:oMath>
        <m:r>
          <w:rPr>
            <w:rFonts w:ascii="Cambria Math" w:hAnsi="Cambria Math"/>
          </w:rPr>
          <m:t>θ=-1,0,</m:t>
        </m:r>
      </m:oMath>
      <w:r>
        <w:rPr>
          <w:rFonts w:ascii="Trebuchet MS" w:hAnsi="Trebuchet MS" w:eastAsia="Trebuchet MS" w:cs="Trebuchet MS"/>
          <w:sz w:val="18"/>
          <w:szCs w:val="18"/>
        </w:rPr>
        <w:t xml:space="preserve"> and </w:t>
      </w:r>
      <m:oMath>
        <m:r>
          <w:rPr>
            <w:rFonts w:ascii="Cambria Math" w:hAnsi="Cambria Math"/>
          </w:rPr>
          <m:t>1</m:t>
        </m:r>
      </m:oMath>
      <w:r>
        <w:rPr>
          <w:rFonts w:ascii="Trebuchet MS" w:hAnsi="Trebuchet MS" w:eastAsia="Trebuchet MS" w:cs="Trebuchet MS"/>
          <w:sz w:val="18"/>
          <w:szCs w:val="18"/>
        </w:rP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Trebuchet MS" w:hAnsi="Trebuchet MS" w:eastAsia="Trebuchet MS" w:cs="Trebuchet MS"/>
          <w:sz w:val="18"/>
          <w:szCs w:val="18"/>
        </w:rP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Trebuchet MS" w:hAnsi="Trebuchet MS" w:eastAsia="Trebuchet MS" w:cs="Trebuchet MS"/>
          <w:sz w:val="18"/>
          <w:szCs w:val="18"/>
        </w:rP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spacing w:line="240" w:lineRule="auto"/>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spacing w:line="240" w:lineRule="auto"/>
        <w:rPr>
          <w:rFonts w:ascii="Trebuchet MS" w:hAnsi="Trebuchet MS" w:eastAsia="Trebuchet MS" w:cs="Trebuchet MS"/>
          <w:sz w:val="18"/>
          <w:szCs w:val="18"/>
          <w:b w:val="0"/>
          <w:bCs w:val="0"/>
        </w:rPr>
      </w:pPr>
      <w:bookmarkStart w:id="20" w:name="Chapter4Figure2"/>
      <w:bookmarkStart w:id="21" w:name="_Ref242721199"/>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2</w:t>
        </w:r>
      </w:fldSimple>
      <w:bookmarkEnd w:id="20"/>
      <w:bookmarkEnd w:id="21"/>
      <w:r>
        <w:rPr/>
        <w:t xml:space="preserve">. </w:t>
      </w:r>
      <w:r w:rsidRPr="007D56E8">
        <w:rPr/>
        <w:t xml:space="preserve"> </w:t>
      </w:r>
      <w:r w:rsidRPr="00E21165">
        <w:rPr>
          <w:b w:val="1"/>
          <w:bCs w:val="1"/>
          <w:rFonts w:ascii="Trebuchet MS" w:hAnsi="Trebuchet MS" w:eastAsia="Trebuchet MS" w:cs="Trebuchet MS"/>
          <w:sz w:val="18"/>
          <w:szCs w:val="18"/>
        </w:rPr>
        <w:t xml:space="preserve">Continuous score changes and discrete changes in selection.</w:t>
      </w:r>
      <w:r>
        <w:rPr>
          <w:b/>
          <w:bCs w:val="0"/>
        </w:rPr>
        <w:t xml:space="preserve"> </w:t>
      </w:r>
      <w:r>
        <w:rPr>
          <w:rFonts w:ascii="Trebuchet MS" w:hAnsi="Trebuchet MS" w:eastAsia="Trebuchet MS" w:cs="Trebuchet MS"/>
          <w:sz w:val="18"/>
          <w:szCs w:val="18"/>
        </w:rPr>
        <w:t xml:space="preserve">Nine illustrative individuals belong to three groups of three. Competitive relevance is calculated using </w:t>
      </w:r>
      <m:oMath>
        <m:r>
          <w:rPr>
            <w:rFonts w:ascii="Cambria Math" w:hAnsi="Cambria Math"/>
          </w:rPr>
          <m:t>θ=1</m:t>
        </m:r>
      </m:oMath>
      <w:r>
        <w:rPr>
          <w:rFonts w:ascii="Trebuchet MS" w:hAnsi="Trebuchet MS" w:eastAsia="Trebuchet MS" w:cs="Trebuchet MS"/>
          <w:sz w:val="18"/>
          <w:szCs w:val="18"/>
        </w:rPr>
        <w:t xml:space="preserve"> and </w:t>
      </w:r>
      <m:oMath>
        <m:r>
          <w:rPr>
            <w:rFonts w:ascii="Cambria Math" w:hAnsi="Cambria Math"/>
          </w:rPr>
          <m:t>γ=2</m:t>
        </m:r>
      </m:oMath>
      <w:r>
        <w:rPr>
          <w:rFonts w:ascii="Trebuchet MS" w:hAnsi="Trebuchet MS" w:eastAsia="Trebuchet MS" w:cs="Trebuchet MS"/>
          <w:sz w:val="18"/>
          <w:szCs w:val="18"/>
        </w:rP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rebuchet MS" w:hAnsi="Trebuchet MS" w:eastAsia="Trebuchet MS" w:cs="Trebuchet MS"/>
          <w:sz w:val="18"/>
          <w:szCs w:val="18"/>
        </w:rPr>
        <w:t xml:space="preserve"> is the mean relevance of all its members. Performance, membership, and roster pressure remain fixed while </w:t>
      </w:r>
      <m:oMath>
        <m:r>
          <w:rPr>
            <w:rFonts w:ascii="Cambria Math" w:hAnsi="Cambria Math"/>
          </w:rPr>
          <m:t>λ</m:t>
        </m:r>
      </m:oMath>
      <w:r>
        <w:rPr>
          <w:rFonts w:ascii="Trebuchet MS" w:hAnsi="Trebuchet MS" w:eastAsia="Trebuchet MS" w:cs="Trebuchet MS"/>
          <w:sz w:val="18"/>
          <w:szCs w:val="18"/>
        </w:rP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Trebuchet MS" w:hAnsi="Trebuchet MS" w:eastAsia="Trebuchet MS" w:cs="Trebuchet MS"/>
          <w:sz w:val="18"/>
          <w:szCs w:val="18"/>
        </w:rPr>
        <w:t xml:space="preserve">; colors identify groups, and bold segments identify the global top three. Panel B records selection membership. At </w:t>
      </w:r>
      <m:oMath>
        <m:r>
          <w:rPr>
            <w:rFonts w:ascii="Cambria Math" w:hAnsi="Cambria Math"/>
          </w:rPr>
          <m:t>λ≈0.336</m:t>
        </m:r>
      </m:oMath>
      <w:r>
        <w:rPr>
          <w:rFonts w:ascii="Trebuchet MS" w:hAnsi="Trebuchet MS" w:eastAsia="Trebuchet MS" w:cs="Trebuchet MS"/>
          <w:sz w:val="18"/>
          <w:szCs w:val="18"/>
        </w:rPr>
        <w:t xml:space="preserve">, P7 replaces P2. At </w:t>
      </w:r>
      <m:oMath>
        <m:r>
          <w:rPr>
            <w:rFonts w:ascii="Cambria Math" w:hAnsi="Cambria Math"/>
          </w:rPr>
          <m:t>λ≈0.617</m:t>
        </m:r>
      </m:oMath>
      <w:r>
        <w:rPr>
          <w:rFonts w:ascii="Trebuchet MS" w:hAnsi="Trebuchet MS" w:eastAsia="Trebuchet MS" w:cs="Trebuchet MS"/>
          <w:sz w:val="18"/>
          <w:szCs w:val="18"/>
        </w:rP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spacing w:line="240" w:lineRule="auto"/>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spacing w:line="240" w:lineRule="auto"/>
        <w:rPr>
          <w:rFonts w:ascii="Trebuchet MS" w:hAnsi="Trebuchet MS" w:eastAsia="Trebuchet MS" w:cs="Trebuchet MS"/>
          <w:sz w:val="18"/>
          <w:szCs w:val="18"/>
          <w:b w:val="0"/>
          <w:bCs w:val="0"/>
        </w:rPr>
      </w:pPr>
      <w:bookmarkStart w:id="23" w:name="Chapter4Figure3"/>
      <w:bookmarkStart w:id="24" w:name="_Ref24273672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3</w:t>
        </w:r>
      </w:fldSimple>
      <w:bookmarkEnd w:id="23"/>
      <w:bookmarkEnd w:id="24"/>
      <w:r>
        <w:rPr/>
        <w:t xml:space="preserve">. </w:t>
      </w:r>
      <w:r w:rsidRPr="00C5784C">
        <w:rPr>
          <w:b w:val="1"/>
          <w:bCs w:val="1"/>
          <w:rFonts w:ascii="Trebuchet MS" w:hAnsi="Trebuchet MS" w:eastAsia="Trebuchet MS" w:cs="Trebuchet MS"/>
          <w:sz w:val="18"/>
          <w:szCs w:val="18"/>
        </w:rPr>
        <w:t xml:space="preserve">Scarcity and competitive relevance change together.</w:t>
      </w:r>
      <w:r>
        <w:rPr>
          <w:b/>
          <w:bCs w:val="0"/>
        </w:rPr>
        <w:t xml:space="preserve">  </w:t>
      </w:r>
      <w:r>
        <w:rPr>
          <w:rFonts w:ascii="Trebuchet MS" w:hAnsi="Trebuchet MS" w:eastAsia="Trebuchet MS" w:cs="Trebuchet MS"/>
          <w:sz w:val="18"/>
          <w:szCs w:val="18"/>
        </w:rPr>
        <w:t xml:space="preserve">The same nine individuals compete for three places in the left column and one place in the right column. For this illustration, </w:t>
      </w:r>
      <m:oMath>
        <m:r>
          <w:rPr>
            <w:rFonts w:ascii="Cambria Math" w:hAnsi="Cambria Math"/>
          </w:rPr>
          <m:t>θ</m:t>
        </m:r>
      </m:oMath>
      <w:r>
        <w:rPr>
          <w:rFonts w:ascii="Trebuchet MS" w:hAnsi="Trebuchet MS" w:eastAsia="Trebuchet MS" w:cs="Trebuchet MS"/>
          <w:sz w:val="18"/>
          <w:szCs w:val="18"/>
        </w:rPr>
        <w:t xml:space="preserve"> is the linearly interpolated empirical </w:t>
      </w:r>
      <m:oMath>
        <m:d>
          <m:dPr>
            <m:ctrlPr>
              <w:rPr>
                <w:rFonts w:ascii="Cambria Math" w:hAnsi="Cambria Math"/>
              </w:rPr>
            </m:ctrlPr>
          </m:dPr>
          <m:e>
            <m:r>
              <w:rPr>
                <w:rFonts w:ascii="Cambria Math" w:hAnsi="Cambria Math"/>
              </w:rPr>
              <m:t>1-K/N</m:t>
            </m:r>
          </m:e>
        </m:d>
      </m:oMath>
      <w:r>
        <w:rPr>
          <w:rFonts w:ascii="Trebuchet MS" w:hAnsi="Trebuchet MS" w:eastAsia="Trebuchet MS" w:cs="Trebuchet MS"/>
          <w:sz w:val="18"/>
          <w:szCs w:val="18"/>
        </w:rPr>
        <w:t xml:space="preserve">-quantile of performance, while </w:t>
      </w:r>
      <m:oMath>
        <m:r>
          <w:rPr>
            <w:rFonts w:ascii="Cambria Math" w:hAnsi="Cambria Math"/>
          </w:rPr>
          <m:t>γ=2</m:t>
        </m:r>
      </m:oMath>
      <w:r>
        <w:rPr>
          <w:rFonts w:ascii="Trebuchet MS" w:hAnsi="Trebuchet MS" w:eastAsia="Trebuchet MS" w:cs="Trebuchet MS"/>
          <w:sz w:val="18"/>
          <w:szCs w:val="18"/>
        </w:rPr>
        <w:t xml:space="preserve"> and </w:t>
      </w:r>
      <m:oMath>
        <m:r>
          <w:rPr>
            <w:rFonts w:ascii="Cambria Math" w:hAnsi="Cambria Math"/>
          </w:rPr>
          <m:t>λ=2</m:t>
        </m:r>
      </m:oMath>
      <w:r>
        <w:rPr>
          <w:rFonts w:ascii="Trebuchet MS" w:hAnsi="Trebuchet MS" w:eastAsia="Trebuchet MS" w:cs="Trebuchet MS"/>
          <w:sz w:val="18"/>
          <w:szCs w:val="18"/>
        </w:rP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rPr>
          <w:rFonts w:ascii="Trebuchet MS" w:hAnsi="Trebuchet MS" w:eastAsia="Trebuchet MS" w:cs="Trebuchet MS"/>
          <w:sz w:val="18"/>
          <w:szCs w:val="18"/>
        </w:rPr>
        <w:t xml:space="preserve"> and </w:t>
      </w:r>
      <m:oMath>
        <m:r>
          <w:rPr>
            <w:rFonts w:ascii="Cambria Math" w:hAnsi="Cambria Math"/>
          </w:rPr>
          <m:t>D/K=1/3</m:t>
        </m:r>
      </m:oMath>
      <w:r>
        <w:rPr>
          <w:rFonts w:ascii="Trebuchet MS" w:hAnsi="Trebuchet MS" w:eastAsia="Trebuchet MS" w:cs="Trebuchet MS"/>
          <w:sz w:val="18"/>
          <w:szCs w:val="18"/>
        </w:rPr>
        <w:t xml:space="preserve">. With one place, P4 replaces P1, giving </w:t>
      </w:r>
      <m:oMath>
        <m:r>
          <w:rPr>
            <w:rFonts w:ascii="Cambria Math" w:hAnsi="Cambria Math"/>
          </w:rPr>
          <m:t>D=1</m:t>
        </m:r>
      </m:oMath>
      <w:r>
        <w:rPr>
          <w:rFonts w:ascii="Trebuchet MS" w:hAnsi="Trebuchet MS" w:eastAsia="Trebuchet MS" w:cs="Trebuchet MS"/>
          <w:sz w:val="18"/>
          <w:szCs w:val="18"/>
        </w:rPr>
        <w:t xml:space="preserve"> and </w:t>
      </w:r>
      <m:oMath>
        <m:r>
          <w:rPr>
            <w:rFonts w:ascii="Cambria Math" w:hAnsi="Cambria Math"/>
          </w:rPr>
          <m:t>D/K=1</m:t>
        </m:r>
      </m:oMath>
      <w:r>
        <w:rPr>
          <w:rFonts w:ascii="Trebuchet MS" w:hAnsi="Trebuchet MS" w:eastAsia="Trebuchet MS" w:cs="Trebuchet MS"/>
          <w:sz w:val="18"/>
          <w:szCs w:val="18"/>
        </w:rP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spacing w:line="240" w:lineRule="auto"/>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spacing w:line="240" w:lineRule="auto"/>
        <w:rPr>
          <w:rFonts w:ascii="Trebuchet MS" w:hAnsi="Trebuchet MS" w:eastAsia="Trebuchet MS" w:cs="Trebuchet MS"/>
          <w:sz w:val="18"/>
          <w:szCs w:val="18"/>
          <w:b w:val="0"/>
          <w:bCs w:val="0"/>
        </w:rPr>
      </w:pPr>
      <w:bookmarkStart w:id="26" w:name="_Ref24280184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4</w:t>
        </w:r>
      </w:fldSimple>
      <w:bookmarkEnd w:id="26"/>
      <w:r>
        <w:rPr/>
        <w:t xml:space="preserve"> </w:t>
      </w:r>
      <w:r>
        <w:rPr>
          <w:rStyle w:val="Strong"/>
          <w:rFonts w:ascii="Trebuchet MS" w:hAnsi="Trebuchet MS" w:eastAsia="Trebuchet MS" w:cs="Trebuchet MS"/>
          <w:sz w:val="18"/>
          <w:szCs w:val="18"/>
          <w:b w:val="1"/>
          <w:bCs w:val="1"/>
        </w:rPr>
        <w:t xml:space="preserve">Selection across peer environments for the full basketball cohort and its top performance band.</w:t>
      </w:r>
      <w:r>
        <w:rPr>
          <w:rFonts w:ascii="Trebuchet MS" w:hAnsi="Trebuchet MS" w:eastAsia="Trebuchet MS" w:cs="Trebuchet MS"/>
          <w:sz w:val="18"/>
          <w:szCs w:val="18"/>
        </w:rP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rPr>
          <w:rFonts w:ascii="Trebuchet MS" w:hAnsi="Trebuchet MS" w:eastAsia="Trebuchet MS" w:cs="Trebuchet MS"/>
          <w:sz w:val="18"/>
          <w:szCs w:val="18"/>
        </w:rPr>
        <w:t>winsorization</w:t>
      </w:r>
      <w:proofErr w:type="spellEnd"/>
      <w:r>
        <w:rPr>
          <w:rFonts w:ascii="Trebuchet MS" w:hAnsi="Trebuchet MS" w:eastAsia="Trebuchet MS" w:cs="Trebuchet MS"/>
          <w:sz w:val="18"/>
          <w:szCs w:val="18"/>
        </w:rP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spacing w:line="240" w:lineRule="auto"/>
        <w:rPr>
          <w:rFonts w:ascii="Trebuchet MS" w:hAnsi="Trebuchet MS" w:eastAsia="Trebuchet MS" w:cs="Trebuchet MS"/>
          <w:sz w:val="18"/>
          <w:szCs w:val="18"/>
          <w:b w:val="0"/>
          <w:bCs w:val="0"/>
        </w:rPr>
      </w:pPr>
      <w:bookmarkStart w:id="27" w:name="_Ref24286791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5</w:t>
        </w:r>
      </w:fldSimple>
      <w:bookmarkEnd w:id="27"/>
      <w:r>
        <w:rPr/>
        <w:t xml:space="preserve"> </w:t>
      </w:r>
      <w:r>
        <w:rPr>
          <w:rStyle w:val="Strong"/>
          <w:rFonts w:ascii="Trebuchet MS" w:hAnsi="Trebuchet MS" w:eastAsia="Trebuchet MS" w:cs="Trebuchet MS"/>
          <w:sz w:val="18"/>
          <w:szCs w:val="18"/>
          <w:b w:val="1"/>
          <w:bCs w:val="1"/>
        </w:rPr>
        <w:t xml:space="preserve">Draft outcomes across peer environments within two high-performance bands.</w:t>
      </w:r>
      <w:r>
        <w:rPr>
          <w:rFonts w:ascii="Trebuchet MS" w:hAnsi="Trebuchet MS" w:eastAsia="Trebuchet MS" w:cs="Trebuchet MS"/>
          <w:sz w:val="18"/>
          <w:szCs w:val="18"/>
        </w:rP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spacing w:line="240" w:lineRule="auto"/>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spacing w:line="240" w:lineRule="auto"/>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spacing w:line="240" w:lineRule="auto"/>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spacing w:line="240" w:lineRule="auto"/>
        <w:rPr>
          <w:rFonts w:ascii="Trebuchet MS" w:hAnsi="Trebuchet MS" w:eastAsia="Trebuchet MS" w:cs="Trebuchet MS"/>
          <w:sz w:val="18"/>
          <w:szCs w:val="18"/>
          <w:b w:val="0"/>
          <w:bCs w:val="0"/>
        </w:rPr>
      </w:pPr>
      <w:bookmarkStart w:id="31" w:name="Chapter4Figure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6</w:t>
        </w:r>
      </w:fldSimple>
      <w:bookmarkEnd w:id="31"/>
      <w:r>
        <w:rPr/>
        <w:t xml:space="preserve">. </w:t>
      </w:r>
      <w:r w:rsidRPr="0030367F">
        <w:rPr>
          <w:b w:val="1"/>
          <w:bCs w:val="1"/>
          <w:rFonts w:ascii="Trebuchet MS" w:hAnsi="Trebuchet MS" w:eastAsia="Trebuchet MS" w:cs="Trebuchet MS"/>
          <w:sz w:val="18"/>
          <w:szCs w:val="18"/>
        </w:rPr>
        <w:t xml:space="preserve">Sequential assignment with evolving group centroids</w:t>
      </w:r>
      <w:r w:rsidRPr="00436C53">
        <w:rPr/>
        <w:t>.</w:t>
      </w:r>
      <w:r>
        <w:rPr>
          <w:rFonts w:ascii="Trebuchet MS" w:hAnsi="Trebuchet MS" w:eastAsia="Trebuchet MS" w:cs="Trebuchet MS"/>
          <w:sz w:val="18"/>
          <w:szCs w:val="18"/>
        </w:rP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rPr>
          <w:rFonts w:ascii="Trebuchet MS" w:hAnsi="Trebuchet MS" w:eastAsia="Trebuchet MS" w:cs="Trebuchet MS"/>
          <w:sz w:val="18"/>
          <w:szCs w:val="18"/>
        </w:rPr>
        <w:t xml:space="preserve"> are assigned to two groups of capacity three using </w:t>
      </w:r>
      <m:oMath>
        <m:r>
          <w:rPr>
            <w:rFonts w:ascii="Cambria Math" w:hAnsi="Cambria Math"/>
          </w:rPr>
          <m:t>ρ=2</m:t>
        </m:r>
      </m:oMath>
      <w:r>
        <w:rPr>
          <w:rFonts w:ascii="Trebuchet MS" w:hAnsi="Trebuchet MS" w:eastAsia="Trebuchet MS" w:cs="Trebuchet MS"/>
          <w:sz w:val="18"/>
          <w:szCs w:val="18"/>
        </w:rP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rPr>
          <w:rFonts w:ascii="Trebuchet MS" w:hAnsi="Trebuchet MS" w:eastAsia="Trebuchet MS" w:cs="Trebuchet MS"/>
          <w:sz w:val="18"/>
          <w:szCs w:val="18"/>
        </w:rP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spacing w:line="240" w:lineRule="auto"/>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spacing w:line="240" w:lineRule="auto"/>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spacing w:line="240" w:lineRule="auto"/>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spacing w:line="240" w:lineRule="auto"/>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spacing w:line="240" w:lineRule="auto"/>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spacing w:line="240" w:lineRule="auto"/>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rPr>
          <w:rFonts w:ascii="Trebuchet MS" w:hAnsi="Trebuchet MS" w:eastAsia="Trebuchet MS" w:cs="Trebuchet MS"/>
          <w:sz w:val="18"/>
          <w:szCs w:val="18"/>
          <w:b w:val="0"/>
          <w:bCs w:val="0"/>
        </w:rPr>
      </w:pPr>
      <w:bookmarkStart w:id="38" w:name="Chapter4Figure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7</w:t>
        </w:r>
      </w:fldSimple>
      <w:bookmarkEnd w:id="38"/>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Pr>
        <w:t xml:space="preserve">Penalty strength and binning in the 2015 simulation.</w:t>
      </w:r>
      <w:r>
        <w:rPr>
          <w:rFonts w:ascii="Trebuchet MS" w:hAnsi="Trebuchet MS" w:eastAsia="Trebuchet MS" w:cs="Trebuchet MS"/>
          <w:sz w:val="18"/>
          <w:szCs w:val="18"/>
          <w:b w:val="0"/>
          <w:bCs w:val="0"/>
        </w:rPr>
        <w:t xml:space="preserve"> Rows compare </w:t>
      </w:r>
      <m:oMath>
        <m:r>
          <w:rPr>
            <w:rFonts w:ascii="Cambria Math" w:hAnsi="Cambria Math"/>
          </w:rPr>
          <m:t>λ</m:t>
        </m:r>
      </m:oMath>
      <w:r>
        <w:rPr>
          <w:rFonts w:ascii="Trebuchet MS" w:hAnsi="Trebuchet MS" w:eastAsia="Trebuchet MS" w:cs="Trebuchet MS"/>
          <w:sz w:val="18"/>
          <w:szCs w:val="18"/>
        </w:rP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sz w:val="18"/>
          <w:szCs w:val="18"/>
        </w:rP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spacing w:line="240" w:lineRule="auto"/>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rPr>
          <w:rFonts w:ascii="Trebuchet MS" w:hAnsi="Trebuchet MS" w:eastAsia="Trebuchet MS" w:cs="Trebuchet MS"/>
          <w:sz w:val="18"/>
          <w:szCs w:val="18"/>
          <w:b w:val="0"/>
          <w:bCs w:val="0"/>
        </w:rPr>
      </w:pPr>
      <w:bookmarkStart w:id="40" w:name="Chapter4Figure6"/>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8</w:t>
        </w:r>
      </w:fldSimple>
      <w:bookmarkEnd w:id="40"/>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Pr>
        <w:t xml:space="preserve">Assignment preference under two levels of scarcity in the 2015 simulation.</w:t>
      </w:r>
      <w:r>
        <w:rPr>
          <w:rFonts w:ascii="Trebuchet MS" w:hAnsi="Trebuchet MS" w:eastAsia="Trebuchet MS" w:cs="Trebuchet MS"/>
          <w:sz w:val="18"/>
          <w:szCs w:val="18"/>
          <w:b w:val="0"/>
          <w:bCs w:val="0"/>
        </w:rPr>
        <w:t xml:space="preserve">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rPr>
          <w:rFonts w:ascii="Trebuchet MS" w:hAnsi="Trebuchet MS" w:eastAsia="Trebuchet MS" w:cs="Trebuchet MS"/>
          <w:sz w:val="18"/>
          <w:szCs w:val="18"/>
        </w:rP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rPr>
          <w:rFonts w:ascii="Trebuchet MS" w:hAnsi="Trebuchet MS" w:eastAsia="Trebuchet MS" w:cs="Trebuchet MS"/>
          <w:sz w:val="18"/>
          <w:szCs w:val="18"/>
        </w:rP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rPr>
          <w:rFonts w:ascii="Trebuchet MS" w:hAnsi="Trebuchet MS" w:eastAsia="Trebuchet MS" w:cs="Trebuchet MS"/>
          <w:sz w:val="18"/>
          <w:szCs w:val="18"/>
        </w:rP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spacing w:line="240" w:lineRule="auto"/>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spacing w:line="240" w:lineRule="auto"/>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spacing w:line="240" w:lineRule="auto"/>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spacing w:line="240" w:lineRule="auto"/>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spacing w:line="240" w:lineRule="auto"/>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spacing w:line="240" w:lineRule="auto"/>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spacing w:line="240" w:lineRule="auto"/>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spacing w:line="240" w:lineRule="auto"/>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spacing w:line="240" w:lineRule="auto"/>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hAnsi="Verdana" w:eastAsia="Verdana" w:cs="Verdana"/>
      <w:color w:val="000000"/>
      <w:sz w:val="20"/>
      <w:szCs w:val="20"/>
    </w:rPr>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Verdana" w:hAnsi="Verdana" w:eastAsia="Verdana" w:cs="Verdana"/>
      <w:b w:val="1"/>
      <w:bCs w:val="1"/>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Verdana" w:hAnsi="Verdana" w:eastAsia="Verdana" w:cs="Verdana"/>
      <w:color w:val="243F60" w:themeColor="accent1" w:themeShade="7F"/>
      <w:sz w:val="21"/>
      <w:szCs w:val="21"/>
      <w:b w:val="1"/>
      <w:bCs w:val="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Verdana" w:hAnsi="Verdana" w:eastAsia="Verdana" w:cs="Verdana"/>
      <w:i/>
      <w:iCs/>
      <w:color w:val="243F60" w:themeColor="accent1" w:themeShade="7F"/>
      <w:sz w:val="21"/>
      <w:szCs w:val="21"/>
      <w:b w:val="1"/>
      <w:bCs w:val="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Verdana" w:hAnsi="Verdana" w:eastAsia="Verdana" w:cs="Verdana"/>
      <w:i/>
      <w:iCs/>
      <w:color w:val="404040" w:themeColor="text1" w:themeTint="BF"/>
      <w:sz w:val="21"/>
      <w:szCs w:val="21"/>
      <w:b w:val="1"/>
      <w:bCs w:val="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Verdana" w:hAnsi="Verdana" w:eastAsia="Verdana" w:cs="Verdana"/>
      <w:color w:val="4F81BD" w:themeColor="accent1"/>
      <w:sz w:val="21"/>
      <w:szCs w:val="21"/>
      <w:b w:val="1"/>
      <w:bCs w:val="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Verdana" w:hAnsi="Verdana" w:eastAsia="Verdana" w:cs="Verdana"/>
      <w:i/>
      <w:iCs/>
      <w:color w:val="404040" w:themeColor="text1" w:themeTint="BF"/>
      <w:sz w:val="21"/>
      <w:szCs w:val="21"/>
      <w:b w:val="1"/>
      <w:bCs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rFonts w:ascii="Verdana" w:hAnsi="Verdana" w:eastAsia="Verdana" w:cs="Verdana"/>
      <w:b w:val="1"/>
      <w:spacing w:val="5"/>
      <w:kern w:val="28"/>
      <w:sz w:val="28"/>
      <w:szCs w:val="28"/>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Verdana" w:hAnsi="Verdana" w:eastAsia="Verdana" w:cs="Verdana"/>
      <w:sz w:val="20"/>
      <w:szCs w:val="20"/>
    </w:rPr>
    <w:pPr>
      <w:spacing w:line="48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40" w:lineRule="auto"/>
    </w:pPr>
    <w:rPr>
      <w:bCs w:val="0"/>
      <w:sz w:val="18"/>
      <w:szCs w:val="18"/>
      <w:rFonts w:ascii="Trebuchet MS" w:hAnsi="Trebuchet MS" w:eastAsia="Trebuchet MS" w:cs="Trebuchet MS"/>
      <w:b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Verdana" w:hAnsi="Verdana" w:eastAsia="Verdana" w:cs="Verdana"/>
      <w:szCs w:val="20"/>
      <w:sz w:val="20"/>
    </w:rPr>
    <w:pPr>
      <w:spacing w:line="480" w:lineRule="auto"/>
    </w:p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