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BF7BF1" w14:textId="77777777" w:rsidR="00CB3150" w:rsidRDefault="00000000">
      <w:pPr>
        <w:pStyle w:val="Title"/>
        <w:spacing w:line="240" w:lineRule="auto"/>
        <w:rPr>
          <w:rFonts w:ascii="Verdana" w:hAnsi="Verdana" w:eastAsia="Verdana" w:cs="Verdana"/>
          <w:sz w:val="28"/>
          <w:szCs w:val="28"/>
          <w:b w:val="1"/>
          <w:bCs w:val="1"/>
        </w:rPr>
      </w:pPr>
      <w:r>
        <w:rPr>
          <w:rFonts w:ascii="Verdana" w:hAnsi="Verdana" w:eastAsia="Verdana" w:cs="Verdana"/>
          <w:sz w:val="28"/>
          <w:szCs w:val="28"/>
          <w:b w:val="1"/>
          <w:bCs w:val="1"/>
        </w:rPr>
        <w:t>Chapter 4 — A model of competitive congestion and advancement</w:t>
      </w:r>
    </w:p>
    <w:p w14:paraId="070274F1" w14:textId="77777777" w:rsidR="00CB3150" w:rsidRDefault="00000000">
      <w:pPr>
        <w:rPr>
          <w:rFonts w:ascii="Verdana" w:hAnsi="Verdana" w:eastAsia="Verdana" w:cs="Verdana"/>
          <w:sz w:val="28"/>
          <w:szCs w:val="28"/>
          <w:b w:val="1"/>
          <w:bCs w:val="1"/>
        </w:rPr>
        <w:pStyle w:val="Heading1"/>
        <w:spacing w:line="240" w:lineRule="auto"/>
      </w:pPr>
      <w:bookmarkStart w:id="0" w:name="X166b1176d9c834602c4793dd44ed9435b820f4f"/>
      <w:r>
        <w:rPr>
          <w:rFonts w:ascii="Verdana" w:hAnsi="Verdana" w:eastAsia="Verdana" w:cs="Verdana"/>
          <w:sz w:val="28"/>
          <w:szCs w:val="28"/>
          <w:b w:val="1"/>
          <w:bCs w:val="1"/>
        </w:rPr>
        <w:t>4.1 Individual performance and success in groups</w:t>
      </w:r>
    </w:p>
    <w:p w14:paraId="044CF15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16D41C8C"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6257F20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2ED5202" w14:textId="77777777" w:rsidR="00CB3150" w:rsidRDefault="00000000">
      <w:pPr>
        <w:rPr>
          <w:rFonts w:ascii="Verdana" w:hAnsi="Verdana" w:eastAsia="Verdana" w:cs="Verdana"/>
          <w:sz w:val="28"/>
          <w:szCs w:val="28"/>
          <w:b w:val="1"/>
          <w:bCs w:val="1"/>
        </w:rPr>
        <w:pStyle w:val="Heading1"/>
        <w:spacing w:line="240" w:lineRule="auto"/>
      </w:pPr>
      <w:bookmarkStart w:id="1" w:name="Xfada5e96b17685afb9851f145398c9afa85bcfe"/>
      <w:bookmarkEnd w:id="0"/>
      <w:r>
        <w:rPr>
          <w:rFonts w:ascii="Verdana" w:hAnsi="Verdana" w:eastAsia="Verdana" w:cs="Verdana"/>
          <w:sz w:val="28"/>
          <w:szCs w:val="28"/>
          <w:b w:val="1"/>
          <w:bCs w:val="1"/>
        </w:rPr>
        <w:t>4.2 Selecting the highest performing individuals</w:t>
      </w:r>
    </w:p>
    <w:p w14:paraId="456FF18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Consider </w:t>
      </w:r>
      <w:r w:rsidR="00C73E7B">
        <w:rPr>
          <w:rFonts w:ascii="Verdana" w:hAnsi="Verdana" w:eastAsia="Verdana" w:cs="Verdana"/>
          <w:sz w:val="20"/>
          <w:szCs w:val="20"/>
        </w:rPr>
        <w:t xml:space="preserve">a population of </w:t>
      </w:r>
      <w:r>
        <w:rPr>
          <w:rFonts w:ascii="Verdana" w:hAnsi="Verdana" w:eastAsia="Verdana" w:cs="Verdana"/>
          <w:sz w:val="20"/>
          <w:szCs w:val="20"/>
        </w:rPr>
        <w:t xml:space="preserve">individuals who already belong to groups. Over a period of activity, each accumulates a record of performance. At the end of that period, a decision maker allocates a limited number of opportunities among the eligible individuals. In our first model, the decision </w:t>
      </w:r>
      <w:r>
        <w:rPr>
          <w:rFonts w:ascii="Verdana" w:hAnsi="Verdana" w:eastAsia="Verdana" w:cs="Verdana"/>
          <w:sz w:val="20"/>
          <w:szCs w:val="20"/>
        </w:rPr>
        <w:lastRenderedPageBreak/>
        <w:t>maker can observe and compare their performance perfectly. Everyone is ranked, and the highest-ranked individuals receive the available places.</w:t>
      </w:r>
      <w:r w:rsidR="00362992">
        <w:rPr>
          <w:rFonts w:ascii="Verdana" w:hAnsi="Verdana" w:eastAsia="Verdana" w:cs="Verdana"/>
          <w:sz w:val="20"/>
          <w:szCs w:val="20"/>
        </w:rPr>
        <w:t xml:space="preserve"> We call this performance-only, deterministic top-</w:t>
      </w:r>
      <m:oMath>
        <m:r>
          <w:rPr>
            <w:rFonts w:ascii="Cambria Math" w:hAnsi="Cambria Math"/>
          </w:rPr>
          <m:t>K</m:t>
        </m:r>
      </m:oMath>
      <w:r w:rsidR="00362992">
        <w:rPr>
          <w:rFonts w:ascii="Verdana" w:hAnsi="Verdana" w:eastAsia="Verdana" w:cs="Verdana"/>
          <w:sz w:val="20"/>
          <w:szCs w:val="20"/>
        </w:rPr>
        <w:t xml:space="preserve"> model the naïve benchmark.</w:t>
      </w:r>
    </w:p>
    <w:p w14:paraId="72921AA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6A15DC4C" w14:textId="77777777" w:rsidR="00CB3150" w:rsidRDefault="00000000">
      <w:pPr>
        <w:rPr>
          <w:rFonts w:ascii="Verdana" w:hAnsi="Verdana" w:eastAsia="Verdana" w:cs="Verdana"/>
          <w:sz w:val="21"/>
          <w:szCs w:val="21"/>
          <w:b w:val="1"/>
          <w:bCs w:val="1"/>
        </w:rPr>
        <w:pStyle w:val="Heading2"/>
        <w:spacing w:line="240" w:lineRule="auto"/>
      </w:pPr>
      <w:bookmarkStart w:id="2" w:name="performance-and-the-selection-population"/>
      <w:r>
        <w:rPr>
          <w:rFonts w:ascii="Verdana" w:hAnsi="Verdana" w:eastAsia="Verdana" w:cs="Verdana"/>
          <w:sz w:val="21"/>
          <w:szCs w:val="21"/>
          <w:b w:val="1"/>
          <w:bCs w:val="1"/>
        </w:rPr>
        <w:t>4.2.1 Performance and the selection population</w:t>
      </w:r>
    </w:p>
    <w:p w14:paraId="63B14911"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We summarize the record entering selection by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the performance characteristic of individual </w:t>
      </w:r>
      <m:oMath>
        <m:r>
          <w:rPr>
            <w:rFonts w:ascii="Cambria Math" w:hAnsi="Cambria Math"/>
          </w:rPr>
          <m:t>i</m:t>
        </m:r>
      </m:oMath>
      <w:r>
        <w:rPr>
          <w:rFonts w:ascii="Verdana" w:hAnsi="Verdana" w:eastAsia="Verdana" w:cs="Verdana"/>
          <w:sz w:val="20"/>
          <w:szCs w:val="20"/>
        </w:rPr>
        <w:t xml:space="preserve">. </w:t>
      </w:r>
      <m:oMath>
        <m:r>
          <w:rPr>
            <w:rFonts w:ascii="Cambria Math" w:hAnsi="Cambria Math"/>
          </w:rPr>
          <m:t>A</m:t>
        </m:r>
      </m:oMath>
      <w:r>
        <w:rPr>
          <w:rFonts w:ascii="Verdana" w:hAnsi="Verdana" w:eastAsia="Verdana" w:cs="Verdana"/>
          <w:sz w:val="20"/>
          <w:szCs w:val="20"/>
        </w:rP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may be a measured performance statistic or a specified characteristic in a simulation. It need not be innate talent, and a measured value may already reflect earlier environments. Perfect observation in this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means perfect access to the stipulated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rather than a claim that empirical performance reveals underlying talent without error.</w:t>
      </w:r>
    </w:p>
    <w:p w14:paraId="234CFBE0" w14:textId="49AEF7B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r>
          <m:rPr>
            <m:scr m:val="script"/>
            <m:sty m:val="p"/>
          </m:rPr>
          <w:rPr>
            <w:rFonts w:ascii="Cambria Math" w:hAnsi="Cambria Math"/>
          </w:rPr>
          <m:t>I</m:t>
        </m:r>
      </m:oMath>
      <w:r>
        <w:rPr>
          <w:rFonts w:ascii="Verdana" w:hAnsi="Verdana" w:eastAsia="Verdana" w:cs="Verdana"/>
          <w:sz w:val="20"/>
          <w:szCs w:val="20"/>
        </w:rPr>
        <w:t xml:space="preserve"> be the set of eligible individuals, with </w:t>
      </w:r>
      <m:oMath>
        <m:r>
          <w:rPr>
            <w:rFonts w:ascii="Cambria Math" w:hAnsi="Cambria Math"/>
          </w:rPr>
          <m:t>N</m:t>
        </m:r>
      </m:oMath>
      <w:r>
        <w:rPr>
          <w:rFonts w:ascii="Verdana" w:hAnsi="Verdana" w:eastAsia="Verdana" w:cs="Verdana"/>
          <w:sz w:val="20"/>
          <w:szCs w:val="20"/>
        </w:rPr>
        <w:t xml:space="preserve"> members. Index groups by </w:t>
      </w:r>
      <m:oMath>
        <m:r>
          <w:rPr>
            <w:rFonts w:ascii="Cambria Math" w:hAnsi="Cambria Math"/>
          </w:rPr>
          <m:t>j</m:t>
        </m:r>
      </m:oMath>
      <w:r>
        <w:rPr>
          <w:rFonts w:ascii="Verdana" w:hAnsi="Verdana" w:eastAsia="Verdana" w:cs="Verdana"/>
          <w:sz w:val="20"/>
          <w:szCs w:val="20"/>
        </w:rPr>
        <w:t xml:space="preserve">, and let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identify the group containing individual </w:t>
      </w:r>
      <m:oMath>
        <m:r>
          <w:rPr>
            <w:rFonts w:ascii="Cambria Math" w:hAnsi="Cambria Math"/>
          </w:rPr>
          <m:t>i</m:t>
        </m:r>
      </m:oMath>
      <w:r>
        <w:rPr>
          <w:rFonts w:ascii="Verdana" w:hAnsi="Verdana" w:eastAsia="Verdana" w:cs="Verdana"/>
          <w:sz w:val="20"/>
          <w:szCs w:val="20"/>
        </w:rPr>
        <w:t xml:space="preserve">. Group </w:t>
      </w:r>
      <m:oMath>
        <m:r>
          <w:rPr>
            <w:rFonts w:ascii="Cambria Math" w:hAnsi="Cambria Math"/>
          </w:rPr>
          <m:t>j</m:t>
        </m:r>
      </m:oMath>
      <w:r>
        <w:rPr>
          <w:rFonts w:ascii="Verdana" w:hAnsi="Verdana" w:eastAsia="Verdana" w:cs="Verdana"/>
          <w:sz w:val="20"/>
          <w:szCs w:val="20"/>
        </w:rPr>
        <w:t xml:space="preserve"> contains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Verdana" w:hAnsi="Verdana" w:eastAsia="Verdana" w:cs="Verdana"/>
          <w:sz w:val="20"/>
          <w:szCs w:val="20"/>
        </w:rPr>
        <w:t xml:space="preserve"> individuals, all groups are nonempty, and their sizes sum to </w:t>
      </w:r>
      <m:oMath>
        <m:r>
          <w:rPr>
            <w:rFonts w:ascii="Cambria Math" w:hAnsi="Cambria Math"/>
          </w:rPr>
          <m:t>N</m:t>
        </m:r>
      </m:oMath>
      <w:r>
        <w:rPr>
          <w:rFonts w:ascii="Verdana" w:hAnsi="Verdana" w:eastAsia="Verdana" w:cs="Verdana"/>
          <w:sz w:val="20"/>
          <w:szCs w:val="20"/>
        </w:rPr>
        <w:t>. Memberships can come directly from observed rosters. We do not yet need a model of how those groups formed.</w:t>
      </w:r>
    </w:p>
    <w:p w14:paraId="5B678D0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r>
          <w:rPr>
            <w:rFonts w:ascii="Cambria Math" w:hAnsi="Cambria Math"/>
          </w:rPr>
          <m:t>K</m:t>
        </m:r>
      </m:oMath>
      <w:r>
        <w:rPr>
          <w:rFonts w:ascii="Verdana" w:hAnsi="Verdana" w:eastAsia="Verdana" w:cs="Verdana"/>
          <w:sz w:val="20"/>
          <w:szCs w:val="20"/>
        </w:rPr>
        <w:t xml:space="preserve"> be the number of selection opportunities, with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The selection fraction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describes their scarcity: smaller fractions mean fewer opportunities relative to the eligible population. We generally study </w:t>
      </w:r>
      <m:oMath>
        <m:r>
          <w:rPr>
            <w:rFonts w:ascii="Cambria Math" w:hAnsi="Cambria Math"/>
          </w:rPr>
          <m:t>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N</m:t>
        </m:r>
      </m:oMath>
      <w:r>
        <w:rPr>
          <w:rFonts w:ascii="Verdana" w:hAnsi="Verdana" w:eastAsia="Verdana" w:cs="Verdana"/>
          <w:sz w:val="20"/>
          <w:szCs w:val="20"/>
        </w:rPr>
        <w:t xml:space="preserve">, because selecting nobody or everybody leaves no variation in the binary outcome. Fixing </w:t>
      </w:r>
      <m:oMath>
        <m:r>
          <w:rPr>
            <w:rFonts w:ascii="Cambria Math" w:hAnsi="Cambria Math"/>
          </w:rPr>
          <m:t>K</m:t>
        </m:r>
      </m:oMath>
      <w:r>
        <w:rPr>
          <w:rFonts w:ascii="Verdana" w:hAnsi="Verdana" w:eastAsia="Verdana" w:cs="Verdana"/>
          <w:sz w:val="20"/>
          <w:szCs w:val="20"/>
        </w:rPr>
        <w:t xml:space="preserve"> is a modeling assumption; it does not require that every application have an explicitly announced institutional quota.</w:t>
      </w:r>
    </w:p>
    <w:p w14:paraId="2E9A186A" w14:textId="77777777" w:rsidR="00CB3150" w:rsidRDefault="00000000">
      <w:pPr>
        <w:rPr>
          <w:rFonts w:ascii="Verdana" w:hAnsi="Verdana" w:eastAsia="Verdana" w:cs="Verdana"/>
          <w:sz w:val="21"/>
          <w:szCs w:val="21"/>
          <w:b w:val="1"/>
          <w:bCs w:val="1"/>
        </w:rPr>
        <w:pStyle w:val="Heading2"/>
        <w:spacing w:line="240" w:lineRule="auto"/>
      </w:pPr>
      <w:bookmarkStart w:id="3" w:name="the-score-and-the-selection-rule"/>
      <w:bookmarkEnd w:id="2"/>
      <w:r>
        <w:rPr>
          <w:rFonts w:ascii="Verdana" w:hAnsi="Verdana" w:eastAsia="Verdana" w:cs="Verdana"/>
          <w:sz w:val="21"/>
          <w:szCs w:val="21"/>
          <w:b w:val="1"/>
          <w:bCs w:val="1"/>
        </w:rPr>
        <w:lastRenderedPageBreak/>
        <w:t>4.2.2 The score and the selection rule</w:t>
      </w:r>
    </w:p>
    <w:p w14:paraId="68A7704C" w14:textId="69CBD16E" w:rsidR="00CB3150" w:rsidRDefault="00D8262B">
      <w:pPr>
        <w:rPr>
          <w:rFonts w:ascii="Verdana" w:hAnsi="Verdana" w:eastAsia="Verdana" w:cs="Verdana"/>
          <w:sz w:val="20"/>
          <w:szCs w:val="20"/>
        </w:rPr>
        <w:spacing w:line="480" w:lineRule="auto"/>
      </w:pPr>
      <w:r w:rsidRPr="00D8262B">
        <w:rPr>
          <w:rFonts w:ascii="Verdana" w:hAnsi="Verdana" w:eastAsia="Verdana" w:cs="Verdana"/>
          <w:sz w:val="20"/>
          <w:szCs w:val="20"/>
        </w:rPr>
        <w:t>We now formalize the naïve benchmark by distinguishing two operations: SCORE and SELECT.</w:t>
      </w:r>
      <w:r w:rsidR="00203D06">
        <w:rPr>
          <w:rFonts w:ascii="Verdana" w:hAnsi="Verdana" w:eastAsia="Verdana" w:cs="Verdana"/>
          <w:sz w:val="20"/>
          <w:szCs w:val="20"/>
        </w:rPr>
        <w:t xml:space="preserve">  We distinguish the score used to compare candidates from the rule that awards places. Write the score as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203D06">
        <w:rPr>
          <w:rFonts w:ascii="Verdana" w:hAnsi="Verdana" w:eastAsia="Verdana" w:cs="Verdana"/>
          <w:sz w:val="20"/>
          <w:szCs w:val="20"/>
        </w:rPr>
        <w:t>. In this simplest model, individual performance is its only ingredient:</w:t>
      </w:r>
    </w:p>
    <w:p w14:paraId="7A8C12FC"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m:oMathPara>
    </w:p>
    <w:p w14:paraId="6AC145A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selection rule chooses the </w:t>
      </w:r>
      <m:oMath>
        <m:r>
          <w:rPr>
            <w:rFonts w:ascii="Cambria Math" w:hAnsi="Cambria Math"/>
          </w:rPr>
          <m:t>K</m:t>
        </m:r>
      </m:oMath>
      <w:r>
        <w:rPr>
          <w:rFonts w:ascii="Verdana" w:hAnsi="Verdana" w:eastAsia="Verdana" w:cs="Verdana"/>
          <w:sz w:val="20"/>
          <w:szCs w:val="20"/>
        </w:rPr>
        <w:t xml:space="preserve"> highest scores. Write </w:t>
      </w:r>
      <m:oMath>
        <m:r>
          <m:rPr>
            <m:sty m:val="bi"/>
          </m:rPr>
          <w:rPr>
            <w:rFonts w:ascii="Cambria Math" w:hAnsi="Cambria Math"/>
          </w:rPr>
          <m:t>S</m:t>
        </m:r>
      </m:oMath>
      <w:r>
        <w:rPr>
          <w:rFonts w:ascii="Verdana" w:hAnsi="Verdana" w:eastAsia="Verdana" w:cs="Verdana"/>
          <w:sz w:val="20"/>
          <w:szCs w:val="20"/>
        </w:rPr>
        <w:t xml:space="preserve"> for the collection of all individual scores, and let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m:rPr>
            <m:sty m:val="bi"/>
          </m:rPr>
          <w:rPr>
            <w:rFonts w:ascii="Cambria Math" w:hAnsi="Cambria Math"/>
          </w:rPr>
          <m:t>S</m:t>
        </m:r>
        <m:r>
          <m:rPr>
            <m:sty m:val="p"/>
          </m:rPr>
          <w:rPr>
            <w:rFonts w:ascii="Cambria Math" w:hAnsi="Cambria Math"/>
          </w:rPr>
          <m:t>)</m:t>
        </m:r>
      </m:oMath>
      <w:r>
        <w:rPr>
          <w:rFonts w:ascii="Verdana" w:hAnsi="Verdana" w:eastAsia="Verdana" w:cs="Verdana"/>
          <w:sz w:val="20"/>
          <w:szCs w:val="20"/>
        </w:rPr>
        <w:t xml:space="preserve"> denote the resulting set of winners.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ascii="Verdana" w:hAnsi="Verdana" w:eastAsia="Verdana" w:cs="Verdana"/>
          <w:sz w:val="20"/>
          <w:szCs w:val="20"/>
        </w:rPr>
        <w:t xml:space="preserve"> equal one if individual </w:t>
      </w:r>
      <m:oMath>
        <m:r>
          <w:rPr>
            <w:rFonts w:ascii="Cambria Math" w:hAnsi="Cambria Math"/>
          </w:rPr>
          <m:t>i</m:t>
        </m:r>
      </m:oMath>
      <w:r>
        <w:rPr>
          <w:rFonts w:ascii="Verdana" w:hAnsi="Verdana" w:eastAsia="Verdana" w:cs="Verdana"/>
          <w:sz w:val="20"/>
          <w:szCs w:val="20"/>
        </w:rPr>
        <w:t xml:space="preserve"> is selected and zero otherwise. Using indicator notation, where </w:t>
      </w:r>
      <m:oMath>
        <m:r>
          <w:rPr>
            <w:rFonts w:ascii="Cambria Math" w:hAnsi="Cambria Math"/>
          </w:rPr>
          <m:t>1</m:t>
        </m:r>
        <m:r>
          <m:rPr>
            <m:sty m:val="p"/>
          </m:rPr>
          <w:rPr>
            <w:rFonts w:ascii="Cambria Math" w:hAnsi="Cambria Math"/>
          </w:rPr>
          <m:t>{</m:t>
        </m:r>
        <m:r>
          <m:rPr>
            <m:nor/>
          </m:rPr>
          <m:t>condition</m:t>
        </m:r>
        <m:r>
          <m:rPr>
            <m:sty m:val="p"/>
          </m:rPr>
          <w:rPr>
            <w:rFonts w:ascii="Cambria Math" w:hAnsi="Cambria Math"/>
          </w:rPr>
          <m:t>}</m:t>
        </m:r>
      </m:oMath>
      <w:r>
        <w:rPr>
          <w:rFonts w:ascii="Verdana" w:hAnsi="Verdana" w:eastAsia="Verdana" w:cs="Verdana"/>
          <w:sz w:val="20"/>
          <w:szCs w:val="20"/>
        </w:rPr>
        <w:t xml:space="preserve"> equals one when the condition is true and zero otherwise, we write</w:t>
      </w:r>
    </w:p>
    <w:p w14:paraId="139A1E7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d>
            <m:dPr>
              <m:begChr m:val="{"/>
              <m:endChr m:val="}"/>
              <m:ctrlPr>
                <w:rPr>
                  <w:rFonts w:ascii="Cambria Math" w:hAnsi="Cambria Math"/>
                </w:rPr>
              </m:ctrlPr>
            </m:dPr>
            <m:e>
              <m:r>
                <w:rPr>
                  <w:rFonts w:ascii="Cambria Math" w:hAnsi="Cambria Math"/>
                </w:rPr>
                <m:t>i∈ </m:t>
              </m:r>
              <m:sSub>
                <m:sSubPr>
                  <m:ctrlPr>
                    <w:rPr>
                      <w:rFonts w:ascii="Cambria Math" w:hAnsi="Cambria Math"/>
                    </w:rPr>
                  </m:ctrlPr>
                </m:sSubPr>
                <m:e>
                  <m:r>
                    <w:rPr>
                      <w:rFonts w:ascii="Cambria Math" w:hAnsi="Cambria Math"/>
                    </w:rPr>
                    <m:t>W</m:t>
                  </m:r>
                </m:e>
                <m:sub>
                  <m:r>
                    <w:rPr>
                      <w:rFonts w:ascii="Cambria Math" w:hAnsi="Cambria Math"/>
                    </w:rPr>
                    <m:t>K</m:t>
                  </m:r>
                </m:sub>
              </m:sSub>
              <m:d>
                <m:dPr>
                  <m:ctrlPr>
                    <w:rPr>
                      <w:rFonts w:ascii="Cambria Math" w:hAnsi="Cambria Math"/>
                    </w:rPr>
                  </m:ctrlPr>
                </m:dPr>
                <m:e>
                  <m:r>
                    <m:rPr>
                      <m:sty m:val="b"/>
                    </m:rPr>
                    <w:rPr>
                      <w:rFonts w:ascii="Cambria Math" w:hAnsi="Cambria Math"/>
                    </w:rPr>
                    <m:t>S</m:t>
                  </m:r>
                </m:e>
              </m:d>
            </m:e>
          </m:d>
          <m:r>
            <w:rPr>
              <w:rFonts w:ascii="Cambria Math" w:hAnsi="Cambria Math"/>
            </w:rPr>
            <m:t>,   </m:t>
          </m:r>
          <m:nary>
            <m:naryPr>
              <m:chr m:val="∑"/>
              <m:limLoc m:val="undOvr"/>
              <m:supHide m:val="1"/>
              <m:ctrlPr>
                <w:rPr>
                  <w:rFonts w:ascii="Cambria Math" w:hAnsi="Cambria Math"/>
                </w:rPr>
              </m:ctrlPr>
            </m:naryPr>
            <m:sub>
              <m:r>
                <w:rPr>
                  <w:rFonts w:ascii="Cambria Math" w:hAnsi="Cambria Math"/>
                </w:rPr>
                <m:t>i∈ I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=K.</m:t>
          </m:r>
        </m:oMath>
      </m:oMathPara>
    </w:p>
    <w:p w14:paraId="1A8F8C4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rPr>
          <w:rFonts w:ascii="Verdana" w:hAnsi="Verdana" w:eastAsia="Verdana" w:cs="Verdana"/>
          <w:sz w:val="20"/>
          <w:szCs w:val="20"/>
        </w:rPr>
        <w:t xml:space="preserve">  If several individuals share the score at the selection boundary, we fill the remaining places using a predetermined ordering of those individuals, fixed before selection and used consistently across comparisons.</w:t>
      </w:r>
    </w:p>
    <w:p w14:paraId="10065458" w14:textId="77777777" w:rsidR="00CB3150" w:rsidRDefault="00000000">
      <w:pPr>
        <w:rPr>
          <w:rFonts w:ascii="Verdana" w:hAnsi="Verdana" w:eastAsia="Verdana" w:cs="Verdana"/>
          <w:sz w:val="21"/>
          <w:szCs w:val="21"/>
          <w:b w:val="1"/>
          <w:bCs w:val="1"/>
        </w:rPr>
        <w:pStyle w:val="Heading2"/>
        <w:spacing w:line="240" w:lineRule="auto"/>
      </w:pPr>
      <w:bookmarkStart w:id="4" w:name="Xa5823cb72cde8cbb5180a30bdc574971e9835d8"/>
      <w:bookmarkEnd w:id="3"/>
      <w:r>
        <w:rPr>
          <w:rFonts w:ascii="Verdana" w:hAnsi="Verdana" w:eastAsia="Verdana" w:cs="Verdana"/>
          <w:sz w:val="21"/>
          <w:szCs w:val="21"/>
          <w:b w:val="1"/>
          <w:bCs w:val="1"/>
        </w:rPr>
        <w:t xml:space="preserve">4.2.3 What group membership does in the </w:t>
      </w:r>
      <w:r w:rsidR="00A16FA4">
        <w:rPr>
          <w:rFonts w:ascii="Verdana" w:hAnsi="Verdana" w:eastAsia="Verdana" w:cs="Verdana"/>
          <w:sz w:val="21"/>
          <w:szCs w:val="21"/>
          <w:b w:val="1"/>
          <w:bCs w:val="1"/>
        </w:rPr>
        <w:t xml:space="preserve">naïve </w:t>
      </w:r>
      <w:r>
        <w:rPr>
          <w:rFonts w:ascii="Verdana" w:hAnsi="Verdana" w:eastAsia="Verdana" w:cs="Verdana"/>
          <w:sz w:val="21"/>
          <w:szCs w:val="21"/>
          <w:b w:val="1"/>
          <w:bCs w:val="1"/>
        </w:rPr>
        <w:t>benchmark</w:t>
      </w:r>
    </w:p>
    <w:p w14:paraId="3B668D3B" w14:textId="094697BA" w:rsidR="00CB3150" w:rsidRDefault="00000000" w:rsidP="00C5784C">
      <w:pPr>
        <w:rPr>
          <w:rFonts w:ascii="Verdana" w:hAnsi="Verdana" w:eastAsia="Verdana" w:cs="Verdana"/>
          <w:sz w:val="20"/>
          <w:szCs w:val="20"/>
        </w:rPr>
        <w:spacing w:line="480" w:lineRule="auto"/>
      </w:pPr>
      <w:r>
        <w:rPr>
          <w:rFonts w:ascii="Verdana" w:hAnsi="Verdana" w:eastAsia="Verdana" w:cs="Verdana"/>
          <w:sz w:val="20"/>
          <w:szCs w:val="20"/>
        </w:rP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and experiments on the same individuals and memberships will ask whether an</w:t>
      </w:r>
      <w:r w:rsidR="003E7FF3">
        <w:rPr>
          <w:rFonts w:ascii="Verdana" w:hAnsi="Verdana" w:eastAsia="Verdana" w:cs="Verdana"/>
          <w:sz w:val="20"/>
          <w:szCs w:val="20"/>
        </w:rPr>
        <w:t xml:space="preserve"> explicit adjustment based on group composition </w:t>
      </w:r>
      <w:r>
        <w:rPr>
          <w:rFonts w:ascii="Verdana" w:hAnsi="Verdana" w:eastAsia="Verdana" w:cs="Verdana"/>
          <w:sz w:val="20"/>
          <w:szCs w:val="20"/>
        </w:rPr>
        <w:t>changes that conclusion.</w:t>
      </w:r>
    </w:p>
    <w:p w14:paraId="6844D238" w14:textId="77777777" w:rsidR="00CB3150" w:rsidRDefault="00000000">
      <w:pPr>
        <w:rPr>
          <w:rFonts w:ascii="Verdana" w:hAnsi="Verdana" w:eastAsia="Verdana" w:cs="Verdana"/>
          <w:sz w:val="28"/>
          <w:szCs w:val="28"/>
          <w:b w:val="1"/>
          <w:bCs w:val="1"/>
        </w:rPr>
        <w:pStyle w:val="Heading1"/>
        <w:spacing w:line="240" w:lineRule="auto"/>
      </w:pPr>
      <w:bookmarkStart w:id="5" w:name="allowing-uncertainty-in-selection"/>
      <w:bookmarkEnd w:id="1"/>
      <w:bookmarkEnd w:id="4"/>
      <w:r>
        <w:rPr>
          <w:rFonts w:ascii="Verdana" w:hAnsi="Verdana" w:eastAsia="Verdana" w:cs="Verdana"/>
          <w:sz w:val="28"/>
          <w:szCs w:val="28"/>
          <w:b w:val="1"/>
          <w:bCs w:val="1"/>
        </w:rPr>
        <w:lastRenderedPageBreak/>
        <w:t>4.3 Allowing uncertainty in selection</w:t>
      </w:r>
    </w:p>
    <w:p w14:paraId="76D564EE" w14:textId="74377C6E" w:rsidR="00CB3150" w:rsidRDefault="00000000" w:rsidP="00C5784C">
      <w:pPr>
        <w:rPr>
          <w:rFonts w:ascii="Verdana" w:hAnsi="Verdana" w:eastAsia="Verdana" w:cs="Verdana"/>
          <w:sz w:val="20"/>
          <w:szCs w:val="20"/>
        </w:rPr>
        <w:spacing w:line="480" w:lineRule="auto"/>
      </w:pPr>
      <w:r>
        <w:rPr>
          <w:rFonts w:ascii="Verdana" w:hAnsi="Verdana" w:eastAsia="Verdana" w:cs="Verdana"/>
          <w:sz w:val="20"/>
          <w:szCs w:val="20"/>
        </w:rPr>
        <w:t xml:space="preserve">Perfect </w:t>
      </w:r>
      <w:r w:rsidR="00182A54">
        <w:rPr>
          <w:rFonts w:ascii="Verdana" w:hAnsi="Verdana" w:eastAsia="Verdana" w:cs="Verdana"/>
          <w:sz w:val="20"/>
          <w:szCs w:val="20"/>
        </w:rPr>
        <w:t xml:space="preserve">selection by </w:t>
      </w:r>
      <w:r>
        <w:rPr>
          <w:rFonts w:ascii="Verdana" w:hAnsi="Verdana" w:eastAsia="Verdana" w:cs="Verdana"/>
          <w:sz w:val="20"/>
          <w:szCs w:val="20"/>
        </w:rP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rPr>
          <w:rFonts w:ascii="Verdana" w:hAnsi="Verdana" w:eastAsia="Verdana" w:cs="Verdana"/>
          <w:sz w:val="20"/>
          <w:szCs w:val="20"/>
        </w:rPr>
        <w:t xml:space="preserve">  We represent this uncertainty while retaining a fixed number of opportunities. The scores remain those supplied to selection; the identities receiving the </w:t>
      </w:r>
      <m:oMath>
        <m:r>
          <w:rPr>
            <w:rFonts w:ascii="Cambria Math" w:hAnsi="Cambria Math"/>
          </w:rPr>
          <m:t>K</m:t>
        </m:r>
      </m:oMath>
      <w:r w:rsidR="00182A54">
        <w:rPr>
          <w:rFonts w:ascii="Verdana" w:hAnsi="Verdana" w:eastAsia="Verdana" w:cs="Verdana"/>
          <w:sz w:val="20"/>
          <w:szCs w:val="20"/>
        </w:rPr>
        <w:t xml:space="preserve"> places can vary. At this stage the score is still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0182A54">
        <w:rPr>
          <w:rFonts w:ascii="Verdana" w:hAnsi="Verdana" w:eastAsia="Verdana" w:cs="Verdana"/>
          <w:sz w:val="20"/>
          <w:szCs w:val="20"/>
        </w:rPr>
        <w:t>. We will adjust the selection method, not the scoring to introduce this uncertainty.</w:t>
      </w:r>
    </w:p>
    <w:p w14:paraId="738DEDE0" w14:textId="77777777" w:rsidR="00CB3150" w:rsidRDefault="00000000">
      <w:pPr>
        <w:rPr>
          <w:rFonts w:ascii="Verdana" w:hAnsi="Verdana" w:eastAsia="Verdana" w:cs="Verdana"/>
          <w:sz w:val="21"/>
          <w:szCs w:val="21"/>
          <w:b w:val="1"/>
          <w:bCs w:val="1"/>
        </w:rPr>
        <w:pStyle w:val="Heading2"/>
        <w:spacing w:line="240" w:lineRule="auto"/>
      </w:pPr>
      <w:bookmarkStart w:id="6" w:name="Xa81b982df13d1d13892043cb673ae528535138a"/>
      <w:r>
        <w:rPr>
          <w:rFonts w:ascii="Verdana" w:hAnsi="Verdana" w:eastAsia="Verdana" w:cs="Verdana"/>
          <w:sz w:val="21"/>
          <w:szCs w:val="21"/>
          <w:b w:val="1"/>
          <w:bCs w:val="1"/>
        </w:rPr>
        <w:t>4.3.1 From a fixed ranking to uncertain winners</w:t>
      </w:r>
    </w:p>
    <w:p w14:paraId="26EBAE7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In the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selection method, ranking the scores determines all </w:t>
      </w:r>
      <m:oMath>
        <m:r>
          <w:rPr>
            <w:rFonts w:ascii="Cambria Math" w:hAnsi="Cambria Math"/>
          </w:rPr>
          <m:t>K</m:t>
        </m:r>
      </m:oMath>
      <w:r>
        <w:rPr>
          <w:rFonts w:ascii="Verdana" w:hAnsi="Verdana" w:eastAsia="Verdana" w:cs="Verdana"/>
          <w:sz w:val="20"/>
          <w:szCs w:val="20"/>
        </w:rP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rPr>
          <m:t>K</m:t>
        </m:r>
      </m:oMath>
      <w:r>
        <w:rPr>
          <w:rFonts w:ascii="Verdana" w:hAnsi="Verdana" w:eastAsia="Verdana" w:cs="Verdana"/>
          <w:sz w:val="20"/>
          <w:szCs w:val="20"/>
        </w:rPr>
        <w:t xml:space="preserve"> people have been selected.</w:t>
      </w:r>
    </w:p>
    <w:p w14:paraId="3A913AC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We need to specify how much a score advantage matters in each draw. We use a positive parameter,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was measured.</w:t>
      </w:r>
    </w:p>
    <w:p w14:paraId="70892142" w14:textId="4C1004E2" w:rsidR="00CB3150" w:rsidRDefault="00000000">
      <w:pPr>
        <w:rPr>
          <w:rFonts w:ascii="Verdana" w:hAnsi="Verdana" w:eastAsia="Verdana" w:cs="Verdana"/>
          <w:sz w:val="21"/>
          <w:szCs w:val="21"/>
          <w:b w:val="1"/>
          <w:bCs w:val="1"/>
        </w:rPr>
        <w:pStyle w:val="Heading2"/>
        <w:spacing w:line="240" w:lineRule="auto"/>
      </w:pPr>
      <w:bookmarkStart w:id="7" w:name="X3403a481b954ec6ac05b20913aa990d79a7f6ac"/>
      <w:bookmarkEnd w:id="6"/>
      <w:r>
        <w:rPr>
          <w:rFonts w:ascii="Verdana" w:hAnsi="Verdana" w:eastAsia="Verdana" w:cs="Verdana"/>
          <w:sz w:val="21"/>
          <w:szCs w:val="21"/>
          <w:b w:val="1"/>
          <w:bCs w:val="1"/>
        </w:rPr>
        <w:t xml:space="preserve">4.3.2 </w:t>
      </w:r>
      <w:r w:rsidR="003E7FF3">
        <w:rPr>
          <w:rFonts w:ascii="Verdana" w:hAnsi="Verdana" w:eastAsia="Verdana" w:cs="Verdana"/>
          <w:sz w:val="21"/>
          <w:szCs w:val="21"/>
          <w:b w:val="1"/>
          <w:bCs w:val="1"/>
        </w:rPr>
        <w:t>Stochastic selection using Gibbs weights</w:t>
      </w:r>
    </w:p>
    <w:p w14:paraId="57CDE4ED" w14:textId="1D98298C" w:rsidR="003E7FF3" w:rsidRDefault="003E7FF3" w:rsidP="003E7FF3">
      <w:pPr>
        <w:rPr>
          <w:rFonts w:ascii="Verdana" w:hAnsi="Verdana" w:eastAsia="Verdana" w:cs="Verdana"/>
          <w:sz w:val="20"/>
          <w:szCs w:val="20"/>
        </w:rPr>
        <w:spacing w:line="480" w:lineRule="auto"/>
      </w:pPr>
      <w:r>
        <w:rPr>
          <w:rFonts w:ascii="Verdana" w:hAnsi="Verdana" w:eastAsia="Verdana" w:cs="Verdana"/>
          <w:sz w:val="20"/>
          <w:szCs w:val="20"/>
        </w:rPr>
        <w:t>We now replace the naïve benchmark’s deterministic top-</w:t>
      </w:r>
      <m:oMath>
        <m:r>
          <w:rPr>
            <w:rFonts w:ascii="Cambria Math" w:hAnsi="Cambria Math"/>
          </w:rPr>
          <m:t>K</m:t>
        </m:r>
      </m:oMath>
      <w:r>
        <w:rPr>
          <w:rFonts w:ascii="Verdana" w:hAnsi="Verdana" w:eastAsia="Verdana" w:cs="Verdana"/>
          <w:sz w:val="20"/>
          <w:szCs w:val="20"/>
        </w:rPr>
        <w:t xml:space="preserve"> rule with a stochastic selection rule. Scores remain fixed, but selection becomes probabilistic: higher-scoring individuals are favored without being guaranteed a place. We implement this preference using </w:t>
      </w:r>
      <w:r w:rsidRPr="00E21165">
        <w:rPr>
          <w:b/>
          <w:bCs/>
          <w:rFonts w:ascii="Verdana" w:hAnsi="Verdana" w:eastAsia="Verdana" w:cs="Verdana"/>
          <w:sz w:val="20"/>
          <w:szCs w:val="20"/>
        </w:rPr>
        <w:t>Gibbs weights</w:t>
      </w:r>
      <w:r>
        <w:rPr>
          <w:rFonts w:ascii="Verdana" w:hAnsi="Verdana" w:eastAsia="Verdana" w:cs="Verdana"/>
          <w:sz w:val="20"/>
          <w:szCs w:val="20"/>
        </w:rPr>
        <w:t xml:space="preserve">, assigning individual </w:t>
      </w:r>
      <m:oMath>
        <m:r>
          <w:rPr>
            <w:rFonts w:ascii="Cambria Math" w:hAnsi="Cambria Math"/>
          </w:rPr>
          <m:t>i</m:t>
        </m:r>
      </m:oMath>
      <w:r>
        <w:rPr>
          <w:rFonts w:ascii="Verdana" w:hAnsi="Verdana" w:eastAsia="Verdana" w:cs="Verdana"/>
          <w:sz w:val="20"/>
          <w:szCs w:val="20"/>
        </w:rPr>
        <w:t xml:space="preserve"> the positive weight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sel</m:t>
                </m:r>
              </m:sub>
            </m:sSub>
          </m:sup>
        </m:sSup>
      </m:oMath>
      <w:r>
        <w:rPr>
          <w:rFonts w:ascii="Verdana" w:hAnsi="Verdana" w:eastAsia="Verdana" w:cs="Verdana"/>
          <w:sz w:val="20"/>
          <w:szCs w:val="20"/>
        </w:rP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rPr>
          <m:t>K</m:t>
        </m:r>
      </m:oMath>
      <w:r>
        <w:rPr>
          <w:rFonts w:ascii="Verdana" w:hAnsi="Verdana" w:eastAsia="Verdana" w:cs="Verdana"/>
          <w:sz w:val="20"/>
          <w:szCs w:val="20"/>
        </w:rPr>
        <w:t xml:space="preserve"> individuals have been selected.</w:t>
      </w:r>
    </w:p>
    <w:p w14:paraId="10D42CFF" w14:textId="73CDAC00" w:rsidR="00CB3150" w:rsidRDefault="003E7FF3" w:rsidP="003E7FF3">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Let </w:t>
      </w:r>
      <m:oMath>
        <m:sSub>
          <m:sSubPr>
            <m:ctrlPr>
              <w:rPr>
                <w:rFonts w:ascii="Cambria Math" w:hAnsi="Cambria Math"/>
              </w:rPr>
            </m:ctrlPr>
          </m:sSubPr>
          <m:e>
            <m:r>
              <w:rPr>
                <w:rFonts w:ascii="Cambria Math" w:hAnsi="Cambria Math"/>
              </w:rPr>
              <m:t>I</m:t>
            </m:r>
          </m:e>
          <m:sub>
            <m:r>
              <w:rPr>
                <w:rFonts w:ascii="Cambria Math" w:hAnsi="Cambria Math"/>
              </w:rPr>
              <m:t>r</m:t>
            </m:r>
          </m:sub>
        </m:sSub>
      </m:oMath>
      <w:r>
        <w:rPr>
          <w:rFonts w:ascii="Verdana" w:hAnsi="Verdana" w:eastAsia="Verdana" w:cs="Verdana"/>
          <w:sz w:val="20"/>
          <w:szCs w:val="20"/>
        </w:rPr>
        <w:t xml:space="preserve"> denote the individual selected on draw </w:t>
      </w:r>
      <m:oMath>
        <m:r>
          <w:rPr>
            <w:rFonts w:ascii="Cambria Math" w:hAnsi="Cambria Math"/>
          </w:rPr>
          <m:t>r</m:t>
        </m:r>
      </m:oMath>
      <w:r>
        <w:rPr>
          <w:rFonts w:ascii="Verdana" w:hAnsi="Verdana" w:eastAsia="Verdana" w:cs="Verdana"/>
          <w:sz w:val="20"/>
          <w:szCs w:val="20"/>
        </w:rPr>
        <w:t>. The remaining candidates immediately before that draw are…</w:t>
      </w:r>
    </w:p>
    <w:p w14:paraId="36CEDE65"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=I∖</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3936A587"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an individual still in </w:t>
      </w:r>
      <m:oMath>
        <m:sSub>
          <m:sSubPr>
            <m:ctrlPr>
              <w:rPr>
                <w:rFonts w:ascii="Cambria Math" w:hAnsi="Cambria Math"/>
              </w:rPr>
            </m:ctrlPr>
          </m:sSubPr>
          <m:e>
            <m:r>
              <w:rPr>
                <w:rFonts w:ascii="Cambria Math" w:hAnsi="Cambria Math"/>
              </w:rPr>
              <m:t>R</m:t>
            </m:r>
          </m:e>
          <m:sub>
            <m:r>
              <w:rPr>
                <w:rFonts w:ascii="Cambria Math" w:hAnsi="Cambria Math"/>
              </w:rPr>
              <m:t>r</m:t>
            </m:r>
          </m:sub>
        </m:sSub>
      </m:oMath>
      <w:r>
        <w:rPr>
          <w:rFonts w:ascii="Verdana" w:hAnsi="Verdana" w:eastAsia="Verdana" w:cs="Verdana"/>
          <w:sz w:val="20"/>
          <w:szCs w:val="20"/>
        </w:rPr>
        <w:t>, the probability of being selected next is</w:t>
      </w:r>
    </w:p>
    <w:p w14:paraId="3E311D48" w14:textId="77777777" w:rsidR="00203D06" w:rsidRPr="002E03B0" w:rsidRDefault="002E03B0">
      <m:oMathPara>
        <m:oMath>
          <m: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r</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e>
              </m:nary>
            </m:den>
          </m:f>
        </m:oMath>
      </m:oMathPara>
    </w:p>
    <w:p w14:paraId="7D3D305D" w14:textId="77777777" w:rsidR="002E03B0" w:rsidRDefault="002E03B0"/>
    <w:p w14:paraId="2F7569F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Scores and group memberships remain fixed across draws. Only the set of candidates still eligible to be drawn changes. The final outcome is</w:t>
      </w:r>
    </w:p>
    <w:p w14:paraId="466E8D62"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d>
            <m:dPr>
              <m:begChr m:val="{"/>
              <m:endChr m:val="}"/>
              <m:ctrlPr>
                <w:rPr>
                  <w:rFonts w:ascii="Cambria Math" w:hAnsi="Cambria Math"/>
                </w:rPr>
              </m:ctrlPr>
            </m:dPr>
            <m:e>
              <m:r>
                <w:rPr>
                  <w:rFonts w:ascii="Cambria Math" w:hAnsi="Cambria Math"/>
                </w:rPr>
                <m:t>i</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K</m:t>
          </m:r>
        </m:oMath>
      </m:oMathPara>
    </w:p>
    <w:p w14:paraId="1A32B6F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rPr>
          <m:t>K</m:t>
        </m:r>
      </m:oMath>
      <w:r>
        <w:rPr>
          <w:rFonts w:ascii="Verdana" w:hAnsi="Verdana" w:eastAsia="Verdana" w:cs="Verdana"/>
          <w:sz w:val="20"/>
          <w:szCs w:val="20"/>
        </w:rPr>
        <w:t xml:space="preserve"> winners. The sequential drawing rule lets us calculate the chance that any particular group of </w:t>
      </w:r>
      <m:oMath>
        <m:r>
          <w:rPr>
            <w:rFonts w:ascii="Cambria Math" w:hAnsi="Cambria Math"/>
          </w:rPr>
          <m:t>K</m:t>
        </m:r>
      </m:oMath>
      <w:r>
        <w:rPr>
          <w:rFonts w:ascii="Verdana" w:hAnsi="Verdana" w:eastAsia="Verdana" w:cs="Verdana"/>
          <w:sz w:val="20"/>
          <w:szCs w:val="20"/>
        </w:rPr>
        <w:t xml:space="preserve"> individuals is selected. This draw sequence is a mathematical device; it does not imply that the institution selected, ranked, or recorded winners in that order. [1]</w:t>
      </w:r>
    </w:p>
    <w:p w14:paraId="26A26E8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rPr>
          <m:t>K</m:t>
        </m:r>
      </m:oMath>
      <w:r>
        <w:rPr>
          <w:rFonts w:ascii="Verdana" w:hAnsi="Verdana" w:eastAsia="Verdana" w:cs="Verdana"/>
          <w:sz w:val="20"/>
          <w:szCs w:val="20"/>
        </w:rPr>
        <w:t xml:space="preserve"> outcomes cannot be treated as independent Bernoulli decisions with the same likelihood.</w:t>
      </w:r>
    </w:p>
    <w:p w14:paraId="40765B53" w14:textId="77777777" w:rsidR="00CB3150" w:rsidRDefault="00000000">
      <w:pPr>
        <w:rPr>
          <w:rFonts w:ascii="Verdana" w:hAnsi="Verdana" w:eastAsia="Verdana" w:cs="Verdana"/>
          <w:sz w:val="21"/>
          <w:szCs w:val="21"/>
          <w:b w:val="1"/>
          <w:bCs w:val="1"/>
        </w:rPr>
        <w:pStyle w:val="Heading2"/>
        <w:spacing w:line="240" w:lineRule="auto"/>
      </w:pPr>
      <w:bookmarkStart w:id="8" w:name="limits-and-score-units"/>
      <w:bookmarkEnd w:id="7"/>
      <w:r>
        <w:rPr>
          <w:rFonts w:ascii="Verdana" w:hAnsi="Verdana" w:eastAsia="Verdana" w:cs="Verdana"/>
          <w:sz w:val="21"/>
          <w:szCs w:val="21"/>
          <w:b w:val="1"/>
          <w:bCs w:val="1"/>
        </w:rPr>
        <w:t>4.3.3 Limits and score units</w:t>
      </w:r>
    </w:p>
    <w:p w14:paraId="5D605602" w14:textId="0D5C3B4E" w:rsidR="0005452B" w:rsidRDefault="0005452B">
      <w:pPr>
        <w:rPr>
          <w:rFonts w:ascii="Verdana" w:hAnsi="Verdana" w:eastAsia="Verdana" w:cs="Verdana"/>
          <w:sz w:val="20"/>
          <w:szCs w:val="20"/>
        </w:rPr>
        <w:spacing w:line="480" w:lineRule="auto"/>
      </w:pPr>
      <w:r>
        <w:rPr>
          <w:rFonts w:ascii="Verdana" w:hAnsi="Verdana" w:eastAsia="Verdana" w:cs="Verdana"/>
          <w:sz w:val="20"/>
          <w:szCs w:val="20"/>
        </w:rPr>
        <w:t xml:space="preserve">To understand how strongly this rule favors higher scores, consider two candidates </w:t>
      </w:r>
      <w:r w:rsidR="00733DCB">
        <w:rPr>
          <w:rFonts w:ascii="Verdana" w:hAnsi="Verdana" w:eastAsia="Verdana" w:cs="Verdana"/>
          <w:sz w:val="20"/>
          <w:szCs w:val="20"/>
        </w:rPr>
        <w:t xml:space="preserve">I </w:t>
      </w:r>
      <w:r>
        <w:rPr>
          <w:rFonts w:ascii="Verdana" w:hAnsi="Verdana" w:eastAsia="Verdana" w:cs="Verdana"/>
          <w:sz w:val="20"/>
          <w:szCs w:val="20"/>
        </w:rPr>
        <w:t xml:space="preserve">who remain eligible at the same draw. We ask how many times more likely one is to be selected next than the other. Each candidate’s probability is their Gibbs weight divided by the same total remaining </w:t>
      </w:r>
      <w:r>
        <w:rPr>
          <w:rFonts w:ascii="Verdana" w:hAnsi="Verdana" w:eastAsia="Verdana" w:cs="Verdana"/>
          <w:sz w:val="20"/>
          <w:szCs w:val="20"/>
        </w:rPr>
        <w:lastRenderedPageBreak/>
        <w:t>weight. Taking the ratio cancels that common denominator, leaving a comparison determined by their score difference and the selection temperature.</w:t>
      </w:r>
    </w:p>
    <w:p w14:paraId="187FCC80" w14:textId="77777777" w:rsidR="00CB3150" w:rsidRDefault="00000000">
      <w:pPr>
        <w:pStyle w:val="BodyText"/>
      </w:pPr>
      <m:oMathPara>
        <m:oMathParaPr>
          <m:jc m:val="center"/>
        </m:oMathParaP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num>
            <m:den>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den>
          </m:f>
          <m: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oMath>
      </m:oMathPara>
    </w:p>
    <w:p w14:paraId="79D4F6E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given score advantage therefore matters relative to the temperature. As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w:t>
      </w:r>
    </w:p>
    <w:p w14:paraId="7A11FDA5"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1F3CA671" w14:textId="6686CA3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mathematical definition applies without clipping scores or reducing the stipulated capacity. </w:t>
      </w:r>
      <w:r w:rsidR="00704BA8">
        <w:rPr>
          <w:rFonts w:ascii="Verdana" w:hAnsi="Verdana" w:eastAsia="Verdana" w:cs="Verdana"/>
          <w:sz w:val="20"/>
          <w:szCs w:val="20"/>
        </w:rPr>
        <w:t>Appendix 4A explains how the selection procedure used in some of our earlier simulations differs from the rule defined here and what those differences mean when interpreting their results.</w:t>
      </w:r>
    </w:p>
    <w:p w14:paraId="74CA0E7F" w14:textId="77777777" w:rsidR="00CB3150" w:rsidRDefault="00000000">
      <w:pPr>
        <w:rPr>
          <w:rFonts w:ascii="Verdana" w:hAnsi="Verdana" w:eastAsia="Verdana" w:cs="Verdana"/>
          <w:sz w:val="28"/>
          <w:szCs w:val="28"/>
          <w:b w:val="1"/>
          <w:bCs w:val="1"/>
        </w:rPr>
        <w:pStyle w:val="Heading1"/>
        <w:spacing w:line="240" w:lineRule="auto"/>
      </w:pPr>
      <w:bookmarkStart w:id="9" w:name="introducing-local-competitive-congestion"/>
      <w:bookmarkEnd w:id="5"/>
      <w:bookmarkEnd w:id="8"/>
      <w:r>
        <w:rPr>
          <w:rFonts w:ascii="Verdana" w:hAnsi="Verdana" w:eastAsia="Verdana" w:cs="Verdana"/>
          <w:sz w:val="28"/>
          <w:szCs w:val="28"/>
          <w:b w:val="1"/>
          <w:bCs w:val="1"/>
        </w:rPr>
        <w:t>4.4 Introducing local competitive congestion</w:t>
      </w:r>
    </w:p>
    <w:p w14:paraId="04B48624" w14:textId="0E9FB4DA" w:rsidR="00F90200" w:rsidRDefault="00F90200">
      <w:pPr>
        <w:rPr>
          <w:rFonts w:ascii="Verdana" w:hAnsi="Verdana" w:eastAsia="Verdana" w:cs="Verdana"/>
          <w:sz w:val="20"/>
          <w:szCs w:val="20"/>
        </w:rPr>
        <w:spacing w:line="480" w:lineRule="auto"/>
      </w:pPr>
      <w:r>
        <w:rPr>
          <w:rFonts w:ascii="Verdana" w:hAnsi="Verdana" w:eastAsia="Verdana" w:cs="Verdana"/>
          <w:sz w:val="20"/>
          <w:szCs w:val="20"/>
        </w:rP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remains fixed. We now ask whether this is a sufficient account of advancement when individuals work and become visible alongside others.</w:t>
      </w:r>
    </w:p>
    <w:p w14:paraId="1C8AB759" w14:textId="16044D78"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Strong peers can offer learning, collaboration, and access to productive activities. They can also compete for limited attention, responsibility, and distinction. We </w:t>
      </w:r>
      <w:r w:rsidR="00F90200">
        <w:rPr>
          <w:rFonts w:ascii="Verdana" w:hAnsi="Verdana" w:eastAsia="Verdana" w:cs="Verdana"/>
          <w:sz w:val="20"/>
          <w:szCs w:val="20"/>
        </w:rPr>
        <w:t xml:space="preserve">focus here on the </w:t>
      </w:r>
      <w:r>
        <w:rPr>
          <w:rFonts w:ascii="Verdana" w:hAnsi="Verdana" w:eastAsia="Verdana" w:cs="Verdana"/>
          <w:sz w:val="20"/>
          <w:szCs w:val="20"/>
        </w:rPr>
        <w:t xml:space="preserve">competitive side of the environment while holding the performance values entering selection fixed. A </w:t>
      </w:r>
      <w:r>
        <w:rPr>
          <w:rFonts w:ascii="Verdana" w:hAnsi="Verdana" w:eastAsia="Verdana" w:cs="Verdana"/>
          <w:sz w:val="20"/>
          <w:szCs w:val="20"/>
        </w:rPr>
        <w:lastRenderedPageBreak/>
        <w:t xml:space="preserve">separate developmental benefit function is an additional extension, but outside the present </w:t>
      </w:r>
      <w:r w:rsidR="008721FC">
        <w:rPr>
          <w:rFonts w:ascii="Verdana" w:hAnsi="Verdana" w:eastAsia="Verdana" w:cs="Verdana"/>
          <w:sz w:val="20"/>
          <w:szCs w:val="20"/>
        </w:rPr>
        <w:t>scope of this model</w:t>
      </w:r>
      <w:r>
        <w:rPr>
          <w:rFonts w:ascii="Verdana" w:hAnsi="Verdana" w:eastAsia="Verdana" w:cs="Verdana"/>
          <w:sz w:val="20"/>
          <w:szCs w:val="20"/>
        </w:rPr>
        <w:t xml:space="preserve">. Our question is whether local competition can </w:t>
      </w:r>
      <w:r w:rsidR="00F90200">
        <w:rPr>
          <w:rFonts w:ascii="Verdana" w:hAnsi="Verdana" w:eastAsia="Verdana" w:cs="Verdana"/>
          <w:sz w:val="20"/>
          <w:szCs w:val="20"/>
        </w:rPr>
        <w:t>alter an individual’s</w:t>
      </w:r>
      <w:r>
        <w:rPr>
          <w:rFonts w:ascii="Verdana" w:hAnsi="Verdana" w:eastAsia="Verdana" w:cs="Verdana"/>
          <w:sz w:val="20"/>
          <w:szCs w:val="20"/>
        </w:rPr>
        <w:t xml:space="preserve"> standing</w:t>
      </w:r>
      <w:r w:rsidR="00F90200">
        <w:rPr>
          <w:rFonts w:ascii="Verdana" w:hAnsi="Verdana" w:eastAsia="Verdana" w:cs="Verdana"/>
          <w:sz w:val="20"/>
          <w:szCs w:val="20"/>
        </w:rPr>
        <w:t xml:space="preserve"> in</w:t>
      </w:r>
      <w:r>
        <w:rPr>
          <w:rFonts w:ascii="Verdana" w:hAnsi="Verdana" w:eastAsia="Verdana" w:cs="Verdana"/>
          <w:sz w:val="20"/>
          <w:szCs w:val="20"/>
        </w:rPr>
        <w:t xml:space="preserve"> a broader selection process, even without reducing their measured performance.</w:t>
      </w:r>
    </w:p>
    <w:p w14:paraId="2B7D5090" w14:textId="38B1F4E1" w:rsidR="00F9020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We therefore extend the SCORE component of the model. Let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ascii="Verdana" w:hAnsi="Verdana" w:eastAsia="Verdana" w:cs="Verdana"/>
          <w:sz w:val="20"/>
          <w:szCs w:val="20"/>
        </w:rPr>
        <w:t xml:space="preserve"> denote the congestion experienced by individual </w:t>
      </w:r>
      <m:oMath>
        <m:r>
          <w:rPr>
            <w:rFonts w:ascii="Cambria Math" w:hAnsi="Cambria Math"/>
          </w:rPr>
          <m:t>i</m:t>
        </m:r>
      </m:oMath>
      <w:r>
        <w:rPr>
          <w:rFonts w:ascii="Verdana" w:hAnsi="Verdana" w:eastAsia="Verdana" w:cs="Verdana"/>
          <w:sz w:val="20"/>
          <w:szCs w:val="20"/>
        </w:rPr>
        <w:t xml:space="preserve">. We distinguish this measure of congestion from the strength of its effect: a nonnegative coefficient </w:t>
      </w:r>
      <m:oMath>
        <m:r>
          <w:rPr>
            <w:rFonts w:ascii="Cambria Math" w:hAnsi="Cambria Math"/>
          </w:rPr>
          <m:t>λ</m:t>
        </m:r>
      </m:oMath>
      <w:r>
        <w:rPr>
          <w:rFonts w:ascii="Verdana" w:hAnsi="Verdana" w:eastAsia="Verdana" w:cs="Verdana"/>
          <w:sz w:val="20"/>
          <w:szCs w:val="20"/>
        </w:rPr>
        <w:t xml:space="preserve"> determines how strongly congestion adjusts the individual’s selection score. The resulting score is</w:t>
      </w:r>
    </w:p>
    <w:p w14:paraId="0188733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AB8C2B8" w14:textId="77777777" w:rsidR="00F90200" w:rsidRPr="00F90200" w:rsidRDefault="00F90200" w:rsidP="00F90200">
      <w:pPr>
        <w:pStyle w:val="BodyText"/>
        <w:rPr>
          <w:rFonts w:ascii="Verdana" w:hAnsi="Verdana" w:eastAsia="Verdana" w:cs="Verdana"/>
          <w:sz w:val="20"/>
          <w:szCs w:val="20"/>
        </w:rPr>
        <w:spacing w:line="480" w:lineRule="auto"/>
      </w:pPr>
      <w:r w:rsidRPr="00F90200">
        <w:rPr>
          <w:rFonts w:ascii="Verdana" w:hAnsi="Verdana" w:eastAsia="Verdana" w:cs="Verdana"/>
          <w:sz w:val="20"/>
          <w:szCs w:val="20"/>
        </w:rPr>
        <w:t xml:space="preserve">At </w:t>
      </w:r>
      <m:oMath>
        <m:r>
          <w:rPr>
            <w:rFonts w:ascii="Cambria Math" w:hAnsi="Cambria Math"/>
          </w:rPr>
          <m:t>λ=0</m:t>
        </m:r>
      </m:oMath>
      <w:r w:rsidRPr="00F90200">
        <w:rPr>
          <w:rFonts w:ascii="Verdana" w:hAnsi="Verdana" w:eastAsia="Verdana" w:cs="Verdana"/>
          <w:sz w:val="20"/>
          <w:szCs w:val="20"/>
        </w:rPr>
        <w:t xml:space="preserve">, the score returns to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Pr="00F90200">
        <w:rPr>
          <w:rFonts w:ascii="Verdana" w:hAnsi="Verdana" w:eastAsia="Verdana" w:cs="Verdana"/>
          <w:sz w:val="20"/>
          <w:szCs w:val="20"/>
        </w:rPr>
        <w:t xml:space="preserve">. At positive </w:t>
      </w:r>
      <m:oMath>
        <m:r>
          <w:rPr>
            <w:rFonts w:ascii="Cambria Math" w:hAnsi="Cambria Math"/>
          </w:rPr>
          <m:t>λ</m:t>
        </m:r>
      </m:oMath>
      <w:r w:rsidRPr="00F90200">
        <w:rPr>
          <w:rFonts w:ascii="Verdana" w:hAnsi="Verdana" w:eastAsia="Verdana" w:cs="Verdana"/>
          <w:sz w:val="20"/>
          <w:szCs w:val="20"/>
        </w:rPr>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rPr>
          <m:t>K</m:t>
        </m:r>
      </m:oMath>
      <w:r w:rsidRPr="00F90200">
        <w:rPr>
          <w:rFonts w:ascii="Verdana" w:hAnsi="Verdana" w:eastAsia="Verdana" w:cs="Verdana"/>
          <w:sz w:val="20"/>
          <w:szCs w:val="20"/>
        </w:rPr>
        <w:t xml:space="preserve"> selection.</w:t>
      </w:r>
    </w:p>
    <w:p w14:paraId="4D130075" w14:textId="2DB91FAA" w:rsidR="00CB3150" w:rsidRDefault="00F90200" w:rsidP="00E21165">
      <w:pPr>
        <w:pStyle w:val="BodyText"/>
        <w:rPr>
          <w:rFonts w:ascii="Verdana" w:hAnsi="Verdana" w:eastAsia="Verdana" w:cs="Verdana"/>
          <w:sz w:val="20"/>
          <w:szCs w:val="20"/>
        </w:rPr>
        <w:spacing w:line="480" w:lineRule="auto"/>
      </w:pPr>
      <w:r w:rsidRPr="00F90200">
        <w:rPr>
          <w:rFonts w:ascii="Verdana" w:hAnsi="Verdana" w:eastAsia="Verdana" w:cs="Verdana"/>
          <w:sz w:val="20"/>
          <w:szCs w:val="20"/>
        </w:rPr>
        <w:t xml:space="preserve">The index </w:t>
      </w:r>
      <m:oMath>
        <m:r>
          <w:rPr>
            <w:rFonts w:ascii="Cambria Math" w:hAnsi="Cambria Math"/>
          </w:rPr>
          <m:t>i</m:t>
        </m:r>
      </m:oMath>
      <w:r w:rsidRPr="00F90200">
        <w:rPr>
          <w:rFonts w:ascii="Verdana" w:hAnsi="Verdana" w:eastAsia="Verdana" w:cs="Verdana"/>
          <w:sz w:val="20"/>
          <w:szCs w:val="20"/>
        </w:rPr>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rPr>
          <w:rFonts w:ascii="Verdana" w:hAnsi="Verdana" w:eastAsia="Verdana" w:cs="Verdana"/>
          <w:sz w:val="20"/>
          <w:szCs w:val="20"/>
        </w:rPr>
        <w:t>.</w:t>
      </w:r>
    </w:p>
    <w:p w14:paraId="6D057838" w14:textId="77777777" w:rsidR="00CB3150" w:rsidRDefault="00000000">
      <w:pPr>
        <w:rPr>
          <w:rFonts w:ascii="Verdana" w:hAnsi="Verdana" w:eastAsia="Verdana" w:cs="Verdana"/>
          <w:sz w:val="21"/>
          <w:szCs w:val="21"/>
          <w:b w:val="1"/>
          <w:bCs w:val="1"/>
        </w:rPr>
        <w:pStyle w:val="Heading2"/>
        <w:spacing w:line="240" w:lineRule="auto"/>
      </w:pPr>
      <w:bookmarkStart w:id="10" w:name="Xfcdd4f2c4319546fc0ffa163bb157420eb9d8c3"/>
      <w:r>
        <w:rPr>
          <w:rFonts w:ascii="Verdana" w:hAnsi="Verdana" w:eastAsia="Verdana" w:cs="Verdana"/>
          <w:sz w:val="21"/>
          <w:szCs w:val="21"/>
          <w:b w:val="1"/>
          <w:bCs w:val="1"/>
        </w:rPr>
        <w:t>4.4.1 A first approximation using average peer performance</w:t>
      </w:r>
    </w:p>
    <w:p w14:paraId="05E1F5E2" w14:textId="28B4AE2D"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simple starting point is to summarize the strength of the other individuals in a person’s group. If stronger peers make distinction more difficult, </w:t>
      </w:r>
      <w:r w:rsidR="00F90200">
        <w:rPr>
          <w:rFonts w:ascii="Verdana" w:hAnsi="Verdana" w:eastAsia="Verdana" w:cs="Verdana"/>
          <w:sz w:val="20"/>
          <w:szCs w:val="20"/>
        </w:rPr>
        <w:t xml:space="preserve">their </w:t>
      </w:r>
      <w:r>
        <w:rPr>
          <w:rFonts w:ascii="Verdana" w:hAnsi="Verdana" w:eastAsia="Verdana" w:cs="Verdana"/>
          <w:sz w:val="20"/>
          <w:szCs w:val="20"/>
        </w:rPr>
        <w:t xml:space="preserve">average </w:t>
      </w:r>
      <w:r w:rsidR="00F90200">
        <w:rPr>
          <w:rFonts w:ascii="Verdana" w:hAnsi="Verdana" w:eastAsia="Verdana" w:cs="Verdana"/>
          <w:sz w:val="20"/>
          <w:szCs w:val="20"/>
        </w:rPr>
        <w:t xml:space="preserve"> </w:t>
      </w:r>
      <w:r>
        <w:rPr>
          <w:rFonts w:ascii="Verdana" w:hAnsi="Verdana" w:eastAsia="Verdana" w:cs="Verdana"/>
          <w:sz w:val="20"/>
          <w:szCs w:val="20"/>
        </w:rPr>
        <w:t xml:space="preserve">performance </w:t>
      </w:r>
      <w:r w:rsidR="00F90200">
        <w:rPr>
          <w:rFonts w:ascii="Verdana" w:hAnsi="Verdana" w:eastAsia="Verdana" w:cs="Verdana"/>
          <w:sz w:val="20"/>
          <w:szCs w:val="20"/>
        </w:rPr>
        <w:t xml:space="preserve">provides </w:t>
      </w:r>
      <w:r>
        <w:rPr>
          <w:rFonts w:ascii="Verdana" w:hAnsi="Verdana" w:eastAsia="Verdana" w:cs="Verdana"/>
          <w:sz w:val="20"/>
          <w:szCs w:val="20"/>
        </w:rPr>
        <w:t xml:space="preserve">an initial approximation to competitive pressure. </w:t>
      </w:r>
      <w:r w:rsidR="00F90200">
        <w:rPr>
          <w:rFonts w:ascii="Verdana" w:hAnsi="Verdana" w:eastAsia="Verdana" w:cs="Verdana"/>
          <w:sz w:val="20"/>
          <w:szCs w:val="20"/>
        </w:rPr>
        <w:t>We first e</w:t>
      </w:r>
      <w:r>
        <w:rPr>
          <w:rFonts w:ascii="Verdana" w:hAnsi="Verdana" w:eastAsia="Verdana" w:cs="Verdana"/>
          <w:sz w:val="20"/>
          <w:szCs w:val="20"/>
        </w:rPr>
        <w:t>xclud</w:t>
      </w:r>
      <w:r w:rsidR="00F90200">
        <w:rPr>
          <w:rFonts w:ascii="Verdana" w:hAnsi="Verdana" w:eastAsia="Verdana" w:cs="Verdana"/>
          <w:sz w:val="20"/>
          <w:szCs w:val="20"/>
        </w:rPr>
        <w:t>e</w:t>
      </w:r>
      <w:r>
        <w:rPr>
          <w:rFonts w:ascii="Verdana" w:hAnsi="Verdana" w:eastAsia="Verdana" w:cs="Verdana"/>
          <w:sz w:val="20"/>
          <w:szCs w:val="20"/>
        </w:rPr>
        <w:t xml:space="preserve"> the focal individual </w:t>
      </w:r>
      <w:r w:rsidR="00F90200">
        <w:rPr>
          <w:rFonts w:ascii="Verdana" w:hAnsi="Verdana" w:eastAsia="Verdana" w:cs="Verdana"/>
          <w:sz w:val="20"/>
          <w:szCs w:val="20"/>
        </w:rPr>
        <w:t>so that t</w:t>
      </w:r>
      <w:r>
        <w:rPr>
          <w:rFonts w:ascii="Verdana" w:hAnsi="Verdana" w:eastAsia="Verdana" w:cs="Verdana"/>
          <w:sz w:val="20"/>
          <w:szCs w:val="20"/>
        </w:rPr>
        <w:t>heir own performance</w:t>
      </w:r>
      <w:r w:rsidR="00F90200">
        <w:rPr>
          <w:rFonts w:ascii="Verdana" w:hAnsi="Verdana" w:eastAsia="Verdana" w:cs="Verdana"/>
          <w:sz w:val="20"/>
          <w:szCs w:val="20"/>
        </w:rPr>
        <w:t xml:space="preserve"> does not enter the average used to describe their peers.</w:t>
      </w:r>
    </w:p>
    <w:p w14:paraId="48A2840A" w14:textId="055161E8" w:rsidR="00CB315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C</m:t>
            </m:r>
          </m:e>
          <m:sub>
            <m:r>
              <w:rPr>
                <w:rFonts w:ascii="Cambria Math" w:hAnsi="Cambria Math"/>
              </w:rPr>
              <m:t>LOO,i</m:t>
            </m:r>
          </m:sub>
        </m:sSub>
      </m:oMath>
      <w:r>
        <w:rPr>
          <w:rFonts w:ascii="Verdana" w:hAnsi="Verdana" w:eastAsia="Verdana" w:cs="Verdana"/>
          <w:sz w:val="20"/>
          <w:szCs w:val="20"/>
        </w:rPr>
        <w:t xml:space="preserve"> denote this </w:t>
      </w:r>
      <w:r>
        <w:rPr>
          <w:b/>
          <w:bCs/>
          <w:rFonts w:ascii="Verdana" w:hAnsi="Verdana" w:eastAsia="Verdana" w:cs="Verdana"/>
          <w:sz w:val="20"/>
          <w:szCs w:val="20"/>
        </w:rPr>
        <w:t xml:space="preserve">leave-one-out </w:t>
      </w:r>
      <w:r>
        <w:rPr>
          <w:rFonts w:ascii="Verdana" w:hAnsi="Verdana" w:eastAsia="Verdana" w:cs="Verdana"/>
          <w:sz w:val="20"/>
          <w:szCs w:val="20"/>
        </w:rPr>
        <w:t xml:space="preserve">congestion measure.  Recall that </w:t>
      </w:r>
      <m:oMath>
        <m:r>
          <w:rPr>
            <w:rFonts w:ascii="Cambria Math" w:hAnsi="Cambria Math"/>
          </w:rPr>
          <m:t>g</m:t>
        </m:r>
        <m:d>
          <m:dPr>
            <m:ctrlPr>
              <w:rPr>
                <w:rFonts w:ascii="Cambria Math" w:hAnsi="Cambria Math"/>
              </w:rPr>
            </m:ctrlPr>
          </m:dPr>
          <m:e>
            <m:r>
              <w:rPr>
                <w:rFonts w:ascii="Cambria Math" w:hAnsi="Cambria Math"/>
              </w:rPr>
              <m:t>i</m:t>
            </m:r>
          </m:e>
        </m:d>
      </m:oMath>
      <w:r>
        <w:rPr>
          <w:rFonts w:ascii="Verdana" w:hAnsi="Verdana" w:eastAsia="Verdana" w:cs="Verdana"/>
          <w:sz w:val="20"/>
          <w:szCs w:val="20"/>
        </w:rPr>
        <w:t xml:space="preserve"> identifies the group containing individual </w:t>
      </w:r>
      <m:oMath>
        <m:r>
          <w:rPr>
            <w:rFonts w:ascii="Cambria Math" w:hAnsi="Cambria Math"/>
          </w:rPr>
          <m:t>i</m:t>
        </m:r>
      </m:oMath>
      <w:r>
        <w:rPr>
          <w:rFonts w:ascii="Verdana" w:hAnsi="Verdana" w:eastAsia="Verdana" w:cs="Verdana"/>
          <w:sz w:val="20"/>
          <w:szCs w:val="20"/>
        </w:rPr>
        <w:t xml:space="preserve">, and that </w:t>
      </w:r>
      <m:oMath>
        <m:sSub>
          <m:sSubPr>
            <m:ctrlPr>
              <w:rPr>
                <w:rFonts w:ascii="Cambria Math" w:hAnsi="Cambria Math"/>
              </w:rPr>
            </m:ctrlPr>
          </m:sSubPr>
          <m:e>
            <m:r>
              <w:rPr>
                <w:rFonts w:ascii="Cambria Math" w:hAnsi="Cambria Math"/>
              </w:rPr>
              <m:t>n</m:t>
            </m:r>
          </m:e>
          <m:sub>
            <m:r>
              <w:rPr>
                <w:rFonts w:ascii="Cambria Math" w:hAnsi="Cambria Math"/>
              </w:rPr>
              <m:t>g</m:t>
            </m:r>
            <m:d>
              <m:dPr>
                <m:ctrlPr>
                  <w:rPr>
                    <w:rFonts w:ascii="Cambria Math" w:hAnsi="Cambria Math"/>
                  </w:rPr>
                </m:ctrlPr>
              </m:dPr>
              <m:e>
                <m:r>
                  <w:rPr>
                    <w:rFonts w:ascii="Cambria Math" w:hAnsi="Cambria Math"/>
                  </w:rPr>
                  <m:t>i</m:t>
                </m:r>
              </m:e>
            </m:d>
          </m:sub>
        </m:sSub>
      </m:oMath>
      <w:r>
        <w:rPr>
          <w:rFonts w:ascii="Verdana" w:hAnsi="Verdana" w:eastAsia="Verdana" w:cs="Verdana"/>
          <w:sz w:val="20"/>
          <w:szCs w:val="20"/>
        </w:rPr>
        <w:t xml:space="preserve"> is that group’s size.  </w:t>
      </w:r>
      <w:r w:rsidRPr="00F90200">
        <w:rPr>
          <w:rFonts w:ascii="Verdana" w:hAnsi="Verdana" w:eastAsia="Verdana" w:cs="Verdana"/>
          <w:sz w:val="20"/>
          <w:szCs w:val="20"/>
        </w:rPr>
        <w:t>For</w:t>
      </w:r>
      <w:r>
        <w:rPr>
          <w:rFonts w:ascii="Verdana" w:hAnsi="Verdana" w:eastAsia="Verdana" w:cs="Verdana"/>
          <w:sz w:val="20"/>
          <w:szCs w:val="20"/>
        </w:rPr>
        <w:t xml:space="preserve"> a group with more than one member, </w:t>
      </w:r>
    </w:p>
    <w:p w14:paraId="1DB06287" w14:textId="00C9F894"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2C0A84B" w14:textId="660A0499" w:rsidR="00F90200" w:rsidRDefault="00F90200">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The sum includes every member of </w:t>
      </w:r>
      <m:oMath>
        <m:r>
          <w:rPr>
            <w:rFonts w:ascii="Cambria Math" w:hAnsi="Cambria Math"/>
          </w:rPr>
          <m:t>i</m:t>
        </m:r>
      </m:oMath>
      <w:r>
        <w:rPr>
          <w:rFonts w:ascii="Verdana" w:hAnsi="Verdana" w:eastAsia="Verdana" w:cs="Verdana"/>
          <w:sz w:val="20"/>
          <w:szCs w:val="20"/>
        </w:rPr>
        <w:t xml:space="preserve">’s group except </w:t>
      </w:r>
      <m:oMath>
        <m:r>
          <w:rPr>
            <w:rFonts w:ascii="Cambria Math" w:hAnsi="Cambria Math"/>
          </w:rPr>
          <m:t>i</m:t>
        </m:r>
      </m:oMath>
      <w:r>
        <w:rPr>
          <w:rFonts w:ascii="Verdana" w:hAnsi="Verdana" w:eastAsia="Verdana" w:cs="Verdana"/>
          <w:sz w:val="20"/>
          <w:szCs w:val="20"/>
        </w:rPr>
        <w:t xml:space="preserve">.  In this specification, we set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LOO,i</m:t>
            </m:r>
          </m:sub>
        </m:sSub>
      </m:oMath>
      <w:r>
        <w:rPr>
          <w:rFonts w:ascii="Verdana" w:hAnsi="Verdana" w:eastAsia="Verdana" w:cs="Verdana"/>
          <w:sz w:val="20"/>
          <w:szCs w:val="20"/>
        </w:rPr>
        <w:t xml:space="preserve">, giving  </w:t>
      </w:r>
    </w:p>
    <w:p w14:paraId="0404F128" w14:textId="295F4E01" w:rsidR="00F90200" w:rsidRDefault="00000000">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m:oMathPara>
    </w:p>
    <w:p w14:paraId="4CA44FF1" w14:textId="67AD74A4"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Because a different </w:t>
      </w:r>
      <w:r w:rsidR="00F90200">
        <w:rPr>
          <w:rFonts w:ascii="Verdana" w:hAnsi="Verdana" w:eastAsia="Verdana" w:cs="Verdana"/>
          <w:sz w:val="20"/>
          <w:szCs w:val="20"/>
        </w:rPr>
        <w:t xml:space="preserve">individual </w:t>
      </w:r>
      <w:r>
        <w:rPr>
          <w:rFonts w:ascii="Verdana" w:hAnsi="Verdana" w:eastAsia="Verdana" w:cs="Verdana"/>
          <w:sz w:val="20"/>
          <w:szCs w:val="20"/>
        </w:rPr>
        <w:t xml:space="preserve">is excluded </w:t>
      </w:r>
      <w:r w:rsidR="00F90200">
        <w:rPr>
          <w:rFonts w:ascii="Verdana" w:hAnsi="Verdana" w:eastAsia="Verdana" w:cs="Verdana"/>
          <w:sz w:val="20"/>
          <w:szCs w:val="20"/>
        </w:rPr>
        <w:t xml:space="preserve">from </w:t>
      </w:r>
      <w:r>
        <w:rPr>
          <w:rFonts w:ascii="Verdana" w:hAnsi="Verdana" w:eastAsia="Verdana" w:cs="Verdana"/>
          <w:sz w:val="20"/>
          <w:szCs w:val="20"/>
        </w:rPr>
        <w:t>each calculation, members of the same group can receive different congestion values. A singleton has no peer average and requires separate treatment rather than an assigned value of zero.</w:t>
      </w:r>
    </w:p>
    <w:p w14:paraId="569BA42B" w14:textId="35B18988" w:rsidR="00CB315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An alternative is to represent the group environment by a value shared by all its members.  For this second approximation, We use the mean performance of the entire group, including the focal individual. We denote that mean by</w:t>
      </w:r>
    </w:p>
    <w:p w14:paraId="2BF5FABC" w14:textId="77777777" w:rsidR="00CB3150" w:rsidRPr="00F90200"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6A0D478" w14:textId="76F5E651" w:rsidR="00F90200" w:rsidRDefault="006E112A">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describes the group’s mean performance. To identify its use as a congestion measure, we write </w:t>
      </w:r>
      <m:oMath>
        <m:sSub>
          <m:sSubPr>
            <m:ctrlPr>
              <w:rPr>
                <w:rFonts w:ascii="Cambria Math" w:hAnsi="Cambria Math"/>
              </w:rPr>
            </m:ctrlPr>
          </m:sSubPr>
          <m:e>
            <m:r>
              <w:rPr>
                <w:rFonts w:ascii="Cambria Math" w:hAnsi="Cambria Math"/>
              </w:rPr>
              <m:t>C</m:t>
            </m:r>
          </m:e>
          <m:sub>
            <m:r>
              <w:rPr>
                <w:rFonts w:ascii="Cambria Math" w:hAnsi="Cambria Math"/>
              </w:rPr>
              <m:t>Q,i</m:t>
            </m:r>
          </m:sub>
        </m:sSub>
      </m:oMath>
      <w:r>
        <w:rPr>
          <w:rFonts w:ascii="Verdana" w:hAnsi="Verdana" w:eastAsia="Verdana" w:cs="Verdana"/>
          <w:sz w:val="20"/>
          <w:szCs w:val="20"/>
        </w:rPr>
        <w:t xml:space="preserve">, where </w:t>
      </w:r>
      <m:oMath>
        <m:r>
          <w:rPr>
            <w:rFonts w:ascii="Cambria Math" w:hAnsi="Cambria Math"/>
          </w:rPr>
          <m:t>Q</m:t>
        </m:r>
      </m:oMath>
      <w:r>
        <w:rPr>
          <w:rFonts w:ascii="Verdana" w:hAnsi="Verdana" w:eastAsia="Verdana" w:cs="Verdana"/>
          <w:sz w:val="20"/>
          <w:szCs w:val="20"/>
        </w:rPr>
        <w:t xml:space="preserve"> labels the group-quality specification. Individual </w:t>
      </w:r>
      <m:oMath>
        <m:r>
          <w:rPr>
            <w:rFonts w:ascii="Cambria Math" w:hAnsi="Cambria Math"/>
          </w:rPr>
          <m:t>i</m:t>
        </m:r>
      </m:oMath>
      <w:r>
        <w:rPr>
          <w:rFonts w:ascii="Verdana" w:hAnsi="Verdana" w:eastAsia="Verdana" w:cs="Verdana"/>
          <w:sz w:val="20"/>
          <w:szCs w:val="20"/>
        </w:rPr>
        <w:t xml:space="preserve"> receives the mean of the group to which they belong:</w:t>
      </w:r>
    </w:p>
    <w:p w14:paraId="3303AEBA" w14:textId="77777777" w:rsidR="00F90200" w:rsidRDefault="00000000" w:rsidP="00F902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2F52D2B7" w14:textId="77777777" w:rsidR="00F90200" w:rsidRDefault="006E112A">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corresponding score is </w:t>
      </w:r>
    </w:p>
    <w:p w14:paraId="176A725A" w14:textId="77777777" w:rsidR="00F90200" w:rsidRPr="006E112A" w:rsidRDefault="00000000" w:rsidP="00F90200">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305ACC19" w14:textId="1B701C8C" w:rsidR="006E112A" w:rsidRDefault="006E112A">
      <w:pPr>
        <w:rPr>
          <w:rFonts w:ascii="Verdana" w:hAnsi="Verdana" w:eastAsia="Verdana" w:cs="Verdana"/>
          <w:sz w:val="20"/>
          <w:szCs w:val="20"/>
        </w:rPr>
        <w:spacing w:line="480" w:lineRule="auto"/>
      </w:pPr>
      <w:r>
        <w:rPr>
          <w:rFonts w:ascii="Verdana" w:hAnsi="Verdana" w:eastAsia="Verdana" w:cs="Verdana"/>
          <w:sz w:val="20"/>
          <w:szCs w:val="20"/>
        </w:rPr>
        <w:t xml:space="preserve">Thus, every member of group </w:t>
      </w:r>
      <m:oMath>
        <m:r>
          <w:rPr>
            <w:rFonts w:ascii="Cambria Math" w:hAnsi="Cambria Math"/>
          </w:rPr>
          <m:t>j</m:t>
        </m:r>
      </m:oMath>
      <w:r>
        <w:rPr>
          <w:rFonts w:ascii="Verdana" w:hAnsi="Verdana" w:eastAsia="Verdana" w:cs="Verdana"/>
          <w:sz w:val="20"/>
          <w:szCs w:val="20"/>
        </w:rPr>
        <w:t xml:space="preserve"> receives the same congestion value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although their scores can differ because their individual performances differ. Unlike the leave-one-out measure, this specification treats average group performance as a shared feature of the environment.</w:t>
      </w:r>
    </w:p>
    <w:p w14:paraId="26549C0C" w14:textId="3703DF9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w:t>
      </w:r>
      <w:r w:rsidR="006E112A">
        <w:rPr>
          <w:rFonts w:ascii="Verdana" w:hAnsi="Verdana" w:eastAsia="Verdana" w:cs="Verdana"/>
          <w:sz w:val="20"/>
          <w:szCs w:val="20"/>
        </w:rPr>
        <w:t xml:space="preserve">relationship </w:t>
      </w:r>
      <w:r>
        <w:rPr>
          <w:rFonts w:ascii="Verdana" w:hAnsi="Verdana" w:eastAsia="Verdana" w:cs="Verdana"/>
          <w:sz w:val="20"/>
          <w:szCs w:val="20"/>
        </w:rPr>
        <w:t xml:space="preserve">between the two averages is explicit. For </w:t>
      </w:r>
      <m:oMath>
        <m:r>
          <w:rPr>
            <w:rFonts w:ascii="Cambria Math" w:hAnsi="Cambria Math"/>
          </w:rPr>
          <m:t>i</m:t>
        </m:r>
      </m:oMath>
      <w:r>
        <w:rPr>
          <w:rFonts w:ascii="Verdana" w:hAnsi="Verdana" w:eastAsia="Verdana" w:cs="Verdana"/>
          <w:sz w:val="20"/>
          <w:szCs w:val="20"/>
        </w:rPr>
        <w:t xml:space="preserve"> in group </w:t>
      </w:r>
      <m:oMath>
        <m:r>
          <w:rPr>
            <w:rFonts w:ascii="Cambria Math" w:hAnsi="Cambria Math"/>
          </w:rPr>
          <m:t>j</m:t>
        </m:r>
      </m:oMath>
      <w:r>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rPr>
          <w:rFonts w:ascii="Verdana" w:hAnsi="Verdana" w:eastAsia="Verdana" w:cs="Verdana"/>
          <w:sz w:val="20"/>
          <w:szCs w:val="20"/>
        </w:rPr>
        <w:t>,</w:t>
      </w:r>
    </w:p>
    <w:p w14:paraId="16F33E5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0CAB8279" w14:textId="2AA51DDD" w:rsidR="006E112A" w:rsidRPr="006E112A" w:rsidRDefault="006E112A" w:rsidP="006E112A">
      <w:pPr>
        <w:rPr>
          <w:rFonts w:ascii="Verdana" w:hAnsi="Verdana" w:eastAsia="Verdana" w:cs="Verdana"/>
          <w:sz w:val="20"/>
          <w:szCs w:val="20"/>
        </w:rPr>
        <w:spacing w:line="480" w:lineRule="auto"/>
      </w:pPr>
      <w:r>
        <w:rPr>
          <w:rFonts w:ascii="Verdana" w:hAnsi="Verdana" w:eastAsia="Verdana" w:cs="Verdana"/>
          <w:sz w:val="20"/>
          <w:szCs w:val="20"/>
        </w:rPr>
        <w:t>I</w:t>
      </w:r>
      <w:r w:rsidRPr="006E112A">
        <w:rPr>
          <w:rFonts w:ascii="Verdana" w:hAnsi="Verdana" w:eastAsia="Verdana" w:cs="Verdana"/>
          <w:sz w:val="20"/>
          <w:szCs w:val="20"/>
        </w:rPr>
        <w:t xml:space="preserve">ncluding or excluding the focal individual is therefore a modeling choice, not merely a change in notation. 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E112A">
        <w:rPr>
          <w:rFonts w:ascii="Verdana" w:hAnsi="Verdana" w:eastAsia="Verdana" w:cs="Verdana"/>
          <w:sz w:val="20"/>
          <w:szCs w:val="20"/>
        </w:rPr>
        <w:t xml:space="preserve"> retains its meaning as the group mean throughout the chapter. Later, that mean will also be used to measure sorting and, as membership develops during simulated assignment, to define a group’s evolving centroid.</w:t>
      </w:r>
    </w:p>
    <w:p w14:paraId="2AB920E5" w14:textId="77777777" w:rsidR="006E112A" w:rsidRPr="006E112A" w:rsidRDefault="006E112A" w:rsidP="006E112A">
      <w:pPr>
        <w:rPr>
          <w:rFonts w:ascii="Verdana" w:hAnsi="Verdana" w:eastAsia="Verdana" w:cs="Verdana"/>
          <w:sz w:val="20"/>
          <w:szCs w:val="20"/>
        </w:rPr>
        <w:spacing w:line="480" w:lineRule="auto"/>
      </w:pPr>
      <w:r w:rsidRPr="006E112A">
        <w:rPr>
          <w:rFonts w:ascii="Verdana" w:hAnsi="Verdana" w:eastAsia="Verdana" w:cs="Verdana"/>
          <w:sz w:val="20"/>
          <w:szCs w:val="20"/>
        </w:rPr>
        <w:lastRenderedPageBreak/>
        <w:t xml:space="preserve">Both specifications use average performance to approximate congestion. At positive </w:t>
      </w:r>
      <m:oMath>
        <m:r>
          <w:rPr>
            <w:rFonts w:ascii="Cambria Math" w:hAnsi="Cambria Math"/>
          </w:rPr>
          <m:t>λ</m:t>
        </m:r>
      </m:oMath>
      <w:r w:rsidRPr="006E112A">
        <w:rPr>
          <w:rFonts w:ascii="Verdana" w:hAnsi="Verdana" w:eastAsia="Verdana" w:cs="Verdana"/>
          <w:sz w:val="20"/>
          <w:szCs w:val="20"/>
        </w:rPr>
        <w:t xml:space="preserve">, individuals with equal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rPr>
          <w:rFonts w:ascii="Verdana" w:hAnsi="Verdana" w:eastAsia="Verdana" w:cs="Verdana"/>
          <w:sz w:val="20"/>
          <w:szCs w:val="20"/>
        </w:rPr>
        <w:t xml:space="preserve"> can receive different selection scores because they belong to different peer environments. These are relative adjustments: if </w:t>
      </w:r>
      <m:oMath>
        <m:r>
          <w:rPr>
            <w:rFonts w:ascii="Cambria Math" w:hAnsi="Cambria Math"/>
          </w:rPr>
          <m:t>A</m:t>
        </m:r>
      </m:oMath>
      <w:r w:rsidRPr="006E112A">
        <w:rPr>
          <w:rFonts w:ascii="Verdana" w:hAnsi="Verdana" w:eastAsia="Verdana" w:cs="Verdana"/>
          <w:sz w:val="20"/>
          <w:szCs w:val="20"/>
        </w:rPr>
        <w:t xml:space="preserve"> is standardized, a negative average raises the adjusted score above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rPr>
          <w:rFonts w:ascii="Verdana" w:hAnsi="Verdana" w:eastAsia="Verdana" w:cs="Verdana"/>
          <w:sz w:val="20"/>
          <w:szCs w:val="20"/>
        </w:rPr>
        <w:t>. The claim that stronger peers impose a disadvantage concerns comparisons at fixed own performance; it does not require every average-based adjustment to be a positive absolute burden.</w:t>
      </w:r>
    </w:p>
    <w:p w14:paraId="1B2FA8DE" w14:textId="77777777" w:rsidR="006E112A" w:rsidRPr="006E112A" w:rsidRDefault="006E112A" w:rsidP="006E112A">
      <w:pPr>
        <w:rPr>
          <w:rFonts w:ascii="Verdana" w:hAnsi="Verdana" w:eastAsia="Verdana" w:cs="Verdana"/>
          <w:sz w:val="20"/>
          <w:szCs w:val="20"/>
        </w:rPr>
        <w:spacing w:line="480" w:lineRule="auto"/>
      </w:pPr>
      <w:r w:rsidRPr="006E112A">
        <w:rPr>
          <w:rFonts w:ascii="Verdana" w:hAnsi="Verdana" w:eastAsia="Verdana" w:cs="Verdana"/>
          <w:sz w:val="20"/>
          <w:szCs w:val="20"/>
        </w:rPr>
        <w:t xml:space="preserve">We use these specifications as explanatory benchmarks before developing a more selective measure of competitive pressure. The numerical meaning of </w:t>
      </w:r>
      <m:oMath>
        <m:r>
          <w:rPr>
            <w:rFonts w:ascii="Cambria Math" w:hAnsi="Cambria Math"/>
          </w:rPr>
          <m:t>λ</m:t>
        </m:r>
      </m:oMath>
      <w:r w:rsidRPr="006E112A">
        <w:rPr>
          <w:rFonts w:ascii="Verdana" w:hAnsi="Verdana" w:eastAsia="Verdana" w:cs="Verdana"/>
          <w:sz w:val="20"/>
          <w:szCs w:val="20"/>
        </w:rPr>
        <w:t xml:space="preserve"> depends on the definition and scale of congestion. Retaining the same coefficient symbol does not imply that a value chosen or fitted for one specification transfers unchanged to another.</w:t>
      </w:r>
    </w:p>
    <w:p w14:paraId="0C63964C" w14:textId="77777777" w:rsidR="006E112A" w:rsidRDefault="006E112A" w:rsidP="006E112A">
      <w:pPr>
        <w:rPr>
          <w:rFonts w:ascii="Verdana" w:hAnsi="Verdana" w:eastAsia="Verdana" w:cs="Verdana"/>
          <w:sz w:val="21"/>
          <w:szCs w:val="21"/>
          <w:b w:val="1"/>
          <w:bCs w:val="1"/>
        </w:rPr>
        <w:pStyle w:val="Heading2"/>
        <w:spacing w:line="240" w:lineRule="auto"/>
      </w:pPr>
      <w:bookmarkStart w:id="11" w:name="Xdc28eb0d9af23d26594087763702d6632d638b0"/>
      <w:bookmarkEnd w:id="10"/>
      <w:r>
        <w:rPr>
          <w:rFonts w:ascii="Verdana" w:hAnsi="Verdana" w:eastAsia="Verdana" w:cs="Verdana"/>
          <w:sz w:val="21"/>
          <w:szCs w:val="21"/>
          <w:b w:val="1"/>
          <w:bCs w:val="1"/>
        </w:rPr>
        <w:t>4.4.</w:t>
      </w:r>
      <w:r w:rsidR="00506582">
        <w:rPr>
          <w:rFonts w:ascii="Verdana" w:hAnsi="Verdana" w:eastAsia="Verdana" w:cs="Verdana"/>
          <w:sz w:val="21"/>
          <w:szCs w:val="21"/>
          <w:b w:val="1"/>
          <w:bCs w:val="1"/>
        </w:rPr>
        <w:t>2</w:t>
      </w:r>
      <w:r>
        <w:rPr>
          <w:rFonts w:ascii="Verdana" w:hAnsi="Verdana" w:eastAsia="Verdana" w:cs="Verdana"/>
          <w:sz w:val="21"/>
          <w:szCs w:val="21"/>
          <w:b w:val="1"/>
          <w:bCs w:val="1"/>
        </w:rPr>
        <w:t xml:space="preserve"> </w:t>
      </w:r>
      <w:r w:rsidR="00506582">
        <w:rPr>
          <w:rFonts w:ascii="Verdana" w:hAnsi="Verdana" w:eastAsia="Verdana" w:cs="Verdana"/>
          <w:sz w:val="21"/>
          <w:szCs w:val="21"/>
          <w:b w:val="1"/>
          <w:bCs w:val="1"/>
        </w:rPr>
        <w:t>From average peers to credible competitors</w:t>
      </w:r>
    </w:p>
    <w:p w14:paraId="32FD9E13" w14:textId="01A4CBB6" w:rsidR="00506582" w:rsidRDefault="00506582" w:rsidP="00506582">
      <w:pPr>
        <w:rPr>
          <w:rFonts w:ascii="Verdana" w:hAnsi="Verdana" w:eastAsia="Verdana" w:cs="Verdana"/>
          <w:sz w:val="20"/>
          <w:szCs w:val="20"/>
        </w:rPr>
        <w:spacing w:line="480" w:lineRule="auto"/>
      </w:pPr>
      <w:r>
        <w:rPr>
          <w:rFonts w:ascii="Verdana" w:hAnsi="Verdana" w:eastAsia="Verdana" w:cs="Verdana"/>
          <w:sz w:val="20"/>
          <w:szCs w:val="20"/>
        </w:rP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while differing in the concentration of members who are plausible candidates for advancement.</w:t>
      </w:r>
    </w:p>
    <w:p w14:paraId="46A61598" w14:textId="77777777" w:rsidR="00506582" w:rsidRDefault="0081266A" w:rsidP="00506582">
      <w:pPr>
        <w:rPr>
          <w:rFonts w:ascii="Verdana" w:hAnsi="Verdana" w:eastAsia="Verdana" w:cs="Verdana"/>
          <w:sz w:val="20"/>
          <w:szCs w:val="20"/>
        </w:rPr>
        <w:spacing w:line="480" w:lineRule="auto"/>
      </w:pPr>
      <w:r>
        <w:rPr>
          <w:rFonts w:ascii="Verdana" w:hAnsi="Verdana" w:eastAsia="Verdana" w:cs="Verdana"/>
          <w:sz w:val="20"/>
          <w:szCs w:val="20"/>
        </w:rPr>
        <w:t xml:space="preserve">We use </w:t>
      </w:r>
      <w:r>
        <w:rPr>
          <w:rStyle w:val="Strong"/>
          <w:rFonts w:ascii="Verdana" w:hAnsi="Verdana" w:eastAsia="Verdana" w:cs="Verdana"/>
          <w:sz w:val="20"/>
          <w:szCs w:val="20"/>
        </w:rPr>
        <w:t>roster pressure</w:t>
      </w:r>
      <w:r>
        <w:rPr>
          <w:rFonts w:ascii="Verdana" w:hAnsi="Verdana" w:eastAsia="Verdana" w:cs="Verdana"/>
          <w:sz w:val="20"/>
          <w:szCs w:val="20"/>
        </w:rPr>
        <w:t xml:space="preserve"> to describe the competitive pressure associated with the composition of a group. To measure it, we first distinguish members according to their competitive relevance.  </w:t>
      </w:r>
      <w:r w:rsidR="00506582">
        <w:rPr>
          <w:rFonts w:ascii="Verdana" w:hAnsi="Verdana" w:eastAsia="Verdana" w:cs="Verdana"/>
          <w:sz w:val="20"/>
          <w:szCs w:val="20"/>
        </w:rPr>
        <w:t xml:space="preserve">We introduce a common performance threshold </w:t>
      </w:r>
      <m:oMath>
        <m:r>
          <w:rPr>
            <w:rFonts w:ascii="Cambria Math" w:hAnsi="Cambria Math"/>
          </w:rPr>
          <m:t>θ</m:t>
        </m:r>
      </m:oMath>
      <w:r w:rsidR="00506582">
        <w:rPr>
          <w:rFonts w:ascii="Verdana" w:hAnsi="Verdana" w:eastAsia="Verdana" w:cs="Verdana"/>
          <w:sz w:val="20"/>
          <w:szCs w:val="20"/>
        </w:rPr>
        <w:t>, around which an individual becomes competitively relevant. A strict cutoff would treat individuals immediately below and above the threshold very differently. Instead, we allow relevance to increase smoothly with performance.</w:t>
      </w:r>
    </w:p>
    <w:p w14:paraId="02B6E0A6" w14:textId="4E241072" w:rsidR="00506582" w:rsidRDefault="00506582" w:rsidP="00506582">
      <w:pPr>
        <w:rPr>
          <w:rFonts w:ascii="Verdana" w:hAnsi="Verdana" w:eastAsia="Verdana" w:cs="Verdana"/>
          <w:sz w:val="20"/>
          <w:szCs w:val="20"/>
        </w:rPr>
        <w:spacing w:line="480" w:lineRule="auto"/>
      </w:pPr>
      <w:r>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denote member </w:t>
      </w:r>
      <m:oMath>
        <m:r>
          <w:rPr>
            <w:rFonts w:ascii="Cambria Math" w:hAnsi="Cambria Math"/>
          </w:rPr>
          <m:t>h</m:t>
        </m:r>
      </m:oMath>
      <w:r>
        <w:rPr>
          <w:rFonts w:ascii="Verdana" w:hAnsi="Verdana" w:eastAsia="Verdana" w:cs="Verdana"/>
          <w:sz w:val="20"/>
          <w:szCs w:val="20"/>
        </w:rPr>
        <w:t xml:space="preserve">’s degree of competitive relevance. We use the logistic function, denoted by </w:t>
      </w:r>
      <m:oMath>
        <m:r>
          <w:rPr>
            <w:rFonts w:ascii="Cambria Math" w:hAnsi="Cambria Math"/>
          </w:rPr>
          <m:t>σ</m:t>
        </m:r>
      </m:oMath>
      <w:r>
        <w:rPr>
          <w:rFonts w:ascii="Verdana" w:hAnsi="Verdana" w:eastAsia="Verdana" w:cs="Verdana"/>
          <w:sz w:val="20"/>
          <w:szCs w:val="20"/>
        </w:rPr>
        <w:t xml:space="preserve">, to map performance relative to </w:t>
      </w:r>
      <m:oMath>
        <m:r>
          <w:rPr>
            <w:rFonts w:ascii="Cambria Math" w:hAnsi="Cambria Math"/>
          </w:rPr>
          <m:t>θ</m:t>
        </m:r>
      </m:oMath>
      <w:r>
        <w:rPr>
          <w:rFonts w:ascii="Verdana" w:hAnsi="Verdana" w:eastAsia="Verdana" w:cs="Verdana"/>
          <w:sz w:val="20"/>
          <w:szCs w:val="20"/>
        </w:rPr>
        <w:t xml:space="preserve"> into a value between zero and one. A positive parameter </w:t>
      </w:r>
      <m:oMath>
        <m:r>
          <w:rPr>
            <w:rFonts w:ascii="Cambria Math" w:hAnsi="Cambria Math"/>
          </w:rPr>
          <m:t>γ</m:t>
        </m:r>
      </m:oMath>
      <w:r>
        <w:rPr>
          <w:rFonts w:ascii="Verdana" w:hAnsi="Verdana" w:eastAsia="Verdana" w:cs="Verdana"/>
          <w:sz w:val="20"/>
          <w:szCs w:val="20"/>
        </w:rPr>
        <w:t xml:space="preserve"> controls the sharpness of the transition:</w:t>
      </w:r>
    </w:p>
    <w:p w14:paraId="52427E30" w14:textId="77777777" w:rsidR="00CB3150" w:rsidRDefault="00000000" w:rsidP="0050658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=σ</m:t>
          </m:r>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sup>
              </m:sSup>
            </m:den>
          </m:f>
          <m:r>
            <w:rPr>
              <w:rFonts w:ascii="Cambria Math" w:hAnsi="Cambria Math"/>
            </w:rPr>
            <m:t>,</m:t>
          </m:r>
          <m:r>
            <w:rPr>
              <w:rFonts w:ascii="Cambria Math" w:hAnsi="Cambria Math"/>
              <w:i/>
            </w:rPr>
            <m:t> </m:t>
          </m:r>
          <m:r>
            <w:rPr>
              <w:rFonts w:ascii="Cambria Math" w:hAnsi="Cambria Math"/>
              <w:i/>
            </w:rPr>
            <m:t> </m:t>
          </m:r>
          <m:r>
            <w:rPr>
              <w:rFonts w:ascii="Cambria Math" w:hAnsi="Cambria Math"/>
            </w:rPr>
            <m:t>γ&gt;0.</m:t>
          </m:r>
        </m:oMath>
      </m:oMathPara>
    </w:p>
    <w:p w14:paraId="1E3314D1" w14:textId="09EF6619" w:rsidR="00506582" w:rsidRDefault="00506582">
      <w:pPr>
        <w:rPr>
          <w:rFonts w:ascii="Verdana" w:hAnsi="Verdana" w:eastAsia="Verdana" w:cs="Verdana"/>
          <w:sz w:val="20"/>
          <w:szCs w:val="20"/>
        </w:rPr>
        <w:spacing w:line="480" w:lineRule="auto"/>
      </w:pPr>
      <w:r>
        <w:rPr>
          <w:rFonts w:ascii="Verdana" w:hAnsi="Verdana" w:eastAsia="Verdana" w:cs="Verdana"/>
          <w:sz w:val="20"/>
          <w:szCs w:val="20"/>
        </w:rPr>
        <w:t xml:space="preserve">A member whose performance equals </w:t>
      </w:r>
      <m:oMath>
        <m:r>
          <w:rPr>
            <w:rFonts w:ascii="Cambria Math" w:hAnsi="Cambria Math"/>
          </w:rPr>
          <m:t>θ</m:t>
        </m:r>
      </m:oMath>
      <w:r>
        <w:rPr>
          <w:rFonts w:ascii="Verdana" w:hAnsi="Verdana" w:eastAsia="Verdana" w:cs="Verdana"/>
          <w:sz w:val="20"/>
          <w:szCs w:val="20"/>
        </w:rPr>
        <w:t xml:space="preserve"> contributes one half. Members sufficiently far below the threshold contribute values close to zero, whereas members sufficiently far above it contribute </w:t>
      </w:r>
      <w:r>
        <w:rPr>
          <w:rFonts w:ascii="Verdana" w:hAnsi="Verdana" w:eastAsia="Verdana" w:cs="Verdana"/>
          <w:sz w:val="20"/>
          <w:szCs w:val="20"/>
        </w:rPr>
        <w:lastRenderedPageBreak/>
        <w:t xml:space="preserve">values close to one. Larger </w:t>
      </w:r>
      <m:oMath>
        <m:r>
          <w:rPr>
            <w:rFonts w:ascii="Cambria Math" w:hAnsi="Cambria Math"/>
          </w:rPr>
          <m:t>γ</m:t>
        </m:r>
      </m:oMath>
      <w:r>
        <w:rPr>
          <w:rFonts w:ascii="Verdana" w:hAnsi="Verdana" w:eastAsia="Verdana" w:cs="Verdana"/>
          <w:sz w:val="20"/>
          <w:szCs w:val="20"/>
        </w:rPr>
        <w:t xml:space="preserve"> produces a sharper transition around the threshold; smaller </w:t>
      </w:r>
      <m:oMath>
        <m:r>
          <w:rPr>
            <w:rFonts w:ascii="Cambria Math" w:hAnsi="Cambria Math"/>
          </w:rPr>
          <m:t>γ</m:t>
        </m:r>
      </m:oMath>
      <w:r>
        <w:rPr>
          <w:rFonts w:ascii="Verdana" w:hAnsi="Verdana" w:eastAsia="Verdana" w:cs="Verdana"/>
          <w:sz w:val="20"/>
          <w:szCs w:val="20"/>
        </w:rPr>
        <w:t xml:space="preserve">  produces a more gradual one. The upper bound expresses the assumption that an exceptionally high performance value does not generate an unlimited contribution to congestion.</w:t>
      </w:r>
    </w:p>
    <w:p w14:paraId="5B1B6190" w14:textId="477EEB9A" w:rsidR="00AF7AC1" w:rsidRDefault="00AF7AC1">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quantity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is a contribution to the congestion measure, not the probability that member </w:t>
      </w:r>
      <m:oMath>
        <m:r>
          <w:rPr>
            <w:rFonts w:ascii="Cambria Math" w:hAnsi="Cambria Math"/>
          </w:rPr>
          <m:t>h</m:t>
        </m:r>
      </m:oMath>
      <w:r>
        <w:rPr>
          <w:rFonts w:ascii="Verdana" w:hAnsi="Verdana" w:eastAsia="Verdana" w:cs="Verdana"/>
          <w:sz w:val="20"/>
          <w:szCs w:val="20"/>
        </w:rPr>
        <w:t xml:space="preserve"> will be selected. The threshold </w:t>
      </w:r>
      <m:oMath>
        <m:r>
          <w:rPr>
            <w:rFonts w:ascii="Cambria Math" w:hAnsi="Cambria Math"/>
          </w:rPr>
          <m:t>θ</m:t>
        </m:r>
      </m:oMath>
      <w:r>
        <w:rPr>
          <w:rFonts w:ascii="Verdana" w:hAnsi="Verdana" w:eastAsia="Verdana" w:cs="Verdana"/>
          <w:sz w:val="20"/>
          <w:szCs w:val="20"/>
        </w:rPr>
        <w:t xml:space="preserve"> identifies a common region of competitive relevance; it does not depend on whether a particular peer outperforms the focal individual. Nor is </w:t>
      </w:r>
      <m:oMath>
        <m:r>
          <w:rPr>
            <w:rFonts w:ascii="Cambria Math" w:hAnsi="Cambria Math"/>
          </w:rPr>
          <m:t>θ</m:t>
        </m:r>
      </m:oMath>
      <w:r>
        <w:rPr>
          <w:rFonts w:ascii="Verdana" w:hAnsi="Verdana" w:eastAsia="Verdana" w:cs="Verdana"/>
          <w:sz w:val="20"/>
          <w:szCs w:val="20"/>
        </w:rPr>
        <w:t xml:space="preserve"> automatically the top-</w:t>
      </w:r>
      <m:oMath>
        <m:r>
          <w:rPr>
            <w:rFonts w:ascii="Cambria Math" w:hAnsi="Cambria Math"/>
          </w:rPr>
          <m:t>K</m:t>
        </m:r>
      </m:oMath>
      <w:r>
        <w:rPr>
          <w:rFonts w:ascii="Verdana" w:hAnsi="Verdana" w:eastAsia="Verdana" w:cs="Verdana"/>
          <w:sz w:val="20"/>
          <w:szCs w:val="20"/>
        </w:rPr>
        <w:t xml:space="preserve"> selection cutoff. The threshold governs which members contribute substantially to local congestion, whereas </w:t>
      </w:r>
      <m:oMath>
        <m:r>
          <w:rPr>
            <w:rFonts w:ascii="Cambria Math" w:hAnsi="Cambria Math"/>
          </w:rPr>
          <m:t>K</m:t>
        </m:r>
      </m:oMath>
      <w:r>
        <w:rPr>
          <w:rFonts w:ascii="Verdana" w:hAnsi="Verdana" w:eastAsia="Verdana" w:cs="Verdana"/>
          <w:sz w:val="20"/>
          <w:szCs w:val="20"/>
        </w:rPr>
        <w:t xml:space="preserve"> determines how many opportunities are awarded across the selection population. Section 4.5 examines their distinct roles.</w:t>
      </w:r>
      <w:r w:rsidDel="00AF7AC1">
        <w:rPr>
          <w:rFonts w:ascii="Verdana" w:hAnsi="Verdana" w:eastAsia="Verdana" w:cs="Verdana"/>
          <w:sz w:val="20"/>
          <w:szCs w:val="20"/>
        </w:rPr>
        <w:t xml:space="preserve"> </w:t>
      </w:r>
    </w:p>
    <w:p w14:paraId="447AB3EB" w14:textId="16774F0C" w:rsidR="00CB3150" w:rsidRDefault="00B329C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smooth transition can represent imprecision in where competitive relevance begins, but </w:t>
      </w:r>
      <m:oMath>
        <m:r>
          <w:rPr>
            <w:rFonts w:ascii="Cambria Math" w:hAnsi="Cambria Math"/>
          </w:rPr>
          <m:t>γ</m:t>
        </m:r>
      </m:oMath>
      <w:r>
        <w:rPr>
          <w:rFonts w:ascii="Verdana" w:hAnsi="Verdana" w:eastAsia="Verdana" w:cs="Verdana"/>
          <w:sz w:val="20"/>
          <w:szCs w:val="20"/>
        </w:rPr>
        <w:t xml:space="preserve"> is not itself an estimated measurement-error variance. The sigmoid determines how each member’s performance contributes to congestion during the SCORE stage, with </w:t>
      </w:r>
      <m:oMath>
        <m:r>
          <w:rPr>
            <w:rFonts w:ascii="Cambria Math" w:hAnsi="Cambria Math"/>
          </w:rPr>
          <m:t>γ</m:t>
        </m:r>
      </m:oMath>
      <w:r>
        <w:rPr>
          <w:rFonts w:ascii="Verdana" w:hAnsi="Verdana" w:eastAsia="Verdana" w:cs="Verdana"/>
          <w:sz w:val="20"/>
          <w:szCs w:val="20"/>
        </w:rPr>
        <w:t xml:space="preserve"> controlling the sharpness of that transformation. Selection temperature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governs uncertainty in the subsequent SELECT stage. Keeping these two roles explicit allows us to examine assumptions about competitive relevance separately from assumptions about uncertainty in selection.</w:t>
      </w:r>
      <w:r w:rsidDel="00B329C0">
        <w:rPr>
          <w:rFonts w:ascii="Verdana" w:hAnsi="Verdana" w:eastAsia="Verdana" w:cs="Verdana"/>
          <w:sz w:val="20"/>
          <w:szCs w:val="20"/>
        </w:rPr>
        <w:t xml:space="preserve"> </w:t>
      </w:r>
      <w:r w:rsidR="00AF7AC1">
        <w:rPr>
          <w:rFonts w:ascii="Verdana" w:hAnsi="Verdana" w:eastAsia="Verdana" w:cs="Verdana"/>
          <w:sz w:val="20"/>
          <w:szCs w:val="20"/>
        </w:rPr>
        <w:t>.</w:t>
      </w:r>
    </w:p>
    <w:p w14:paraId="325519B6" w14:textId="77777777" w:rsidR="00CB3150" w:rsidRDefault="00000000">
      <w:pPr>
        <w:rPr>
          <w:rFonts w:ascii="Verdana" w:hAnsi="Verdana" w:eastAsia="Verdana" w:cs="Verdana"/>
          <w:sz w:val="21"/>
          <w:szCs w:val="21"/>
          <w:b w:val="1"/>
          <w:bCs w:val="1"/>
        </w:rPr>
        <w:pStyle w:val="Heading2"/>
        <w:spacing w:line="240" w:lineRule="auto"/>
      </w:pPr>
      <w:bookmarkStart w:id="12" w:name="Xc082d50cc048025a16853c6d31ad799bd4fde31"/>
      <w:bookmarkEnd w:id="11"/>
      <w:r>
        <w:rPr>
          <w:rFonts w:ascii="Verdana" w:hAnsi="Verdana" w:eastAsia="Verdana" w:cs="Verdana"/>
          <w:sz w:val="21"/>
          <w:szCs w:val="21"/>
          <w:b w:val="1"/>
          <w:bCs w:val="1"/>
        </w:rPr>
        <w:t>4.4.3 Aggregating competitive relevance into a group adjustment</w:t>
      </w:r>
    </w:p>
    <w:p w14:paraId="05C81EB5" w14:textId="7A202CB0"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We have defined how much each member contributes to the competitive field. We now combine those contributions into a measure of the group</w:t>
      </w:r>
      <w:r w:rsidR="0081266A">
        <w:rPr>
          <w:rFonts w:ascii="Verdana" w:hAnsi="Verdana" w:eastAsia="Verdana" w:cs="Verdana"/>
          <w:sz w:val="20"/>
          <w:szCs w:val="20"/>
        </w:rPr>
        <w:t>’s roster pressure.</w:t>
      </w:r>
      <w:r w:rsidRPr="006D78CC">
        <w:rPr>
          <w:rFonts w:ascii="Verdana" w:hAnsi="Verdana" w:eastAsia="Verdana" w:cs="Verdana"/>
          <w:sz w:val="20"/>
          <w:szCs w:val="20"/>
        </w:rPr>
        <w:t xml:space="preserve"> In Section 4.4.1, the shared measure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w:t>
      </w:r>
      <w:r w:rsidRPr="006D78CC">
        <w:rPr>
          <w:rFonts w:ascii="Verdana" w:hAnsi="Verdana" w:eastAsia="Verdana" w:cs="Verdana"/>
          <w:sz w:val="20"/>
          <w:szCs w:val="20"/>
        </w:rPr>
        <w:t>averaged the performance values of all group members. Our refined measure instead averages their competitive relevance. This allows a group’s congestion to reflect the concentration of plausible candidates for advancement rather than its average performance alone.</w:t>
      </w:r>
      <w:r>
        <w:rPr>
          <w:rFonts w:ascii="Verdana" w:hAnsi="Verdana" w:eastAsia="Verdana" w:cs="Verdana"/>
          <w:sz w:val="20"/>
          <w:szCs w:val="20"/>
        </w:rPr>
        <w:t xml:space="preserve">  </w:t>
      </w:r>
      <w:r w:rsidR="00E73B90">
        <w:rPr>
          <w:rFonts w:ascii="Verdana" w:hAnsi="Verdana" w:eastAsia="Verdana" w:cs="Verdana"/>
          <w:sz w:val="20"/>
          <w:szCs w:val="20"/>
        </w:rPr>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694EB315"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denote this shared </w:t>
      </w:r>
      <w:r w:rsidR="0081266A">
        <w:rPr>
          <w:rFonts w:ascii="Verdana" w:hAnsi="Verdana" w:eastAsia="Verdana" w:cs="Verdana"/>
          <w:sz w:val="20"/>
          <w:szCs w:val="20"/>
        </w:rPr>
        <w:t>roster pressure</w:t>
      </w:r>
      <w:r w:rsidRPr="006D78CC">
        <w:rPr>
          <w:rFonts w:ascii="Verdana" w:hAnsi="Verdana" w:eastAsia="Verdana" w:cs="Verdana"/>
          <w:sz w:val="20"/>
          <w:szCs w:val="20"/>
        </w:rPr>
        <w:t xml:space="preserve"> for group </w:t>
      </w:r>
      <m:oMath>
        <m:r>
          <w:rPr>
            <w:rFonts w:ascii="Cambria Math" w:hAnsi="Cambria Math"/>
          </w:rPr>
          <m:t>j</m:t>
        </m:r>
      </m:oMath>
      <w:r w:rsidRPr="006D78CC">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D78CC">
        <w:rPr>
          <w:rFonts w:ascii="Verdana" w:hAnsi="Verdana" w:eastAsia="Verdana" w:cs="Verdana"/>
          <w:sz w:val="20"/>
          <w:szCs w:val="20"/>
        </w:rPr>
        <w:t xml:space="preserve"> members and each member </w:t>
      </w:r>
      <m:oMath>
        <m:r>
          <w:rPr>
            <w:rFonts w:ascii="Cambria Math" w:hAnsi="Cambria Math"/>
          </w:rPr>
          <m:t>h</m:t>
        </m:r>
      </m:oMath>
      <w:r w:rsidRPr="006D78CC">
        <w:rPr>
          <w:rFonts w:ascii="Verdana" w:hAnsi="Verdana" w:eastAsia="Verdana" w:cs="Verdana"/>
          <w:sz w:val="20"/>
          <w:szCs w:val="20"/>
        </w:rPr>
        <w:t xml:space="preserve"> contributing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rPr>
          <w:rFonts w:ascii="Verdana" w:hAnsi="Verdana" w:eastAsia="Verdana" w:cs="Verdana"/>
          <w:sz w:val="20"/>
          <w:szCs w:val="20"/>
        </w:rPr>
        <w:t>, we define</w:t>
      </w:r>
    </w:p>
    <w:p w14:paraId="0B3928B7"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r>
            <w:rPr>
              <w:rFonts w:ascii="Cambria Math" w:hAnsi="Cambria Math"/>
            </w:rPr>
            <m:t>​</m:t>
          </m:r>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oMath>
      </m:oMathPara>
    </w:p>
    <w:p w14:paraId="2ADBA02A"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lastRenderedPageBreak/>
        <w:t xml:space="preserve">The sum includes every member of the group. Members whose performance is sufficiently far below </w:t>
      </w:r>
      <m:oMath>
        <m:r>
          <w:rPr>
            <w:rFonts w:ascii="Cambria Math" w:hAnsi="Cambria Math"/>
          </w:rPr>
          <m:t>θ</m:t>
        </m:r>
      </m:oMath>
      <w:r w:rsidRPr="006D78CC">
        <w:rPr>
          <w:rFonts w:ascii="Verdana" w:hAnsi="Verdana" w:eastAsia="Verdana" w:cs="Verdana"/>
          <w:sz w:val="20"/>
          <w:szCs w:val="20"/>
        </w:rPr>
        <w:t xml:space="preserve"> contribute little, while those sufficiently far above it contribute nearly one. Dividing by group size makes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a measure of competitive concentration. When the sigmoid is sharply differentiated, this mean approximates the fraction of group members above the threshold, with members exactly at the threshold contributing one half.</w:t>
      </w:r>
    </w:p>
    <w:p w14:paraId="469C4120"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This definition makes a specific modeling choice: congestion is a shared feature of the group environment. Every individual in group </w:t>
      </w:r>
      <m:oMath>
        <m:r>
          <w:rPr>
            <w:rFonts w:ascii="Cambria Math" w:hAnsi="Cambria Math"/>
          </w:rPr>
          <m:t>j</m:t>
        </m:r>
      </m:oMath>
      <w:r w:rsidRPr="006D78CC">
        <w:rPr>
          <w:rFonts w:ascii="Verdana" w:hAnsi="Verdana" w:eastAsia="Verdana" w:cs="Verdana"/>
          <w:sz w:val="20"/>
          <w:szCs w:val="20"/>
        </w:rPr>
        <w:t xml:space="preserve"> receives the same congestion value, including the contribution from their own performance. Recall that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D78CC">
        <w:rPr>
          <w:rFonts w:ascii="Verdana" w:hAnsi="Verdana" w:eastAsia="Verdana" w:cs="Verdana"/>
          <w:sz w:val="20"/>
          <w:szCs w:val="20"/>
        </w:rPr>
        <w:t xml:space="preserve"> denotes the congestion applied to individual </w:t>
      </w:r>
      <m:oMath>
        <m:r>
          <w:rPr>
            <w:rFonts w:ascii="Cambria Math" w:hAnsi="Cambria Math"/>
          </w:rPr>
          <m:t>i</m:t>
        </m:r>
      </m:oMath>
      <w:r w:rsidRPr="006D78CC">
        <w:rPr>
          <w:rFonts w:ascii="Verdana" w:hAnsi="Verdana" w:eastAsia="Verdana" w:cs="Verdana"/>
          <w:sz w:val="20"/>
          <w:szCs w:val="20"/>
        </w:rPr>
        <w:t xml:space="preserve">, and </w:t>
      </w:r>
      <m:oMath>
        <m:r>
          <w:rPr>
            <w:rFonts w:ascii="Cambria Math" w:hAnsi="Cambria Math"/>
          </w:rPr>
          <m:t>g</m:t>
        </m:r>
        <m:d>
          <m:dPr>
            <m:ctrlPr>
              <w:rPr>
                <w:rFonts w:ascii="Cambria Math" w:hAnsi="Cambria Math"/>
              </w:rPr>
            </m:ctrlPr>
          </m:dPr>
          <m:e>
            <m:r>
              <w:rPr>
                <w:rFonts w:ascii="Cambria Math" w:hAnsi="Cambria Math"/>
              </w:rPr>
              <m:t>i</m:t>
            </m:r>
          </m:e>
        </m:d>
      </m:oMath>
      <w:r w:rsidRPr="006D78CC">
        <w:rPr>
          <w:rFonts w:ascii="Verdana" w:hAnsi="Verdana" w:eastAsia="Verdana" w:cs="Verdana"/>
          <w:sz w:val="20"/>
          <w:szCs w:val="20"/>
        </w:rPr>
        <w:t xml:space="preserve"> identifies that individual’s group. Under the refined specification,</w:t>
      </w:r>
    </w:p>
    <w:p w14:paraId="737B489B"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m:t>
          </m:r>
        </m:oMath>
      </m:oMathPara>
    </w:p>
    <w:p w14:paraId="5B9D564C"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Thus, for any individual belonging to group </w:t>
      </w:r>
      <m:oMath>
        <m:r>
          <w:rPr>
            <w:rFonts w:ascii="Cambria Math" w:hAnsi="Cambria Math"/>
          </w:rPr>
          <m:t>j</m:t>
        </m:r>
      </m:oMath>
      <w:r w:rsidRPr="006D78CC">
        <w:rPr>
          <w:rFonts w:ascii="Verdana" w:hAnsi="Verdana" w:eastAsia="Verdana" w:cs="Verdana"/>
          <w:sz w:val="20"/>
          <w:szCs w:val="20"/>
        </w:rPr>
        <w:t xml:space="preserve">, the congestion applied to their score is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Their individual score remains distinct because it also depends on their own performance. Substituting the shared congestion measure into the SCORE equation gives</w:t>
      </w:r>
    </w:p>
    <w:p w14:paraId="3E048258" w14:textId="77777777" w:rsidR="006D78CC" w:rsidRPr="006D78CC" w:rsidRDefault="00000000" w:rsidP="006D78CC">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,  λ≥0.</m:t>
          </m:r>
        </m:oMath>
      </m:oMathPara>
    </w:p>
    <w:p w14:paraId="4E09308D"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The coefficient </w:t>
      </w:r>
      <m:oMath>
        <m:r>
          <w:rPr>
            <w:rFonts w:ascii="Cambria Math" w:hAnsi="Cambria Math"/>
          </w:rPr>
          <m:t>λ</m:t>
        </m:r>
      </m:oMath>
      <w:r w:rsidRPr="006D78CC">
        <w:rPr>
          <w:rFonts w:ascii="Verdana" w:hAnsi="Verdana" w:eastAsia="Verdana" w:cs="Verdana"/>
          <w:sz w:val="20"/>
          <w:szCs w:val="20"/>
        </w:rPr>
        <w:t xml:space="preserve"> controls the strength of the congestion adjustment. Setting </w:t>
      </w:r>
      <m:oMath>
        <m:r>
          <w:rPr>
            <w:rFonts w:ascii="Cambria Math" w:hAnsi="Cambria Math"/>
          </w:rPr>
          <m:t>λ=0</m:t>
        </m:r>
      </m:oMath>
      <w:r w:rsidRPr="006D78CC">
        <w:rPr>
          <w:rFonts w:ascii="Verdana" w:hAnsi="Verdana" w:eastAsia="Verdana" w:cs="Verdana"/>
          <w:sz w:val="20"/>
          <w:szCs w:val="20"/>
        </w:rPr>
        <w:t xml:space="preserve"> recovers performance-only scoring; combining that score with deterministic top-</w:t>
      </w:r>
      <m:oMath>
        <m:r>
          <w:rPr>
            <w:rFonts w:ascii="Cambria Math" w:hAnsi="Cambria Math"/>
          </w:rPr>
          <m:t>K</m:t>
        </m:r>
      </m:oMath>
      <w:r w:rsidRPr="006D78CC">
        <w:rPr>
          <w:rFonts w:ascii="Verdana" w:hAnsi="Verdana" w:eastAsia="Verdana" w:cs="Verdana"/>
          <w:sz w:val="20"/>
          <w:szCs w:val="20"/>
        </w:rPr>
        <w:t xml:space="preserve"> selection recovers the naïve benchmark. At positive </w:t>
      </w:r>
      <m:oMath>
        <m:r>
          <w:rPr>
            <w:rFonts w:ascii="Cambria Math" w:hAnsi="Cambria Math"/>
          </w:rPr>
          <m:t>λ</m:t>
        </m:r>
      </m:oMath>
      <w:r w:rsidRPr="006D78CC">
        <w:rPr>
          <w:rFonts w:ascii="Verdana" w:hAnsi="Verdana" w:eastAsia="Verdana" w:cs="Verdana"/>
          <w:sz w:val="20"/>
          <w:szCs w:val="20"/>
        </w:rPr>
        <w:t>, otherwise equal individuals receive lower scores in groups with greater competitive concentration. The subsequent SELECT rule converts those scores into outcomes.</w:t>
      </w:r>
    </w:p>
    <w:p w14:paraId="51986F1B"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The distinction between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is substantive. The former averages performance</w:t>
      </w:r>
      <w:r w:rsidR="0081266A">
        <w:rPr>
          <w:rFonts w:ascii="Verdana" w:hAnsi="Verdana" w:eastAsia="Verdana" w:cs="Verdana"/>
          <w:sz w:val="20"/>
          <w:szCs w:val="20"/>
        </w:rPr>
        <w:t xml:space="preserve"> values</w:t>
      </w:r>
      <w:r w:rsidRPr="006D78CC">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D78CC">
        <w:rPr>
          <w:rFonts w:ascii="Verdana" w:hAnsi="Verdana" w:eastAsia="Verdana" w:cs="Verdana"/>
          <w:sz w:val="20"/>
          <w:szCs w:val="20"/>
        </w:rPr>
        <w:t xml:space="preserve">; the latter </w:t>
      </w:r>
      <w:r w:rsidR="0081266A">
        <w:rPr>
          <w:rFonts w:ascii="Verdana" w:hAnsi="Verdana" w:eastAsia="Verdana" w:cs="Verdana"/>
          <w:sz w:val="20"/>
          <w:szCs w:val="20"/>
        </w:rPr>
        <w:t>measure roster pressure by averaging their degrees of competitive relevance</w:t>
      </w:r>
      <w:r w:rsidRPr="006D78CC">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rPr>
          <w:rFonts w:ascii="Verdana" w:hAnsi="Verdana" w:eastAsia="Verdana" w:cs="Verdana"/>
          <w:sz w:val="20"/>
          <w:szCs w:val="20"/>
        </w:rPr>
        <w:t xml:space="preserve">. Groups with the same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rPr>
          <w:rFonts w:ascii="Verdana" w:hAnsi="Verdana" w:eastAsia="Verdana" w:cs="Verdana"/>
          <w:sz w:val="20"/>
          <w:szCs w:val="20"/>
        </w:rPr>
        <w:t xml:space="preserve"> can therefore have different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Likewise, the numerical meaning of </w:t>
      </w:r>
      <m:oMath>
        <m:r>
          <w:rPr>
            <w:rFonts w:ascii="Cambria Math" w:hAnsi="Cambria Math"/>
          </w:rPr>
          <m:t>λ</m:t>
        </m:r>
      </m:oMath>
      <w:r w:rsidRPr="006D78CC">
        <w:rPr>
          <w:rFonts w:ascii="Verdana" w:hAnsi="Verdana" w:eastAsia="Verdana" w:cs="Verdana"/>
          <w:sz w:val="20"/>
          <w:szCs w:val="20"/>
        </w:rPr>
        <w:t xml:space="preserve"> changes with the congestion measure: a coefficient multiplying average performance is not directly interchangeable with one multiplying average competitive relevance. When </w:t>
      </w:r>
      <m:oMath>
        <m:r>
          <w:rPr>
            <w:rFonts w:ascii="Cambria Math" w:hAnsi="Cambria Math"/>
          </w:rPr>
          <m:t>A</m:t>
        </m:r>
      </m:oMath>
      <w:r w:rsidRPr="006D78CC">
        <w:rPr>
          <w:rFonts w:ascii="Verdana" w:hAnsi="Verdana" w:eastAsia="Verdana" w:cs="Verdana"/>
          <w:sz w:val="20"/>
          <w:szCs w:val="20"/>
        </w:rPr>
        <w:t xml:space="preserve"> is standardized, </w:t>
      </w:r>
      <m:oMath>
        <m:r>
          <w:rPr>
            <w:rFonts w:ascii="Cambria Math" w:hAnsi="Cambria Math"/>
          </w:rPr>
          <m:t>λ</m:t>
        </m:r>
      </m:oMath>
      <w:r w:rsidRPr="006D78CC">
        <w:rPr>
          <w:rFonts w:ascii="Verdana" w:hAnsi="Verdana" w:eastAsia="Verdana" w:cs="Verdana"/>
          <w:sz w:val="20"/>
          <w:szCs w:val="20"/>
        </w:rPr>
        <w:t xml:space="preserve"> in the refined specification has units of standard deviations of performance per unit of mean competitive relevance.</w:t>
      </w:r>
    </w:p>
    <w:p w14:paraId="680084FF" w14:textId="2D29E77D" w:rsidR="00A40337" w:rsidRPr="00A40337" w:rsidRDefault="00A40337" w:rsidP="00A40337">
      <w:pPr>
        <w:rPr>
          <w:rFonts w:ascii="Verdana" w:hAnsi="Verdana" w:eastAsia="Verdana" w:cs="Verdana"/>
          <w:sz w:val="20"/>
          <w:szCs w:val="20"/>
        </w:rPr>
        <w:spacing w:line="480" w:lineRule="auto"/>
      </w:pPr>
      <w:r w:rsidRPr="00A40337">
        <w:rPr>
          <w:rFonts w:ascii="Verdana" w:hAnsi="Verdana" w:eastAsia="Verdana" w:cs="Verdana"/>
          <w:sz w:val="20"/>
          <w:szCs w:val="20"/>
        </w:rPr>
        <w:lastRenderedPageBreak/>
        <w:t xml:space="preserve">For finite performance values and finite positive </w:t>
      </w:r>
      <m:oMath>
        <m:r>
          <w:rPr>
            <w:rFonts w:ascii="Cambria Math" w:hAnsi="Cambria Math"/>
          </w:rPr>
          <m:t>γ</m:t>
        </m:r>
      </m:oMath>
      <w:r w:rsidRPr="00A40337">
        <w:rPr>
          <w:rFonts w:ascii="Verdana" w:hAnsi="Verdana" w:eastAsia="Verdana" w:cs="Verdana"/>
          <w:sz w:val="20"/>
          <w:szCs w:val="20"/>
        </w:rPr>
        <w:t xml:space="preserve">, each individual’s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A40337">
        <w:rPr>
          <w:rFonts w:ascii="Verdana" w:hAnsi="Verdana" w:eastAsia="Verdana" w:cs="Verdana"/>
          <w:sz w:val="20"/>
          <w:szCs w:val="20"/>
        </w:rPr>
        <w:t xml:space="preserve"> lies strictly between zero and one. The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A40337">
        <w:rPr>
          <w:rFonts w:ascii="Verdana" w:hAnsi="Verdana" w:eastAsia="Verdana" w:cs="Verdana"/>
          <w:sz w:val="20"/>
          <w:szCs w:val="20"/>
        </w:rPr>
        <w:t>, is the average of these values and therefore also lies strictly between zero and one.</w:t>
      </w:r>
    </w:p>
    <w:p w14:paraId="46A26107" w14:textId="77777777"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 xml:space="preserve">Unlike a count of competitors, roster pressure is normalized by the number of members in the group. It measures the </w:t>
      </w:r>
      <w:r w:rsidRPr="00720CC2">
        <w:rPr>
          <w:b/>
          <w:bCs/>
          <w:rFonts w:ascii="Verdana" w:hAnsi="Verdana" w:eastAsia="Verdana" w:cs="Verdana"/>
          <w:sz w:val="20"/>
          <w:szCs w:val="20"/>
        </w:rPr>
        <w:t>concentration of competitive relevance within the roster</w:t>
      </w:r>
      <w:r w:rsidRPr="00720CC2">
        <w:rPr>
          <w:rFonts w:ascii="Verdana" w:hAnsi="Verdana" w:eastAsia="Verdana" w:cs="Verdana"/>
          <w:sz w:val="20"/>
          <w:szCs w:val="20"/>
        </w:rPr>
        <w:t>, allowing groups of different sizes to be compared on the same scale. A larger group therefore does not receive a higher roster-pressure value merely because it contains more people.</w:t>
      </w:r>
    </w:p>
    <w:p w14:paraId="5E71154B" w14:textId="77777777"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334AD096" w14:textId="424959A4"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 xml:space="preserve">We also choose to include </w:t>
      </w:r>
      <w:r w:rsidRPr="00720CC2">
        <w:rPr>
          <w:b/>
          <w:bCs/>
          <w:rFonts w:ascii="Verdana" w:hAnsi="Verdana" w:eastAsia="Verdana" w:cs="Verdana"/>
          <w:sz w:val="20"/>
          <w:szCs w:val="20"/>
        </w:rPr>
        <w:t>every member of the group, including the focal individual</w:t>
      </w:r>
      <w:r w:rsidRPr="00720CC2">
        <w:rPr>
          <w:rFonts w:ascii="Verdana" w:hAnsi="Verdana" w:eastAsia="Verdana" w:cs="Verdana"/>
          <w:sz w:val="20"/>
          <w:szCs w:val="20"/>
        </w:rPr>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720CC2">
        <w:rPr>
          <w:rFonts w:ascii="Verdana" w:hAnsi="Verdana" w:eastAsia="Verdana" w:cs="Verdana"/>
          <w:sz w:val="20"/>
          <w:szCs w:val="20"/>
        </w:rPr>
        <w:t>. Compared with the initial leave-one-out specification, the refined measure changes both what we averag</w:t>
      </w:r>
      <w:r>
        <w:rPr>
          <w:rFonts w:ascii="Verdana" w:hAnsi="Verdana" w:eastAsia="Verdana" w:cs="Verdana"/>
          <w:sz w:val="20"/>
          <w:szCs w:val="20"/>
        </w:rPr>
        <w:t xml:space="preserve">e, </w:t>
      </w:r>
      <w:r w:rsidRPr="00720CC2">
        <w:rPr>
          <w:rFonts w:ascii="Verdana" w:hAnsi="Verdana" w:eastAsia="Verdana" w:cs="Verdana"/>
          <w:sz w:val="20"/>
          <w:szCs w:val="20"/>
        </w:rPr>
        <w:t>from performance to competitive relevanc</w:t>
      </w:r>
      <w:r>
        <w:rPr>
          <w:rFonts w:ascii="Verdana" w:hAnsi="Verdana" w:eastAsia="Verdana" w:cs="Verdana"/>
          <w:sz w:val="20"/>
          <w:szCs w:val="20"/>
        </w:rPr>
        <w:t xml:space="preserve">e, </w:t>
      </w:r>
      <w:r w:rsidRPr="00720CC2">
        <w:rPr>
          <w:rFonts w:ascii="Verdana" w:hAnsi="Verdana" w:eastAsia="Verdana" w:cs="Verdana"/>
          <w:sz w:val="20"/>
          <w:szCs w:val="20"/>
        </w:rPr>
        <w:t>and whom we include</w:t>
      </w:r>
      <w:r w:rsidR="00DC6ABB">
        <w:rPr>
          <w:rFonts w:ascii="Verdana" w:hAnsi="Verdana" w:eastAsia="Verdana" w:cs="Verdana"/>
          <w:sz w:val="20"/>
          <w:szCs w:val="20"/>
        </w:rPr>
        <w:t xml:space="preserve">, </w:t>
      </w:r>
      <w:r w:rsidRPr="00720CC2">
        <w:rPr>
          <w:rFonts w:ascii="Verdana" w:hAnsi="Verdana" w:eastAsia="Verdana" w:cs="Verdana"/>
          <w:sz w:val="20"/>
          <w:szCs w:val="20"/>
        </w:rPr>
        <w:t>from the other members to the entire group. It therefore describes shared roster pressure rather than pressure exerted exclusively by others.</w:t>
      </w:r>
    </w:p>
    <w:p w14:paraId="132D4D5A" w14:textId="2A349B97" w:rsidR="00CB3150" w:rsidRDefault="00720CC2" w:rsidP="006D78CC">
      <w:pPr>
        <w:rPr>
          <w:rFonts w:ascii="Verdana" w:hAnsi="Verdana" w:eastAsia="Verdana" w:cs="Verdana"/>
          <w:sz w:val="20"/>
          <w:szCs w:val="20"/>
        </w:rPr>
        <w:spacing w:line="480" w:lineRule="auto"/>
      </w:pPr>
      <w:r>
        <w:rPr>
          <w:rFonts w:ascii="Verdana" w:hAnsi="Verdana" w:eastAsia="Verdana" w:cs="Verdana"/>
          <w:sz w:val="20"/>
          <w:szCs w:val="20"/>
        </w:rPr>
        <w:t>Finally, t</w:t>
      </w:r>
      <w:r w:rsidRPr="00720CC2">
        <w:rPr>
          <w:rFonts w:ascii="Verdana" w:hAnsi="Verdana" w:eastAsia="Verdana" w:cs="Verdana"/>
          <w:sz w:val="20"/>
          <w:szCs w:val="20"/>
        </w:rPr>
        <w:t xml:space="preserve">he resulting congestion adjustment changes an individual’s standing in selection. A lower adjusted score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720CC2">
        <w:rPr>
          <w:rFonts w:ascii="Verdana" w:hAnsi="Verdana" w:eastAsia="Verdana" w:cs="Verdana"/>
          <w:sz w:val="20"/>
          <w:szCs w:val="20"/>
        </w:rPr>
        <w:t xml:space="preserve"> does not mean that the individual’s recorded performance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720CC2">
        <w:rPr>
          <w:rFonts w:ascii="Verdana" w:hAnsi="Verdana" w:eastAsia="Verdana" w:cs="Verdana"/>
          <w:sz w:val="20"/>
          <w:szCs w:val="20"/>
        </w:rPr>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rPr>
          <w:rFonts w:ascii="Verdana" w:hAnsi="Verdana" w:eastAsia="Verdana" w:cs="Verdana"/>
          <w:sz w:val="20"/>
          <w:szCs w:val="20"/>
        </w:rPr>
        <w:t>.</w:t>
      </w:r>
    </w:p>
    <w:p w14:paraId="4BFD3BC1" w14:textId="77777777" w:rsidR="00CB3150" w:rsidRDefault="00000000">
      <w:pPr>
        <w:rPr>
          <w:rFonts w:ascii="Verdana" w:hAnsi="Verdana" w:eastAsia="Verdana" w:cs="Verdana"/>
          <w:sz w:val="21"/>
          <w:szCs w:val="21"/>
          <w:b w:val="1"/>
          <w:bCs w:val="1"/>
        </w:rPr>
        <w:pStyle w:val="Heading2"/>
        <w:spacing w:line="240" w:lineRule="auto"/>
      </w:pPr>
      <w:bookmarkStart w:id="13" w:name="X6be0b98e308fb3b1e3a269c0b46a979e83043a9"/>
      <w:bookmarkEnd w:id="12"/>
      <w:r>
        <w:rPr>
          <w:rFonts w:ascii="Verdana" w:hAnsi="Verdana" w:eastAsia="Verdana" w:cs="Verdana"/>
          <w:sz w:val="21"/>
          <w:szCs w:val="21"/>
          <w:b w:val="1"/>
          <w:bCs w:val="1"/>
        </w:rPr>
        <w:t>4.4.4 How local composition changes global comparisons</w:t>
      </w:r>
    </w:p>
    <w:p w14:paraId="4CEA2E9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xml:space="preserve"> is shared by all group members, two members of the same group satisfy</w:t>
      </w:r>
    </w:p>
    <w:p w14:paraId="4F09F14E"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oMath>
      </m:oMathPara>
    </w:p>
    <w:p w14:paraId="4B7B1BBF" w14:textId="7F6D4A0C"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Their ordering by </w:t>
      </w:r>
      <m:oMath>
        <m:r>
          <w:rPr>
            <w:rFonts w:ascii="Cambria Math" w:hAnsi="Cambria Math"/>
          </w:rPr>
          <m:t>A</m:t>
        </m:r>
      </m:oMath>
      <w:r>
        <w:rPr>
          <w:rFonts w:ascii="Verdana" w:hAnsi="Verdana" w:eastAsia="Verdana" w:cs="Verdana"/>
          <w:sz w:val="20"/>
          <w:szCs w:val="20"/>
        </w:rPr>
        <w:t xml:space="preserve"> is preserved. Across different groups, however,</w:t>
      </w:r>
    </w:p>
    <w:p w14:paraId="4CE4432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r>
            <m:rPr>
              <m:sty m:val="p"/>
            </m:rPr>
            <w:rPr>
              <w:rFonts w:ascii="Cambria Math" w:hAnsi="Cambria Math"/>
            </w:rPr>
            <m:t>).</m:t>
          </m:r>
        </m:oMath>
      </m:oMathPara>
    </w:p>
    <w:p w14:paraId="6BF0338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candidate with a performance advantage can therefore have a lower adjusted score if their group has sufficiently greater congestion. For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oMath>
      <w:r>
        <w:rPr>
          <w:rFonts w:ascii="Verdana" w:hAnsi="Verdana" w:eastAsia="Verdana" w:cs="Verdana"/>
          <w:sz w:val="20"/>
          <w:szCs w:val="20"/>
        </w:rPr>
        <w:t>, the scores coincide at</w:t>
      </w:r>
    </w:p>
    <w:p w14:paraId="78F5F3D8" w14:textId="77777777" w:rsidR="00CB3150" w:rsidRDefault="00000000">
      <w:pPr>
        <w:pStyle w:val="BodyText"/>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num>
            <m:den>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den>
          </m:f>
          <m:r>
            <m:rPr>
              <m:sty m:val="p"/>
            </m:rPr>
            <w:rPr>
              <w:rFonts w:ascii="Cambria Math" w:hAnsi="Cambria Math"/>
            </w:rPr>
            <m:t>.</m:t>
          </m:r>
        </m:oMath>
      </m:oMathPara>
    </w:p>
    <w:p w14:paraId="0E98A706" w14:textId="5AF54C6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rPr>
          <m:t>K</m:t>
        </m:r>
      </m:oMath>
      <w:r>
        <w:rPr>
          <w:rFonts w:ascii="Verdana" w:hAnsi="Verdana" w:eastAsia="Verdana" w:cs="Verdana"/>
          <w:sz w:val="20"/>
          <w:szCs w:val="20"/>
        </w:rP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114C46E8" w14:textId="4C017FA1" w:rsidR="00CB3150" w:rsidRDefault="00DC6ABB">
      <w:pPr>
        <w:pStyle w:val="BodyText"/>
        <w:rPr>
          <w:rFonts w:ascii="Verdana" w:hAnsi="Verdana" w:eastAsia="Verdana" w:cs="Verdana"/>
          <w:sz w:val="20"/>
          <w:szCs w:val="20"/>
        </w:rPr>
        <w:spacing w:line="480" w:lineRule="auto"/>
      </w:pPr>
      <w:r w:rsidRPr="00DC6ABB">
        <w:rPr>
          <w:rFonts w:ascii="Verdana" w:hAnsi="Verdana" w:eastAsia="Verdana" w:cs="Verdana"/>
          <w:sz w:val="20"/>
          <w:szCs w:val="20"/>
        </w:rPr>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 The shared penalty therefore affects selection through comparisons across groups competing for common opportunities.</w:t>
      </w:r>
      <w:r w:rsidR="00FC6EE5">
        <w:rPr>
          <w:rFonts w:ascii="Verdana" w:hAnsi="Verdana" w:eastAsia="Verdana" w:cs="Verdana"/>
          <w:sz w:val="20"/>
          <w:szCs w:val="20"/>
        </w:rPr>
        <w:t xml:space="preserve">  A </w:t>
      </w:r>
      <w:r w:rsidR="00FC6EE5" w:rsidRPr="00FC6EE5">
        <w:rPr>
          <w:rFonts w:ascii="Verdana" w:hAnsi="Verdana" w:eastAsia="Verdana" w:cs="Verdana"/>
          <w:sz w:val="20"/>
          <w:szCs w:val="20"/>
        </w:rPr>
        <w:t>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3648EED3" w14:textId="77777777" w:rsidR="00CB3150" w:rsidRDefault="00000000">
      <w:pPr>
        <w:rPr>
          <w:rFonts w:ascii="Verdana" w:hAnsi="Verdana" w:eastAsia="Verdana" w:cs="Verdana"/>
          <w:sz w:val="28"/>
          <w:szCs w:val="28"/>
          <w:b w:val="1"/>
          <w:bCs w:val="1"/>
        </w:rPr>
        <w:pStyle w:val="Heading1"/>
        <w:spacing w:line="240" w:lineRule="auto"/>
      </w:pPr>
      <w:bookmarkStart w:id="14" w:name="X7a04dd235f4b61b299248b9776f1ec12743c145"/>
      <w:bookmarkEnd w:id="9"/>
      <w:bookmarkEnd w:id="13"/>
      <w:r>
        <w:rPr>
          <w:rFonts w:ascii="Verdana" w:hAnsi="Verdana" w:eastAsia="Verdana" w:cs="Verdana"/>
          <w:sz w:val="28"/>
          <w:szCs w:val="28"/>
          <w:b w:val="1"/>
          <w:bCs w:val="1"/>
        </w:rPr>
        <w:lastRenderedPageBreak/>
        <w:t>4.5 Mathematical behavior and parameter regimes</w:t>
      </w:r>
    </w:p>
    <w:p w14:paraId="26FEE580" w14:textId="551067B1" w:rsidR="00CB3150" w:rsidRDefault="0039309B">
      <w:pPr>
        <w:rPr>
          <w:rFonts w:ascii="Verdana" w:hAnsi="Verdana" w:eastAsia="Verdana" w:cs="Verdana"/>
          <w:sz w:val="20"/>
          <w:szCs w:val="20"/>
        </w:rPr>
        <w:spacing w:line="480" w:lineRule="auto"/>
      </w:pPr>
      <w:r>
        <w:rPr>
          <w:rFonts w:ascii="Verdana" w:hAnsi="Verdana" w:eastAsia="Verdana" w:cs="Verdana"/>
          <w:sz w:val="20"/>
          <w:szCs w:val="20"/>
        </w:rP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BB738F8" w14:textId="77777777" w:rsidR="00CB3150" w:rsidRDefault="00000000">
      <w:pPr>
        <w:rPr>
          <w:rFonts w:ascii="Verdana" w:hAnsi="Verdana" w:eastAsia="Verdana" w:cs="Verdana"/>
          <w:sz w:val="21"/>
          <w:szCs w:val="21"/>
          <w:b w:val="1"/>
          <w:bCs w:val="1"/>
        </w:rPr>
        <w:pStyle w:val="Heading2"/>
        <w:spacing w:line="240" w:lineRule="auto"/>
      </w:pPr>
      <w:bookmarkStart w:id="15" w:name="X6d651838145b13eafa5e51df11b757b7c1070b2"/>
      <w:r>
        <w:rPr>
          <w:rFonts w:ascii="Verdana" w:hAnsi="Verdana" w:eastAsia="Verdana" w:cs="Verdana"/>
          <w:sz w:val="21"/>
          <w:szCs w:val="21"/>
          <w:b w:val="1"/>
          <w:bCs w:val="1"/>
        </w:rPr>
        <w:t>4.5.1 Threshold location and transition sharpness</w:t>
      </w:r>
    </w:p>
    <w:p w14:paraId="5F1130EC" w14:textId="12A5520F" w:rsidR="00CB3150" w:rsidRDefault="0039309B">
      <w:pPr>
        <w:rPr>
          <w:rFonts w:ascii="Verdana" w:hAnsi="Verdana" w:eastAsia="Verdana" w:cs="Verdana"/>
          <w:sz w:val="20"/>
          <w:szCs w:val="20"/>
        </w:rPr>
        <w:spacing w:line="480" w:lineRule="auto"/>
      </w:pPr>
      <w:r>
        <w:rPr>
          <w:rFonts w:ascii="Verdana" w:hAnsi="Verdana" w:eastAsia="Verdana" w:cs="Verdana"/>
          <w:sz w:val="20"/>
          <w:szCs w:val="20"/>
        </w:rPr>
        <w:t xml:space="preserve">The threshold </w:t>
      </w:r>
      <m:oMath>
        <m:r>
          <w:rPr>
            <w:rFonts w:ascii="Cambria Math" w:hAnsi="Cambria Math"/>
          </w:rPr>
          <m:t>θ</m:t>
        </m:r>
      </m:oMath>
      <w:r>
        <w:rPr>
          <w:rFonts w:ascii="Verdana" w:hAnsi="Verdana" w:eastAsia="Verdana" w:cs="Verdana"/>
          <w:sz w:val="20"/>
          <w:szCs w:val="20"/>
        </w:rPr>
        <w:t xml:space="preserve"> determines where performance becomes competitively relevant, while </w:t>
      </w:r>
      <m:oMath>
        <m:r>
          <w:rPr>
            <w:rFonts w:ascii="Cambria Math" w:hAnsi="Cambria Math"/>
          </w:rPr>
          <m:t>γ</m:t>
        </m:r>
      </m:oMath>
      <w:r>
        <w:rPr>
          <w:rFonts w:ascii="Verdana" w:hAnsi="Verdana" w:eastAsia="Verdana" w:cs="Verdana"/>
          <w:sz w:val="20"/>
          <w:szCs w:val="20"/>
        </w:rP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with respect to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holding </w:t>
      </w:r>
      <m:oMath>
        <m:r>
          <w:rPr>
            <w:rFonts w:ascii="Cambria Math" w:hAnsi="Cambria Math"/>
          </w:rPr>
          <m:t>θ</m:t>
        </m:r>
      </m:oMath>
      <w:r>
        <w:rPr>
          <w:rFonts w:ascii="Verdana" w:hAnsi="Verdana" w:eastAsia="Verdana" w:cs="Verdana"/>
          <w:sz w:val="20"/>
          <w:szCs w:val="20"/>
        </w:rPr>
        <w:t xml:space="preserve"> and </w:t>
      </w:r>
      <m:oMath>
        <m:r>
          <w:rPr>
            <w:rFonts w:ascii="Cambria Math" w:hAnsi="Cambria Math"/>
          </w:rPr>
          <m:t>γ</m:t>
        </m:r>
      </m:oMath>
      <w:r>
        <w:rPr>
          <w:rFonts w:ascii="Verdana" w:hAnsi="Verdana" w:eastAsia="Verdana" w:cs="Verdana"/>
          <w:sz w:val="20"/>
          <w:szCs w:val="20"/>
        </w:rPr>
        <w:t xml:space="preserve"> fixed:</w:t>
      </w:r>
    </w:p>
    <w:p w14:paraId="62CD8A0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Start with our definition of competitive relevance:</w:t>
      </w:r>
    </w:p>
    <w:p w14:paraId="02356E24" w14:textId="25222F98"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en>
          </m:f>
          <m:r>
            <w:rPr>
              <w:rFonts w:ascii="Cambria Math" w:eastAsia="Times New Roman" w:hAnsi="Cambria Math" w:cs="Times New Roman"/>
              <w:color w:val="auto"/>
              <w:szCs w:val="24"/>
            </w:rPr>
            <m:t>.</m:t>
          </m:r>
        </m:oMath>
      </m:oMathPara>
    </w:p>
    <w:p w14:paraId="56CEF9A6" w14:textId="569EFF84"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We want to know </w:t>
      </w:r>
      <w:r w:rsidRPr="00C5784C">
        <w:rPr>
          <w:rFonts w:ascii="Verdana" w:hAnsi="Verdana" w:eastAsia="Verdana" w:cs="Verdana"/>
          <w:b/>
          <w:bCs/>
          <w:color w:val="auto"/>
          <w:szCs w:val="20"/>
          <w:sz w:val="20"/>
        </w:rPr>
        <w:t>how rapidly competitive relevance changes as an individual’s performance increases</w:t>
      </w:r>
      <w:r w:rsidRPr="00C5784C">
        <w:rPr>
          <w:rFonts w:ascii="Verdana" w:hAnsi="Verdana" w:eastAsia="Verdana" w:cs="Verdana"/>
          <w:color w:val="auto"/>
          <w:szCs w:val="20"/>
          <w:sz w:val="20"/>
        </w:rPr>
        <w:t xml:space="preserve">, holding the threshold </w:t>
      </w:r>
      <m:oMath>
        <m:r>
          <w:rPr>
            <w:rFonts w:ascii="Cambria Math" w:eastAsia="Times New Roman" w:hAnsi="Cambria Math" w:cs="Times New Roman"/>
            <w:color w:val="auto"/>
            <w:szCs w:val="24"/>
          </w:rPr>
          <m:t>θ</m:t>
        </m:r>
      </m:oMath>
      <w:r w:rsidRPr="00C5784C">
        <w:rPr>
          <w:rFonts w:ascii="Verdana" w:hAnsi="Verdana" w:eastAsia="Verdana" w:cs="Verdana"/>
          <w:color w:val="auto"/>
          <w:szCs w:val="20"/>
          <w:sz w:val="20"/>
        </w:rPr>
        <w:t xml:space="preserve"> and sharpness parameter </w:t>
      </w:r>
      <m:oMath>
        <m:r>
          <w:rPr>
            <w:rFonts w:ascii="Cambria Math" w:eastAsia="Times New Roman" w:hAnsi="Cambria Math" w:cs="Times New Roman"/>
            <w:color w:val="auto"/>
            <w:szCs w:val="24"/>
          </w:rPr>
          <m:t>γ</m:t>
        </m:r>
      </m:oMath>
      <w:r w:rsidRPr="00C5784C">
        <w:rPr>
          <w:rFonts w:ascii="Verdana" w:hAnsi="Verdana" w:eastAsia="Verdana" w:cs="Verdana"/>
          <w:color w:val="auto"/>
          <w:szCs w:val="20"/>
          <w:sz w:val="20"/>
        </w:rPr>
        <w:t xml:space="preserve"> fixed.</w:t>
      </w:r>
    </w:p>
    <w:p w14:paraId="5D4C3357" w14:textId="3AE2F5B1"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First, </w:t>
      </w:r>
      <w:r w:rsidR="0011686D">
        <w:rPr>
          <w:rFonts w:ascii="Verdana" w:hAnsi="Verdana" w:eastAsia="Verdana" w:cs="Verdana"/>
          <w:color w:val="auto"/>
          <w:szCs w:val="20"/>
          <w:sz w:val="20"/>
        </w:rPr>
        <w:t>re</w:t>
      </w:r>
      <w:r w:rsidRPr="00C5784C">
        <w:rPr>
          <w:rFonts w:ascii="Verdana" w:hAnsi="Verdana" w:eastAsia="Verdana" w:cs="Verdana"/>
          <w:color w:val="auto"/>
          <w:szCs w:val="20"/>
          <w:sz w:val="20"/>
        </w:rPr>
        <w:t>write the denominator as a negative power:</w:t>
      </w:r>
    </w:p>
    <w:p w14:paraId="4F5A7FE0" w14:textId="6F054235"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-1</m:t>
              </m:r>
            </m:sup>
          </m:sSup>
          <m:r>
            <w:rPr>
              <w:rFonts w:ascii="Cambria Math" w:eastAsia="Times New Roman" w:hAnsi="Cambria Math" w:cs="Times New Roman"/>
              <w:color w:val="auto"/>
              <w:szCs w:val="24"/>
            </w:rPr>
            <m:t>.</m:t>
          </m:r>
        </m:oMath>
      </m:oMathPara>
    </w:p>
    <w:p w14:paraId="5DE8841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Applying the chain rule gives</w:t>
      </w:r>
    </w:p>
    <w:p w14:paraId="3C20971D" w14:textId="7B9BAC4B"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e>
          </m:d>
          <m:r>
            <w:rPr>
              <w:rFonts w:ascii="Cambria Math" w:eastAsia="Times New Roman" w:hAnsi="Cambria Math" w:cs="Times New Roman"/>
              <w:color w:val="auto"/>
              <w:szCs w:val="24"/>
            </w:rPr>
            <m:t>.</m:t>
          </m:r>
        </m:oMath>
      </m:oMathPara>
    </w:p>
    <w:p w14:paraId="4951F9D1" w14:textId="7F9CA3DB"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T</w:t>
      </w:r>
      <w:r w:rsidR="0011686D">
        <w:rPr>
          <w:rFonts w:ascii="Verdana" w:hAnsi="Verdana" w:eastAsia="Verdana" w:cs="Verdana"/>
          <w:color w:val="auto"/>
          <w:szCs w:val="20"/>
          <w:sz w:val="20"/>
        </w:rPr>
        <w:t>his reduces to</w:t>
      </w:r>
    </w:p>
    <w:p w14:paraId="68E9AF4C" w14:textId="4095B4D5"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γ</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den>
          </m:f>
          <m:r>
            <w:rPr>
              <w:rFonts w:ascii="Cambria Math" w:eastAsia="Times New Roman" w:hAnsi="Cambria Math" w:cs="Times New Roman"/>
              <w:color w:val="auto"/>
              <w:szCs w:val="24"/>
            </w:rPr>
            <m:t>.</m:t>
          </m:r>
        </m:oMath>
      </m:oMathPara>
    </w:p>
    <w:p w14:paraId="67F6F7C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To express this in terms of competitive relevance itself, observe that</w:t>
      </w:r>
    </w:p>
    <w:p w14:paraId="088CB98F" w14:textId="55E8594E"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Cs w:val="24"/>
            </w:rPr>
            <w:lastRenderedPageBreak/>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en>
          </m:f>
          <m:r>
            <w:rPr>
              <w:rFonts w:ascii="Cambria Math" w:eastAsia="Times New Roman" w:hAnsi="Cambria Math" w:cs="Times New Roman"/>
              <w:i/>
              <w:color w:val="auto"/>
              <w:szCs w:val="24"/>
            </w:rPr>
            <m:t> </m:t>
          </m:r>
          <m:r>
            <w:rPr>
              <w:rFonts w:ascii="Cambria Math" w:eastAsia="Times New Roman" w:hAnsi="Cambria Math" w:cs="Times New Roman"/>
              <w:color w:val="auto"/>
              <w:szCs w:val="24"/>
            </w:rPr>
            <m:t>.</m:t>
          </m:r>
        </m:oMath>
      </m:oMathPara>
    </w:p>
    <w:p w14:paraId="19B746C5"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Consequently,</w:t>
      </w:r>
    </w:p>
    <w:p w14:paraId="2722A04D" w14:textId="46F134AC"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den>
          </m:f>
          <m:r>
            <w:rPr>
              <w:rFonts w:ascii="Cambria Math" w:eastAsia="Times New Roman" w:hAnsi="Cambria Math" w:cs="Times New Roman"/>
              <w:i/>
              <w:color w:val="auto"/>
              <w:szCs w:val="24"/>
            </w:rPr>
            <m:t> </m:t>
          </m:r>
          <m:r>
            <w:rPr>
              <w:rFonts w:ascii="Cambria Math" w:eastAsia="Times New Roman" w:hAnsi="Cambria Math" w:cs="Times New Roman"/>
              <w:color w:val="auto"/>
              <w:szCs w:val="24"/>
            </w:rPr>
            <m:t>,</m:t>
          </m:r>
        </m:oMath>
      </m:oMathPara>
    </w:p>
    <w:p w14:paraId="766C6E4E" w14:textId="72E8CC44"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so </w:t>
      </w:r>
      <w:r w:rsidR="008D4320">
        <w:rPr>
          <w:rFonts w:ascii="Verdana" w:hAnsi="Verdana" w:eastAsia="Verdana" w:cs="Verdana"/>
          <w:color w:val="auto"/>
          <w:szCs w:val="20"/>
          <w:sz w:val="20"/>
        </w:rPr>
        <w:t xml:space="preserve">we can simplify </w:t>
      </w:r>
      <w:r w:rsidRPr="00C5784C">
        <w:rPr>
          <w:rFonts w:ascii="Verdana" w:hAnsi="Verdana" w:eastAsia="Verdana" w:cs="Verdana"/>
          <w:color w:val="auto"/>
          <w:szCs w:val="20"/>
          <w:sz w:val="20"/>
        </w:rPr>
        <w:t>the derivative to</w:t>
      </w:r>
    </w:p>
    <w:p w14:paraId="38D0995A" w14:textId="5D381175"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Cs w:val="24"/>
                </w:rPr>
              </m:ctrlPr>
            </m:borderBoxPr>
            <m:e>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=γ</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e>
          </m:borderBox>
        </m:oMath>
      </m:oMathPara>
    </w:p>
    <w:p w14:paraId="3597E4A4" w14:textId="2EF75F2B"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b/>
          <w:bCs/>
          <w:color w:val="auto"/>
          <w:szCs w:val="20"/>
          <w:sz w:val="20"/>
        </w:rPr>
        <w:t>This also explains why the response is strongest at the threshold.</w:t>
      </w:r>
      <w:r w:rsidRPr="00C5784C">
        <w:rPr>
          <w:rFonts w:ascii="Verdana" w:hAnsi="Verdana" w:eastAsia="Verdana" w:cs="Verdana"/>
          <w:color w:val="auto"/>
          <w:szCs w:val="20"/>
          <w:sz w:val="20"/>
        </w:rPr>
        <w:t xml:space="preserve"> The product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oMath>
      <w:r w:rsidRPr="00C5784C">
        <w:rPr>
          <w:rFonts w:ascii="Verdana" w:hAnsi="Verdana" w:eastAsia="Verdana" w:cs="Verdana"/>
          <w:color w:val="auto"/>
          <w:szCs w:val="20"/>
          <w:sz w:val="20"/>
        </w:rPr>
        <w:t xml:space="preserve"> is largest at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2</m:t>
            </m:r>
          </m:den>
        </m:f>
      </m:oMath>
      <w:r w:rsidRPr="00C5784C">
        <w:rPr>
          <w:rFonts w:ascii="Verdana" w:hAnsi="Verdana" w:eastAsia="Verdana" w:cs="Verdana"/>
          <w:color w:val="auto"/>
          <w:szCs w:val="20"/>
          <w:sz w:val="20"/>
        </w:rPr>
        <w:t>, as we can see by writing</w:t>
      </w:r>
    </w:p>
    <w:p w14:paraId="50C6332E" w14:textId="121EFC05" w:rsidR="009701B6" w:rsidRDefault="00000000" w:rsidP="00C5784C">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4</m:t>
              </m:r>
            </m:den>
          </m:f>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2</m:t>
                      </m:r>
                    </m:den>
                  </m:f>
                </m:e>
              </m:d>
            </m:e>
            <m:sup>
              <m:r>
                <w:rPr>
                  <w:rFonts w:ascii="Cambria Math" w:eastAsia="Times New Roman" w:hAnsi="Cambria Math" w:cs="Times New Roman"/>
                  <w:color w:val="auto"/>
                  <w:szCs w:val="24"/>
                </w:rPr>
                <m:t>2</m:t>
              </m:r>
            </m:sup>
          </m:sSup>
          <m:r>
            <m:rPr>
              <m:sty m:val="p"/>
            </m:rPr>
            <w:rPr>
              <w:rFonts w:eastAsia="Times New Roman" w:cs="Times New Roman"/>
              <w:color w:val="auto"/>
              <w:szCs w:val="24"/>
            </w:rPr>
            <w:br/>
          </m:r>
        </m:oMath>
      </m:oMathPara>
    </w:p>
    <w:p w14:paraId="4BC4C149" w14:textId="7F328932" w:rsidR="00CB3150" w:rsidRDefault="00521087" w:rsidP="00C5784C">
      <w:pPr>
        <w:rPr>
          <w:rFonts w:ascii="Verdana" w:hAnsi="Verdana" w:eastAsia="Verdana" w:cs="Verdana"/>
          <w:sz w:val="20"/>
          <w:szCs w:val="20"/>
        </w:rPr>
        <w:spacing w:line="480" w:lineRule="auto"/>
      </w:pPr>
      <w:r>
        <w:rPr>
          <w:rFonts w:ascii="Verdana" w:hAnsi="Verdana" w:eastAsia="Verdana" w:cs="Verdana"/>
          <w:sz w:val="20"/>
          <w:szCs w:val="20"/>
        </w:rPr>
        <w:t xml:space="preserve">This derivative measures how rapidly competitive relevance changes as performance increases. It is largest when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rPr>
          <w:rFonts w:ascii="Verdana" w:hAnsi="Verdana" w:eastAsia="Verdana" w:cs="Verdana"/>
          <w:sz w:val="20"/>
          <w:szCs w:val="20"/>
        </w:rPr>
        <w:t xml:space="preserve">, which occurs at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rPr>
          <w:rFonts w:ascii="Verdana" w:hAnsi="Verdana" w:eastAsia="Verdana" w:cs="Verdana"/>
          <w:sz w:val="20"/>
          <w:szCs w:val="20"/>
        </w:rPr>
        <w:t xml:space="preserve">, and its value there is </w:t>
      </w:r>
      <m:oMath>
        <m:r>
          <w:rPr>
            <w:rFonts w:ascii="Cambria Math" w:hAnsi="Cambria Math"/>
          </w:rPr>
          <m:t>γ/4</m:t>
        </m:r>
      </m:oMath>
      <w:r>
        <w:rPr>
          <w:rFonts w:ascii="Verdana" w:hAnsi="Verdana" w:eastAsia="Verdana" w:cs="Verdana"/>
          <w:sz w:val="20"/>
          <w:szCs w:val="20"/>
        </w:rPr>
        <w:t xml:space="preserve">. Thus, the same small performance increase matters most for someone near the threshold. Far below or above it, relevance changes relatively little because it is already close to zero or one.  </w:t>
      </w:r>
    </w:p>
    <w:p w14:paraId="62B29751" w14:textId="617BF051" w:rsid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We can also hold everyone’s performance fixed and change </w:t>
      </w:r>
      <m:oMath>
        <m:r>
          <w:rPr>
            <w:rFonts w:ascii="Cambria Math" w:hAnsi="Cambria Math"/>
          </w:rPr>
          <m:t>γ</m:t>
        </m:r>
      </m:oMath>
      <w:r w:rsidRPr="00521087">
        <w:rPr>
          <w:rFonts w:ascii="Verdana" w:hAnsi="Verdana" w:eastAsia="Verdana" w:cs="Verdana"/>
          <w:sz w:val="20"/>
          <w:szCs w:val="20"/>
        </w:rPr>
        <w:t xml:space="preserve">. Increasing </w:t>
      </w:r>
      <m:oMath>
        <m:r>
          <w:rPr>
            <w:rFonts w:ascii="Cambria Math" w:hAnsi="Cambria Math"/>
          </w:rPr>
          <m:t>γ</m:t>
        </m:r>
      </m:oMath>
      <w:r w:rsidRPr="00521087">
        <w:rPr>
          <w:rFonts w:ascii="Verdana" w:hAnsi="Verdana" w:eastAsia="Verdana" w:cs="Verdana"/>
          <w:sz w:val="20"/>
          <w:szCs w:val="20"/>
        </w:rPr>
        <w:t xml:space="preserve"> makes the distinction around </w:t>
      </w:r>
      <m:oMath>
        <m:r>
          <w:rPr>
            <w:rFonts w:ascii="Cambria Math" w:hAnsi="Cambria Math"/>
          </w:rPr>
          <m:t>θ</m:t>
        </m:r>
      </m:oMath>
      <w:r w:rsidRPr="00521087">
        <w:rPr>
          <w:rFonts w:ascii="Verdana" w:hAnsi="Verdana" w:eastAsia="Verdana" w:cs="Verdana"/>
          <w:sz w:val="20"/>
          <w:szCs w:val="20"/>
        </w:rPr>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rPr>
          <m:t>γ</m:t>
        </m:r>
      </m:oMath>
      <w:r w:rsidRPr="00521087">
        <w:rPr>
          <w:rFonts w:ascii="Verdana" w:hAnsi="Verdana" w:eastAsia="Verdana" w:cs="Verdana"/>
          <w:sz w:val="20"/>
          <w:szCs w:val="20"/>
        </w:rPr>
        <w:t xml:space="preserve"> can raise or lower its average competitive relevance. The direction depends on the performances of its members.</w:t>
      </w:r>
      <w:r w:rsidR="00927B5E">
        <w:rPr>
          <w:rFonts w:ascii="Verdana" w:hAnsi="Verdana" w:eastAsia="Verdana" w:cs="Verdana"/>
          <w:sz w:val="20"/>
          <w:szCs w:val="20"/>
        </w:rPr>
        <w:t xml:space="preserve">  </w:t>
      </w:r>
      <w:r w:rsidR="00927B5E">
        <w:rPr>
          <w:rFonts w:ascii="Verdana" w:hAnsi="Verdana" w:eastAsia="Verdana" w:cs="Verdana"/>
          <w:sz w:val="20"/>
          <w:szCs w:val="20"/>
        </w:rPr>
        <w:fldChar w:fldCharType="begin"/>
      </w:r>
      <w:r w:rsidR="00927B5E">
        <w:rPr>
          <w:rFonts w:ascii="Verdana" w:hAnsi="Verdana" w:eastAsia="Verdana" w:cs="Verdana"/>
          <w:sz w:val="20"/>
          <w:szCs w:val="20"/>
        </w:rPr>
        <w:instrText xml:space="preserve"> REF _Ref242720681 \h </w:instrText>
      </w:r>
      <w:r w:rsidR="00927B5E">
        <w:rPr>
          <w:rFonts w:ascii="Verdana" w:hAnsi="Verdana" w:eastAsia="Verdana" w:cs="Verdana"/>
          <w:sz w:val="20"/>
          <w:szCs w:val="20"/>
        </w:rPr>
        <w:fldChar w:fldCharType="separate"/>
      </w:r>
      <w:r w:rsidR="005E5BEF">
        <w:rPr>
          <w:rFonts w:ascii="Verdana" w:hAnsi="Verdana" w:eastAsia="Verdana" w:cs="Verdana"/>
          <w:sz w:val="20"/>
          <w:szCs w:val="20"/>
        </w:rPr>
        <w:t>Figure 4-1</w:t>
      </w:r>
      <w:r w:rsidR="005E5BEF">
        <w:rPr>
          <w:rFonts w:ascii="Verdana" w:hAnsi="Verdana" w:eastAsia="Verdana" w:cs="Verdana"/>
          <w:sz w:val="20"/>
          <w:szCs w:val="20"/>
        </w:rPr>
        <w:noBreakHyphen/>
      </w:r>
      <w:r w:rsidR="00927B5E">
        <w:rPr>
          <w:rFonts w:ascii="Verdana" w:hAnsi="Verdana" w:eastAsia="Verdana" w:cs="Verdana"/>
          <w:sz w:val="20"/>
          <w:szCs w:val="20"/>
        </w:rPr>
        <w:fldChar w:fldCharType="end"/>
      </w:r>
      <w:r w:rsidR="00927B5E">
        <w:rPr>
          <w:rFonts w:ascii="Verdana" w:hAnsi="Verdana" w:eastAsia="Verdana" w:cs="Verdana"/>
          <w:sz w:val="20"/>
          <w:szCs w:val="20"/>
        </w:rPr>
        <w:t xml:space="preserve"> illustrates these two roles separately. In Panel A, increasing </w:t>
      </w:r>
      <m:oMath>
        <m:r>
          <w:rPr>
            <w:rFonts w:ascii="Cambria Math" w:hAnsi="Cambria Math"/>
          </w:rPr>
          <m:t>γ</m:t>
        </m:r>
      </m:oMath>
      <w:r w:rsidR="007D3748">
        <w:rPr>
          <w:rFonts w:ascii="Verdana" w:hAnsi="Verdana" w:eastAsia="Verdana" w:cs="Verdana"/>
          <w:sz w:val="20"/>
          <w:szCs w:val="20"/>
        </w:rPr>
        <w:t xml:space="preserve"> </w:t>
      </w:r>
      <w:r w:rsidR="00927B5E">
        <w:rPr>
          <w:rFonts w:ascii="Verdana" w:hAnsi="Verdana" w:eastAsia="Verdana" w:cs="Verdana"/>
          <w:sz w:val="20"/>
          <w:szCs w:val="20"/>
        </w:rPr>
        <w:t xml:space="preserve">sharpens the transition around a fixed threshold. In Panel B, changing </w:t>
      </w:r>
      <m:oMath>
        <m:r>
          <w:rPr>
            <w:rFonts w:ascii="Cambria Math" w:hAnsi="Cambria Math"/>
          </w:rPr>
          <m:t>θ</m:t>
        </m:r>
      </m:oMath>
      <w:r w:rsidR="00927B5E">
        <w:rPr>
          <w:rFonts w:ascii="Verdana" w:hAnsi="Verdana" w:eastAsia="Verdana" w:cs="Verdana"/>
          <w:sz w:val="20"/>
          <w:szCs w:val="20"/>
        </w:rPr>
        <w:t xml:space="preserve"> moves the transition along the performance axis. Every curve reaches competitive relevance of one half at its threshold.</w:t>
      </w:r>
    </w:p>
    <w:p w14:paraId="429C528F" w14:textId="77777777" w:rsidR="00927B5E" w:rsidRDefault="00927B5E" w:rsidP="00E21165">
      <w:pPr>
        <w:keepNext/>
        <w:pStyle w:val="Illustration"/>
        <w:jc w:val="center"/>
        <w:ind w:left="0" w:right="0" w:firstLine="0"/>
        <w:spacing w:line="240" w:lineRule="auto"/>
      </w:pPr>
      <w:r>
        <w:rPr>
          <w:noProof/>
        </w:rPr>
        <w:lastRenderedPageBreak/>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943600" cy="2846070"/>
                    </a:xfrm>
                    <a:prstGeom prst="rect">
                      <a:avLst/>
                    </a:prstGeom>
                  </pic:spPr>
                </pic:pic>
              </a:graphicData>
            </a:graphic>
          </wp:inline>
        </w:drawing>
      </w:r>
    </w:p>
    <w:p w14:paraId="1DBE6738" w14:textId="0A9D5AE3" w:rsidR="00927B5E" w:rsidRPr="00521087" w:rsidRDefault="00927B5E" w:rsidP="00E21165">
      <w:pPr>
        <w:pStyle w:val="Caption"/>
        <w:spacing w:line="240" w:lineRule="auto"/>
        <w:rPr>
          <w:rFonts w:ascii="Trebuchet MS" w:hAnsi="Trebuchet MS" w:eastAsia="Trebuchet MS" w:cs="Trebuchet MS"/>
          <w:sz w:val="18"/>
          <w:szCs w:val="18"/>
          <w:b w:val="0"/>
          <w:bCs w:val="0"/>
        </w:rPr>
      </w:pPr>
      <w:bookmarkStart w:id="16" w:name="Chapter4Figure1"/>
      <w:bookmarkStart w:id="17" w:name="_Ref242720681"/>
      <w:bookmarkStart w:id="18" w:name="_Ref242772765"/>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1</w:t>
        </w:r>
      </w:fldSimple>
      <w:bookmarkEnd w:id="16"/>
      <w:bookmarkEnd w:id="17"/>
      <w:bookmarkEnd w:id="18"/>
      <w:r>
        <w:rPr/>
        <w:t xml:space="preserve">. </w:t>
      </w:r>
      <w:r w:rsidRPr="00E21165">
        <w:rPr>
          <w:b w:val="1"/>
          <w:bCs w:val="1"/>
          <w:rFonts w:ascii="Trebuchet MS" w:hAnsi="Trebuchet MS" w:eastAsia="Trebuchet MS" w:cs="Trebuchet MS"/>
          <w:sz w:val="18"/>
          <w:szCs w:val="18"/>
          <w:rStyle w:val="CaptionTitle"/>
        </w:rPr>
        <w:t xml:space="preserve">Threshold location and transition sharpness</w:t>
      </w:r>
      <w:r>
        <w:rPr>
          <w:rFonts w:ascii="Trebuchet MS" w:hAnsi="Trebuchet MS" w:eastAsia="Trebuchet MS" w:cs="Trebuchet MS"/>
          <w:sz w:val="18"/>
          <w:szCs w:val="18"/>
        </w:rPr>
        <w:t xml:space="preserve"> -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Trebuchet MS" w:hAnsi="Trebuchet MS" w:eastAsia="Trebuchet MS" w:cs="Trebuchet MS"/>
          <w:sz w:val="18"/>
          <w:szCs w:val="18"/>
        </w:rPr>
        <w:t xml:space="preserve"> is plotted against individual performance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Trebuchet MS" w:hAnsi="Trebuchet MS" w:eastAsia="Trebuchet MS" w:cs="Trebuchet MS"/>
          <w:sz w:val="18"/>
          <w:szCs w:val="18"/>
        </w:rPr>
        <w:t xml:space="preserve">. Panel A holds </w:t>
      </w:r>
      <m:oMath>
        <m:r>
          <w:rPr>
            <w:rFonts w:ascii="Cambria Math" w:hAnsi="Cambria Math"/>
          </w:rPr>
          <m:t>θ=0</m:t>
        </m:r>
      </m:oMath>
      <w:r>
        <w:rPr>
          <w:rFonts w:ascii="Trebuchet MS" w:hAnsi="Trebuchet MS" w:eastAsia="Trebuchet MS" w:cs="Trebuchet MS"/>
          <w:sz w:val="18"/>
          <w:szCs w:val="18"/>
        </w:rPr>
        <w:t xml:space="preserve"> and compares </w:t>
      </w:r>
      <m:oMath>
        <m:r>
          <w:rPr>
            <w:rFonts w:ascii="Cambria Math" w:hAnsi="Cambria Math"/>
          </w:rPr>
          <m:t>γ=0.5,2,</m:t>
        </m:r>
      </m:oMath>
      <w:r>
        <w:rPr>
          <w:rFonts w:ascii="Trebuchet MS" w:hAnsi="Trebuchet MS" w:eastAsia="Trebuchet MS" w:cs="Trebuchet MS"/>
          <w:sz w:val="18"/>
          <w:szCs w:val="18"/>
        </w:rPr>
        <w:t xml:space="preserve"> and </w:t>
      </w:r>
      <m:oMath>
        <m:r>
          <w:rPr>
            <w:rFonts w:ascii="Cambria Math" w:hAnsi="Cambria Math"/>
          </w:rPr>
          <m:t>8</m:t>
        </m:r>
      </m:oMath>
      <w:r>
        <w:rPr>
          <w:rFonts w:ascii="Trebuchet MS" w:hAnsi="Trebuchet MS" w:eastAsia="Trebuchet MS" w:cs="Trebuchet MS"/>
          <w:sz w:val="18"/>
          <w:szCs w:val="18"/>
        </w:rPr>
        <w:t xml:space="preserve">. Panel B holds </w:t>
      </w:r>
      <m:oMath>
        <m:r>
          <w:rPr>
            <w:rFonts w:ascii="Cambria Math" w:hAnsi="Cambria Math"/>
          </w:rPr>
          <m:t>γ=2</m:t>
        </m:r>
      </m:oMath>
      <w:r>
        <w:rPr>
          <w:rFonts w:ascii="Trebuchet MS" w:hAnsi="Trebuchet MS" w:eastAsia="Trebuchet MS" w:cs="Trebuchet MS"/>
          <w:sz w:val="18"/>
          <w:szCs w:val="18"/>
        </w:rPr>
        <w:t xml:space="preserve"> and compares </w:t>
      </w:r>
      <m:oMath>
        <m:r>
          <w:rPr>
            <w:rFonts w:ascii="Cambria Math" w:hAnsi="Cambria Math"/>
          </w:rPr>
          <m:t>θ=-1,0,</m:t>
        </m:r>
      </m:oMath>
      <w:r>
        <w:rPr>
          <w:rFonts w:ascii="Trebuchet MS" w:hAnsi="Trebuchet MS" w:eastAsia="Trebuchet MS" w:cs="Trebuchet MS"/>
          <w:sz w:val="18"/>
          <w:szCs w:val="18"/>
        </w:rPr>
        <w:t xml:space="preserve"> and </w:t>
      </w:r>
      <m:oMath>
        <m:r>
          <w:rPr>
            <w:rFonts w:ascii="Cambria Math" w:hAnsi="Cambria Math"/>
          </w:rPr>
          <m:t>1</m:t>
        </m:r>
      </m:oMath>
      <w:r>
        <w:rPr>
          <w:rFonts w:ascii="Trebuchet MS" w:hAnsi="Trebuchet MS" w:eastAsia="Trebuchet MS" w:cs="Trebuchet MS"/>
          <w:sz w:val="18"/>
          <w:szCs w:val="18"/>
        </w:rPr>
        <w:t xml:space="preserve">. The marked points identify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rPr>
          <w:rFonts w:ascii="Trebuchet MS" w:hAnsi="Trebuchet MS" w:eastAsia="Trebuchet MS" w:cs="Trebuchet MS"/>
          <w:sz w:val="18"/>
          <w:szCs w:val="18"/>
        </w:rPr>
        <w:t xml:space="preserve">, where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rPr>
          <w:rFonts w:ascii="Trebuchet MS" w:hAnsi="Trebuchet MS" w:eastAsia="Trebuchet MS" w:cs="Trebuchet MS"/>
          <w:sz w:val="18"/>
          <w:szCs w:val="18"/>
        </w:rPr>
        <w:t>. These illustrative curves describe competitive relevance, not selection probabilities.</w:t>
      </w:r>
    </w:p>
    <w:p w14:paraId="7863F974" w14:textId="1676B400"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The limiting cases clarify what this parameter does. As </w:t>
      </w:r>
      <m:oMath>
        <m:r>
          <w:rPr>
            <w:rFonts w:ascii="Cambria Math" w:hAnsi="Cambria Math"/>
          </w:rPr>
          <m:t>γ</m:t>
        </m:r>
      </m:oMath>
      <w:r w:rsidRPr="00521087">
        <w:rPr>
          <w:rFonts w:ascii="Verdana" w:hAnsi="Verdana" w:eastAsia="Verdana" w:cs="Verdana"/>
          <w:sz w:val="20"/>
          <w:szCs w:val="20"/>
        </w:rPr>
        <w:t xml:space="preserve"> approaches zero, with performance values and </w:t>
      </w:r>
      <m:oMath>
        <m:r>
          <w:rPr>
            <w:rFonts w:ascii="Cambria Math" w:hAnsi="Cambria Math"/>
          </w:rPr>
          <m:t>θ</m:t>
        </m:r>
      </m:oMath>
      <w:r w:rsidRPr="00521087">
        <w:rPr>
          <w:rFonts w:ascii="Verdana" w:hAnsi="Verdana" w:eastAsia="Verdana" w:cs="Verdana"/>
          <w:sz w:val="20"/>
          <w:szCs w:val="20"/>
        </w:rPr>
        <w:t xml:space="preserve"> held fixed, every individual’s competitive relevance approaches one half. Consequently, every group’s congestion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521087">
        <w:rPr>
          <w:rFonts w:ascii="Verdana" w:hAnsi="Verdana" w:eastAsia="Verdana" w:cs="Verdana"/>
          <w:sz w:val="20"/>
          <w:szCs w:val="20"/>
        </w:rPr>
        <w:t xml:space="preserve"> approaches one half, and every individual receives the same score penalty, </w:t>
      </w:r>
      <m:oMath>
        <m:r>
          <w:rPr>
            <w:rFonts w:ascii="Cambria Math" w:hAnsi="Cambria Math"/>
          </w:rPr>
          <m:t>λ/2</m:t>
        </m:r>
      </m:oMath>
      <w:r w:rsidRPr="00521087">
        <w:rPr>
          <w:rFonts w:ascii="Verdana" w:hAnsi="Verdana" w:eastAsia="Verdana" w:cs="Verdana"/>
          <w:sz w:val="20"/>
          <w:szCs w:val="20"/>
        </w:rPr>
        <w:t>. Subtracting this common amount preserves all score differences. Both deterministic rankings and stochastic selection probabilities therefore approach those obtained from performance-only scoring.</w:t>
      </w:r>
    </w:p>
    <w:p w14:paraId="2E65E116" w14:textId="6095C9C4"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As </w:t>
      </w:r>
      <m:oMath>
        <m:r>
          <w:rPr>
            <w:rFonts w:ascii="Cambria Math" w:hAnsi="Cambria Math"/>
          </w:rPr>
          <m:t>γ</m:t>
        </m:r>
      </m:oMath>
      <w:r w:rsidRPr="00521087">
        <w:rPr>
          <w:rFonts w:ascii="Verdana" w:hAnsi="Verdana" w:eastAsia="Verdana" w:cs="Verdana"/>
          <w:sz w:val="20"/>
          <w:szCs w:val="20"/>
        </w:rPr>
        <w:t xml:space="preserve"> becomes very large, the sigmoid approaches a sharp threshold rule. Individuals above </w:t>
      </w:r>
      <m:oMath>
        <m:r>
          <w:rPr>
            <w:rFonts w:ascii="Cambria Math" w:hAnsi="Cambria Math"/>
          </w:rPr>
          <m:t>θ</m:t>
        </m:r>
      </m:oMath>
      <w:r w:rsidRPr="00521087">
        <w:rPr>
          <w:rFonts w:ascii="Verdana" w:hAnsi="Verdana" w:eastAsia="Verdana" w:cs="Verdana"/>
          <w:sz w:val="20"/>
          <w:szCs w:val="20"/>
        </w:rPr>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1578CBE8" w14:textId="46813A19"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Changing </w:t>
      </w:r>
      <m:oMath>
        <m:r>
          <w:rPr>
            <w:rFonts w:ascii="Cambria Math" w:hAnsi="Cambria Math"/>
          </w:rPr>
          <m:t>θ</m:t>
        </m:r>
      </m:oMath>
      <w:r w:rsidRPr="00521087">
        <w:rPr>
          <w:rFonts w:ascii="Verdana" w:hAnsi="Verdana" w:eastAsia="Verdana" w:cs="Verdana"/>
          <w:sz w:val="20"/>
          <w:szCs w:val="20"/>
        </w:rPr>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rPr>
          <w:rFonts w:ascii="Verdana" w:hAnsi="Verdana" w:eastAsia="Verdana" w:cs="Verdana"/>
          <w:sz w:val="20"/>
          <w:szCs w:val="20"/>
        </w:rPr>
        <w:t xml:space="preserve">, and thus </w:t>
      </w:r>
      <w:r w:rsidRPr="00521087">
        <w:rPr>
          <w:rFonts w:ascii="Verdana" w:hAnsi="Verdana" w:eastAsia="Verdana" w:cs="Verdana"/>
          <w:sz w:val="20"/>
          <w:szCs w:val="20"/>
        </w:rPr>
        <w:t>group congestion</w:t>
      </w:r>
      <w:r w:rsidR="0051183D">
        <w:rPr>
          <w:rFonts w:ascii="Verdana" w:hAnsi="Verdana" w:eastAsia="Verdana" w:cs="Verdana"/>
          <w:sz w:val="20"/>
          <w:szCs w:val="20"/>
        </w:rPr>
        <w:t xml:space="preserve">, </w:t>
      </w:r>
      <w:r w:rsidRPr="00521087">
        <w:rPr>
          <w:rFonts w:ascii="Verdana" w:hAnsi="Verdana" w:eastAsia="Verdana" w:cs="Verdana"/>
          <w:sz w:val="20"/>
          <w:szCs w:val="20"/>
        </w:rPr>
        <w:t xml:space="preserve">are instead close to zero. In either case, at a fixed finite </w:t>
      </w:r>
      <m:oMath>
        <m:r>
          <w:rPr>
            <w:rFonts w:ascii="Cambria Math" w:hAnsi="Cambria Math"/>
          </w:rPr>
          <m:t>λ</m:t>
        </m:r>
      </m:oMath>
      <w:r w:rsidRPr="00521087">
        <w:rPr>
          <w:rFonts w:ascii="Verdana" w:hAnsi="Verdana" w:eastAsia="Verdana" w:cs="Verdana"/>
          <w:sz w:val="20"/>
          <w:szCs w:val="20"/>
        </w:rPr>
        <w:t>, the resulting penalties become nearly identical across groups.</w:t>
      </w:r>
    </w:p>
    <w:p w14:paraId="3A3AA004" w14:textId="085BF3A3" w:rsidR="00CB3150" w:rsidRDefault="00521087" w:rsidP="00C5784C">
      <w:pPr>
        <w:rPr>
          <w:rFonts w:ascii="Verdana" w:hAnsi="Verdana" w:eastAsia="Verdana" w:cs="Verdana"/>
          <w:sz w:val="20"/>
          <w:szCs w:val="20"/>
        </w:rPr>
        <w:spacing w:line="480" w:lineRule="auto"/>
      </w:pPr>
      <w:r w:rsidRPr="00521087">
        <w:rPr>
          <w:rFonts w:ascii="Verdana" w:hAnsi="Verdana" w:eastAsia="Verdana" w:cs="Verdana"/>
          <w:sz w:val="20"/>
          <w:szCs w:val="20"/>
        </w:rPr>
        <w:t xml:space="preserve">These results follow directly from the equations. They show that a positive penalty coefficient alone is insufficient to change competitive standing: congestion must also differ across groups. </w:t>
      </w:r>
      <w:r w:rsidRPr="00521087">
        <w:rPr>
          <w:rFonts w:ascii="Verdana" w:hAnsi="Verdana" w:eastAsia="Verdana" w:cs="Verdana"/>
          <w:sz w:val="20"/>
          <w:szCs w:val="20"/>
        </w:rPr>
        <w:lastRenderedPageBreak/>
        <w:t>Even then, changing score differences need not change the deterministic winners; the adjustment must affect who falls above or below the selection cutoff.</w:t>
      </w:r>
    </w:p>
    <w:p w14:paraId="761990F7" w14:textId="77777777" w:rsidR="00CB3150" w:rsidRDefault="00000000">
      <w:pPr>
        <w:rPr>
          <w:rFonts w:ascii="Verdana" w:hAnsi="Verdana" w:eastAsia="Verdana" w:cs="Verdana"/>
          <w:sz w:val="21"/>
          <w:szCs w:val="21"/>
          <w:b w:val="1"/>
          <w:bCs w:val="1"/>
        </w:rPr>
        <w:pStyle w:val="Heading2"/>
        <w:spacing w:line="240" w:lineRule="auto"/>
      </w:pPr>
      <w:bookmarkStart w:id="19" w:name="penalty-strength-and-score-scale"/>
      <w:bookmarkEnd w:id="15"/>
      <w:r>
        <w:rPr>
          <w:rFonts w:ascii="Verdana" w:hAnsi="Verdana" w:eastAsia="Verdana" w:cs="Verdana"/>
          <w:sz w:val="21"/>
          <w:szCs w:val="21"/>
          <w:b w:val="1"/>
          <w:bCs w:val="1"/>
        </w:rPr>
        <w:t>4.5.2 Penalty strength and score scale</w:t>
      </w:r>
    </w:p>
    <w:p w14:paraId="4DDB59E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w:t>
      </w:r>
      <m:oMath>
        <m:r>
          <w:rPr>
            <w:rFonts w:ascii="Cambria Math" w:hAnsi="Cambria Math"/>
          </w:rPr>
          <m:t>λ</m:t>
        </m:r>
        <m:r>
          <m:rPr>
            <m:sty m:val="p"/>
          </m:rPr>
          <w:rPr>
            <w:rFonts w:ascii="Cambria Math" w:hAnsi="Cambria Math"/>
          </w:rPr>
          <m:t>&gt;</m:t>
        </m:r>
        <m:r>
          <w:rPr>
            <w:rFonts w:ascii="Cambria Math" w:hAnsi="Cambria Math"/>
          </w:rPr>
          <m:t>0</m:t>
        </m:r>
      </m:oMath>
      <w:r>
        <w:rPr>
          <w:rFonts w:ascii="Verdana" w:hAnsi="Verdana" w:eastAsia="Verdana" w:cs="Verdana"/>
          <w:sz w:val="20"/>
          <w:szCs w:val="20"/>
        </w:rPr>
        <w:t xml:space="preserve">, the raw penalty on any candidate lies strictly between zero and </w:t>
      </w:r>
      <m:oMath>
        <m:r>
          <w:rPr>
            <w:rFonts w:ascii="Cambria Math" w:hAnsi="Cambria Math"/>
          </w:rPr>
          <m:t>λ</m:t>
        </m:r>
      </m:oMath>
      <w:r>
        <w:rPr>
          <w:rFonts w:ascii="Verdana" w:hAnsi="Verdana" w:eastAsia="Verdana" w:cs="Verdana"/>
          <w:sz w:val="20"/>
          <w:szCs w:val="20"/>
        </w:rPr>
        <w:t xml:space="preserve">, and a cross-group penalty difference has magnitude less than </w:t>
      </w:r>
      <m:oMath>
        <m:r>
          <w:rPr>
            <w:rFonts w:ascii="Cambria Math" w:hAnsi="Cambria Math"/>
          </w:rPr>
          <m:t>λ</m:t>
        </m:r>
      </m:oMath>
      <w:r>
        <w:rPr>
          <w:rFonts w:ascii="Verdana" w:hAnsi="Verdana" w:eastAsia="Verdana" w:cs="Verdana"/>
          <w:sz w:val="20"/>
          <w:szCs w:val="20"/>
        </w:rPr>
        <w:t xml:space="preserve">. At </w:t>
      </w:r>
      <m:oMath>
        <m:r>
          <w:rPr>
            <w:rFonts w:ascii="Cambria Math" w:hAnsi="Cambria Math"/>
          </w:rPr>
          <m:t>λ</m:t>
        </m:r>
      </m:oMath>
      <w:r>
        <w:rPr>
          <w:rFonts w:ascii="Verdana" w:hAnsi="Verdana" w:eastAsia="Verdana" w:cs="Verdana"/>
          <w:sz w:val="20"/>
          <w:szCs w:val="20"/>
        </w:rPr>
        <w:t xml:space="preserve"> = 0, both quantities are zero. Thus a performance advantage greater than </w:t>
      </w:r>
      <m:oMath>
        <m:r>
          <w:rPr>
            <w:rFonts w:ascii="Cambria Math" w:hAnsi="Cambria Math"/>
          </w:rPr>
          <m:t>λ</m:t>
        </m:r>
      </m:oMath>
      <w:r>
        <w:rPr>
          <w:rFonts w:ascii="Verdana" w:hAnsi="Verdana" w:eastAsia="Verdana" w:cs="Verdana"/>
          <w:sz w:val="20"/>
          <w:szCs w:val="20"/>
        </w:rPr>
        <w:t xml:space="preserve"> cannot be reversed by this raw congestion term alone. The practical influence of </w:t>
      </w:r>
      <m:oMath>
        <m:r>
          <w:rPr>
            <w:rFonts w:ascii="Cambria Math" w:hAnsi="Cambria Math"/>
          </w:rPr>
          <m:t>λ</m:t>
        </m:r>
      </m:oMath>
      <w:r>
        <w:rPr>
          <w:rFonts w:ascii="Verdana" w:hAnsi="Verdana" w:eastAsia="Verdana" w:cs="Verdana"/>
          <w:sz w:val="20"/>
          <w:szCs w:val="20"/>
        </w:rPr>
        <w:t xml:space="preserve"> also depends on the observed spread of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If all groups have nearly equal congestion, the differential penalty may be small even when its common level is large.</w:t>
      </w:r>
    </w:p>
    <w:p w14:paraId="05B0F030" w14:textId="4C121358" w:rsidR="00927B5E"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For a fixed population, fixed groups, and a fixed threshold, each score is linear in </w:t>
      </w:r>
      <m:oMath>
        <m:r>
          <w:rPr>
            <w:rFonts w:ascii="Cambria Math" w:hAnsi="Cambria Math"/>
          </w:rPr>
          <m:t>λ</m:t>
        </m:r>
      </m:oMath>
      <w:r>
        <w:rPr>
          <w:rFonts w:ascii="Verdana" w:hAnsi="Verdana" w:eastAsia="Verdana" w:cs="Verdana"/>
          <w:sz w:val="20"/>
          <w:szCs w:val="20"/>
        </w:rPr>
        <w:t>. Pairwise rankings can change only at crossing values of the form derived in Section 4.4.4. Between crossing values, deterministic top-</w:t>
      </w:r>
      <m:oMath>
        <m:r>
          <w:rPr>
            <w:rFonts w:ascii="Cambria Math" w:hAnsi="Cambria Math"/>
          </w:rPr>
          <m:t>K</m:t>
        </m:r>
      </m:oMath>
      <w:r>
        <w:rPr>
          <w:rFonts w:ascii="Verdana" w:hAnsi="Verdana" w:eastAsia="Verdana" w:cs="Verdana"/>
          <w:sz w:val="20"/>
          <w:szCs w:val="20"/>
        </w:rP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rPr>
          <w:rFonts w:ascii="Verdana" w:hAnsi="Verdana" w:eastAsia="Verdana" w:cs="Verdana"/>
          <w:sz w:val="20"/>
          <w:szCs w:val="20"/>
        </w:rPr>
        <w:t xml:space="preserve">  </w:t>
      </w:r>
      <w:r w:rsidR="007E58FD">
        <w:rPr>
          <w:rFonts w:ascii="Verdana" w:hAnsi="Verdana" w:eastAsia="Verdana" w:cs="Verdana"/>
          <w:sz w:val="20"/>
          <w:szCs w:val="20"/>
        </w:rPr>
        <w:fldChar w:fldCharType="begin"/>
      </w:r>
      <w:r w:rsidR="007E58FD">
        <w:rPr>
          <w:rFonts w:ascii="Verdana" w:hAnsi="Verdana" w:eastAsia="Verdana" w:cs="Verdana"/>
          <w:sz w:val="20"/>
          <w:szCs w:val="20"/>
        </w:rPr>
        <w:instrText xml:space="preserve"> REF _Ref242721199 \h </w:instrText>
      </w:r>
      <w:r w:rsidR="007E58FD">
        <w:rPr>
          <w:rFonts w:ascii="Verdana" w:hAnsi="Verdana" w:eastAsia="Verdana" w:cs="Verdana"/>
          <w:sz w:val="20"/>
          <w:szCs w:val="20"/>
        </w:rPr>
        <w:fldChar w:fldCharType="separate"/>
      </w:r>
      <w:r w:rsidR="005E5BEF">
        <w:rPr>
          <w:rFonts w:ascii="Verdana" w:hAnsi="Verdana" w:eastAsia="Verdana" w:cs="Verdana"/>
          <w:sz w:val="20"/>
          <w:szCs w:val="20"/>
        </w:rPr>
        <w:t>Figure 4-2</w:t>
      </w:r>
      <w:r w:rsidR="005E5BEF">
        <w:rPr>
          <w:rFonts w:ascii="Verdana" w:hAnsi="Verdana" w:eastAsia="Verdana" w:cs="Verdana"/>
          <w:sz w:val="20"/>
          <w:szCs w:val="20"/>
        </w:rPr>
        <w:noBreakHyphen/>
      </w:r>
      <w:r w:rsidR="007E58FD">
        <w:rPr>
          <w:rFonts w:ascii="Verdana" w:hAnsi="Verdana" w:eastAsia="Verdana" w:cs="Verdana"/>
          <w:sz w:val="20"/>
          <w:szCs w:val="20"/>
        </w:rPr>
        <w:fldChar w:fldCharType="end"/>
      </w:r>
      <w:r w:rsidR="00BD0C74">
        <w:rPr>
          <w:rFonts w:ascii="Verdana" w:hAnsi="Verdana" w:eastAsia="Verdana" w:cs="Verdana"/>
          <w:sz w:val="20"/>
          <w:szCs w:val="20"/>
        </w:rPr>
        <w:t xml:space="preserve"> follows nine individuals in three fixed groups as </w:t>
      </w:r>
      <m:oMath>
        <m:r>
          <w:rPr>
            <w:rFonts w:ascii="Cambria Math" w:hAnsi="Cambria Math"/>
          </w:rPr>
          <m:t>λ</m:t>
        </m:r>
      </m:oMath>
      <w:r w:rsidR="00BD0C74">
        <w:rPr>
          <w:rFonts w:ascii="Verdana" w:hAnsi="Verdana" w:eastAsia="Verdana" w:cs="Verdana"/>
          <w:sz w:val="20"/>
          <w:szCs w:val="20"/>
        </w:rPr>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437A7524" w14:textId="1E6A3CF3" w:rsidR="00BD0C74" w:rsidRDefault="00927B5E" w:rsidP="00E21165">
      <w:pPr>
        <w:pStyle w:val="Illustration"/>
        <w:keepNext/>
        <w:jc w:val="center"/>
        <w:ind w:left="0" w:right="0" w:firstLine="0"/>
        <w:spacing w:line="240" w:lineRule="auto"/>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4B82967A" w14:textId="79EF0475" w:rsidR="00927B5E" w:rsidRDefault="00BD0C74" w:rsidP="00E21165">
      <w:pPr>
        <w:pStyle w:val="Caption"/>
        <w:spacing w:line="240" w:lineRule="auto"/>
        <w:rPr>
          <w:rFonts w:ascii="Trebuchet MS" w:hAnsi="Trebuchet MS" w:eastAsia="Trebuchet MS" w:cs="Trebuchet MS"/>
          <w:sz w:val="18"/>
          <w:szCs w:val="18"/>
          <w:b w:val="0"/>
          <w:bCs w:val="0"/>
        </w:rPr>
      </w:pPr>
      <w:bookmarkStart w:id="20" w:name="Chapter4Figure2"/>
      <w:bookmarkStart w:id="21" w:name="_Ref242721199"/>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2</w:t>
        </w:r>
      </w:fldSimple>
      <w:bookmarkEnd w:id="20"/>
      <w:bookmarkEnd w:id="21"/>
      <w:r>
        <w:rPr/>
        <w:t xml:space="preserve">. </w:t>
      </w:r>
      <w:r w:rsidRPr="007D56E8">
        <w:rPr/>
        <w:t xml:space="preserve"> </w:t>
      </w:r>
      <w:r w:rsidRPr="00E21165">
        <w:rPr>
          <w:b w:val="1"/>
          <w:bCs w:val="1"/>
          <w:rFonts w:ascii="Trebuchet MS" w:hAnsi="Trebuchet MS" w:eastAsia="Trebuchet MS" w:cs="Trebuchet MS"/>
          <w:sz w:val="18"/>
          <w:szCs w:val="18"/>
          <w:rStyle w:val="CaptionTitle"/>
        </w:rPr>
        <w:t xml:space="preserve">Continuous score changes and discrete changes in selection.</w:t>
      </w:r>
      <w:r>
        <w:rPr>
          <w:b/>
          <w:bCs w:val="0"/>
          <w:rStyle w:val="CaptionTitle"/>
        </w:rPr>
        <w:t xml:space="preserve"> </w:t>
      </w:r>
      <w:r>
        <w:rPr>
          <w:rFonts w:ascii="Trebuchet MS" w:hAnsi="Trebuchet MS" w:eastAsia="Trebuchet MS" w:cs="Trebuchet MS"/>
          <w:sz w:val="18"/>
          <w:szCs w:val="18"/>
        </w:rPr>
        <w:t xml:space="preserve">Nine illustrative individuals belong to three groups of three. Competitive relevance is calculated using </w:t>
      </w:r>
      <m:oMath>
        <m:r>
          <w:rPr>
            <w:rFonts w:ascii="Cambria Math" w:hAnsi="Cambria Math"/>
          </w:rPr>
          <m:t>θ=1</m:t>
        </m:r>
      </m:oMath>
      <w:r>
        <w:rPr>
          <w:rFonts w:ascii="Trebuchet MS" w:hAnsi="Trebuchet MS" w:eastAsia="Trebuchet MS" w:cs="Trebuchet MS"/>
          <w:sz w:val="18"/>
          <w:szCs w:val="18"/>
        </w:rPr>
        <w:t xml:space="preserve"> and </w:t>
      </w:r>
      <m:oMath>
        <m:r>
          <w:rPr>
            <w:rFonts w:ascii="Cambria Math" w:hAnsi="Cambria Math"/>
          </w:rPr>
          <m:t>γ=2</m:t>
        </m:r>
      </m:oMath>
      <w:r>
        <w:rPr>
          <w:rFonts w:ascii="Trebuchet MS" w:hAnsi="Trebuchet MS" w:eastAsia="Trebuchet MS" w:cs="Trebuchet MS"/>
          <w:sz w:val="18"/>
          <w:szCs w:val="18"/>
        </w:rPr>
        <w:t xml:space="preserve">, and each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rebuchet MS" w:hAnsi="Trebuchet MS" w:eastAsia="Trebuchet MS" w:cs="Trebuchet MS"/>
          <w:sz w:val="18"/>
          <w:szCs w:val="18"/>
        </w:rPr>
        <w:t xml:space="preserve"> is the mean relevance of all its members. Performance, membership, and roster pressure remain fixed while </w:t>
      </w:r>
      <m:oMath>
        <m:r>
          <w:rPr>
            <w:rFonts w:ascii="Cambria Math" w:hAnsi="Cambria Math"/>
          </w:rPr>
          <m:t>λ</m:t>
        </m:r>
      </m:oMath>
      <w:r>
        <w:rPr>
          <w:rFonts w:ascii="Trebuchet MS" w:hAnsi="Trebuchet MS" w:eastAsia="Trebuchet MS" w:cs="Trebuchet MS"/>
          <w:sz w:val="18"/>
          <w:szCs w:val="18"/>
        </w:rPr>
        <w:t xml:space="preserve"> varies. Panel A plots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oMath>
      <w:r>
        <w:rPr>
          <w:rFonts w:ascii="Trebuchet MS" w:hAnsi="Trebuchet MS" w:eastAsia="Trebuchet MS" w:cs="Trebuchet MS"/>
          <w:sz w:val="18"/>
          <w:szCs w:val="18"/>
        </w:rPr>
        <w:t xml:space="preserve">; colors identify groups, and bold segments identify the global top three. Panel B records selection membership. At </w:t>
      </w:r>
      <m:oMath>
        <m:r>
          <w:rPr>
            <w:rFonts w:ascii="Cambria Math" w:hAnsi="Cambria Math"/>
          </w:rPr>
          <m:t>λ≈0.336</m:t>
        </m:r>
      </m:oMath>
      <w:r>
        <w:rPr>
          <w:rFonts w:ascii="Trebuchet MS" w:hAnsi="Trebuchet MS" w:eastAsia="Trebuchet MS" w:cs="Trebuchet MS"/>
          <w:sz w:val="18"/>
          <w:szCs w:val="18"/>
        </w:rPr>
        <w:t xml:space="preserve">, P7 replaces P2. At </w:t>
      </w:r>
      <m:oMath>
        <m:r>
          <w:rPr>
            <w:rFonts w:ascii="Cambria Math" w:hAnsi="Cambria Math"/>
          </w:rPr>
          <m:t>λ≈0.617</m:t>
        </m:r>
      </m:oMath>
      <w:r>
        <w:rPr>
          <w:rFonts w:ascii="Trebuchet MS" w:hAnsi="Trebuchet MS" w:eastAsia="Trebuchet MS" w:cs="Trebuchet MS"/>
          <w:sz w:val="18"/>
          <w:szCs w:val="18"/>
        </w:rPr>
        <w:t>, P4 overtakes P1, but both remain selected. Exact ties favor the lower person number. Inputs are illustrative, not fitted estimates.</w:t>
      </w:r>
    </w:p>
    <w:p w14:paraId="4963B8E0" w14:textId="77777777" w:rsidR="00143374" w:rsidRPr="00143374" w:rsidRDefault="00143374" w:rsidP="00C5784C"/>
    <w:p w14:paraId="0628DEF5" w14:textId="710C5086"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Here we account for </w:t>
      </w:r>
      <w:r w:rsidRPr="0064739C">
        <w:rPr>
          <w:b/>
          <w:bCs/>
          <w:rFonts w:ascii="Verdana" w:hAnsi="Verdana" w:eastAsia="Verdana" w:cs="Verdana"/>
          <w:sz w:val="20"/>
          <w:szCs w:val="20"/>
        </w:rPr>
        <w:t xml:space="preserve">two things changing when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b/>
          <w:bCs/>
          <w:rFonts w:ascii="Verdana" w:hAnsi="Verdana" w:eastAsia="Verdana" w:cs="Verdana"/>
          <w:sz w:val="20"/>
          <w:szCs w:val="20"/>
        </w:rPr>
        <w:t xml:space="preserve"> increases</w:t>
      </w:r>
      <w:r w:rsidRPr="0064739C">
        <w:rPr>
          <w:rFonts w:ascii="Verdana" w:hAnsi="Verdana" w:eastAsia="Verdana" w:cs="Verdana"/>
          <w:sz w:val="20"/>
          <w:szCs w:val="20"/>
        </w:rPr>
        <w:t>: the individual’s own performance term rises, and their competitive relevance raises the group’s shared roster pressure.</w:t>
      </w:r>
    </w:p>
    <w:p w14:paraId="68FE0C78" w14:textId="18FCC32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Let </w:t>
      </w:r>
      <m:oMath>
        <m:r>
          <w:rPr>
            <w:rFonts w:ascii="Cambria Math" w:hAnsi="Cambria Math"/>
          </w:rPr>
          <m:t>j=g</m:t>
        </m:r>
        <m:d>
          <m:dPr>
            <m:ctrlPr>
              <w:rPr>
                <w:rFonts w:ascii="Cambria Math" w:hAnsi="Cambria Math"/>
              </w:rPr>
            </m:ctrlPr>
          </m:dPr>
          <m:e>
            <m:r>
              <w:rPr>
                <w:rFonts w:ascii="Cambria Math" w:hAnsi="Cambria Math"/>
              </w:rPr>
              <m:t>i</m:t>
            </m:r>
          </m:e>
        </m:d>
      </m:oMath>
      <w:r w:rsidRPr="0064739C">
        <w:rPr>
          <w:rFonts w:ascii="Verdana" w:hAnsi="Verdana" w:eastAsia="Verdana" w:cs="Verdana"/>
          <w:sz w:val="20"/>
          <w:szCs w:val="20"/>
        </w:rPr>
        <w:t xml:space="preserve"> denote individual </w:t>
      </w:r>
      <m:oMath>
        <m:r>
          <w:rPr>
            <w:rFonts w:ascii="Cambria Math" w:hAnsi="Cambria Math"/>
          </w:rPr>
          <m:t>i</m:t>
        </m:r>
      </m:oMath>
      <w:r w:rsidRPr="0064739C">
        <w:rPr>
          <w:rFonts w:ascii="Verdana" w:hAnsi="Verdana" w:eastAsia="Verdana" w:cs="Verdana"/>
          <w:sz w:val="20"/>
          <w:szCs w:val="20"/>
        </w:rPr>
        <w:t xml:space="preserve">’s group,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4739C">
        <w:rPr>
          <w:rFonts w:ascii="Verdana" w:hAnsi="Verdana" w:eastAsia="Verdana" w:cs="Verdana"/>
          <w:sz w:val="20"/>
          <w:szCs w:val="20"/>
        </w:rPr>
        <w:t xml:space="preserve"> members. Our score is</w:t>
      </w:r>
    </w:p>
    <w:p w14:paraId="75314745" w14:textId="272B8038"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oMath>
      </m:oMathPara>
    </w:p>
    <w:p w14:paraId="7E882B55"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where</w:t>
      </w:r>
    </w:p>
    <w:p w14:paraId="48F35317" w14:textId="239BCD7E" w:rsidR="0064739C" w:rsidRPr="0064739C" w:rsidRDefault="00000000" w:rsidP="0064739C">
      <w:pPr>
        <w:pStyle w:val="BodyText"/>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sup>
              </m:sSup>
            </m:den>
          </m:f>
          <m:r>
            <w:rPr>
              <w:rFonts w:ascii="Cambria Math" w:hAnsi="Cambria Math"/>
            </w:rPr>
            <m:t>.</m:t>
          </m:r>
        </m:oMath>
      </m:oMathPara>
    </w:p>
    <w:p w14:paraId="39C772E5" w14:textId="1EFD5ED1"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We hold group membership, the other members’ performances, and </w:t>
      </w:r>
      <m:oMath>
        <m:r>
          <w:rPr>
            <w:rFonts w:ascii="Cambria Math" w:hAnsi="Cambria Math"/>
          </w:rPr>
          <m:t>λ,γ,θ</m:t>
        </m:r>
      </m:oMath>
      <w:r w:rsidRPr="0064739C">
        <w:rPr>
          <w:rFonts w:ascii="Verdana" w:hAnsi="Verdana" w:eastAsia="Verdana" w:cs="Verdana"/>
          <w:sz w:val="20"/>
          <w:szCs w:val="20"/>
        </w:rPr>
        <w:t xml:space="preserve"> fixed. In particular, </w:t>
      </w:r>
      <w:r w:rsidRPr="0064739C">
        <w:rPr>
          <w:b/>
          <w:bCs/>
          <w:rFonts w:ascii="Verdana" w:hAnsi="Verdana" w:eastAsia="Verdana" w:cs="Verdana"/>
          <w:sz w:val="20"/>
          <w:szCs w:val="20"/>
        </w:rPr>
        <w:t xml:space="preserve">we do not recalculate the threshold as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b/>
          <w:bCs/>
          <w:rFonts w:ascii="Verdana" w:hAnsi="Verdana" w:eastAsia="Verdana" w:cs="Verdana"/>
          <w:sz w:val="20"/>
          <w:szCs w:val="20"/>
        </w:rPr>
        <w:t xml:space="preserve"> changes</w:t>
      </w:r>
      <w:r w:rsidRPr="0064739C">
        <w:rPr>
          <w:rFonts w:ascii="Verdana" w:hAnsi="Verdana" w:eastAsia="Verdana" w:cs="Verdana"/>
          <w:sz w:val="20"/>
          <w:szCs w:val="20"/>
        </w:rPr>
        <w:t>.</w:t>
      </w:r>
    </w:p>
    <w:p w14:paraId="338F975B"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First, separate the focal individual’s competitive relevance from everyone else’s:</w:t>
      </w:r>
    </w:p>
    <w:p w14:paraId="26AE4192" w14:textId="2C586838"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j</m:t>
                  </m:r>
                </m:sub>
              </m:sSub>
            </m:den>
          </m:f>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nary>
                <m:naryPr>
                  <m:chr m:val="∑"/>
                  <m:limLoc m:val="undOvr"/>
                  <m:supHide m:val="1"/>
                  <m:ctrlPr>
                    <w:rPr>
                      <w:rFonts w:ascii="Cambria Math" w:hAnsi="Cambria Math"/>
                    </w:rPr>
                  </m:ctrlPr>
                </m:naryPr>
                <m:sub>
                  <m:eqArr>
                    <m:eqArrPr>
                      <m:ctrlPr>
                        <w:rPr>
                          <w:rFonts w:ascii="Cambria Math" w:hAnsi="Cambria Math"/>
                        </w:rPr>
                      </m:ctrlPr>
                    </m:eqArrPr>
                    <m:e>
                      <m:r>
                        <w:rPr>
                          <w:rFonts w:ascii="Cambria Math" w:hAnsi="Cambria Math"/>
                        </w:rPr>
                        <m:t>h∈j</m:t>
                      </m:r>
                    </m:e>
                    <m:e>
                      <m:r>
                        <w:rPr>
                          <w:rFonts w:ascii="Cambria Math" w:hAnsi="Cambria Math"/>
                        </w:rPr>
                        <m:t>h≠i</m:t>
                      </m:r>
                    </m:e>
                  </m:eqArr>
                </m:sub>
                <m:sup/>
                <m:e>
                  <m:sSub>
                    <m:sSubPr>
                      <m:ctrlPr>
                        <w:rPr>
                          <w:rFonts w:ascii="Cambria Math" w:hAnsi="Cambria Math"/>
                        </w:rPr>
                      </m:ctrlPr>
                    </m:sSubPr>
                    <m:e>
                      <m:r>
                        <w:rPr>
                          <w:rFonts w:ascii="Cambria Math" w:hAnsi="Cambria Math"/>
                        </w:rPr>
                        <m:t>v</m:t>
                      </m:r>
                    </m:e>
                    <m:sub>
                      <m:r>
                        <w:rPr>
                          <w:rFonts w:ascii="Cambria Math" w:hAnsi="Cambria Math"/>
                        </w:rPr>
                        <m:t>h</m:t>
                      </m:r>
                    </m:sub>
                  </m:sSub>
                </m:e>
              </m:nary>
            </m:e>
          </m:d>
          <m:r>
            <w:rPr>
              <w:rFonts w:ascii="Cambria Math" w:hAnsi="Cambria Math"/>
            </w:rPr>
            <m:t>.</m:t>
          </m:r>
        </m:oMath>
      </m:oMathPara>
    </w:p>
    <w:p w14:paraId="06164AC5" w14:textId="12BF55F0"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Differentiate with respect to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rFonts w:ascii="Verdana" w:hAnsi="Verdana" w:eastAsia="Verdana" w:cs="Verdana"/>
          <w:sz w:val="20"/>
          <w:szCs w:val="20"/>
        </w:rPr>
        <w:t xml:space="preserve">. The derivative of the first term is one. Within the parentheses, only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64739C">
        <w:rPr>
          <w:rFonts w:ascii="Verdana" w:hAnsi="Verdana" w:eastAsia="Verdana" w:cs="Verdana"/>
          <w:sz w:val="20"/>
          <w:szCs w:val="20"/>
        </w:rPr>
        <w:t xml:space="preserve"> changes:</w:t>
      </w:r>
    </w:p>
    <w:p w14:paraId="203F1B0B" w14:textId="76F3C393"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j</m:t>
                  </m:r>
                </m:sub>
              </m:sSub>
            </m:den>
          </m:f>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m:t>
          </m:r>
        </m:oMath>
      </m:oMathPara>
    </w:p>
    <w:p w14:paraId="2FFD46AB"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Using the derivative we just established,</w:t>
      </w:r>
    </w:p>
    <w:p w14:paraId="228CE783" w14:textId="1DD625E7"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129A5AD1"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we obtain</w:t>
      </w:r>
    </w:p>
    <w:p w14:paraId="469ACFAE" w14:textId="0EA33363" w:rsidR="0064739C" w:rsidRPr="0064739C" w:rsidRDefault="00000000" w:rsidP="0064739C">
      <w:pPr>
        <w:pStyle w:val="BodyText"/>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λγ</m:t>
                  </m:r>
                </m:num>
                <m:den>
                  <m:sSub>
                    <m:sSubPr>
                      <m:ctrlPr>
                        <w:rPr>
                          <w:rFonts w:ascii="Cambria Math" w:hAnsi="Cambria Math"/>
                        </w:rPr>
                      </m:ctrlPr>
                    </m:sSubPr>
                    <m:e>
                      <m:r>
                        <w:rPr>
                          <w:rFonts w:ascii="Cambria Math" w:hAnsi="Cambria Math"/>
                        </w:rPr>
                        <m:t>n</m:t>
                      </m:r>
                    </m:e>
                    <m:sub>
                      <m:r>
                        <w:rPr>
                          <w:rFonts w:ascii="Cambria Math" w:hAnsi="Cambria Math"/>
                        </w:rPr>
                        <m:t>j</m:t>
                      </m:r>
                    </m:sub>
                  </m:sSub>
                </m:den>
              </m:f>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e>
          </m:borderBox>
        </m:oMath>
      </m:oMathPara>
    </w:p>
    <w:p w14:paraId="3C1E1230" w14:textId="3FA68B91" w:rsidR="0064739C" w:rsidRPr="0064739C" w:rsidRDefault="0064739C" w:rsidP="0064739C">
      <w:pPr>
        <w:pStyle w:val="BodyText"/>
        <w:rPr>
          <w:rFonts w:ascii="Verdana" w:hAnsi="Verdana" w:eastAsia="Verdana" w:cs="Verdana"/>
          <w:sz w:val="20"/>
          <w:szCs w:val="20"/>
        </w:rPr>
        <w:spacing w:line="480" w:lineRule="auto"/>
      </w:pPr>
      <w:r w:rsidRPr="0064739C">
        <w:rPr>
          <w:b/>
          <w:bCs/>
          <w:rFonts w:ascii="Verdana" w:hAnsi="Verdana" w:eastAsia="Verdana" w:cs="Verdana"/>
          <w:sz w:val="20"/>
          <w:szCs w:val="20"/>
        </w:rPr>
        <w:t>The first term represents the direct gain from higher performance. The second represents the additional congestion penalty arising because that individual now contributes more competitive relevance to the group average.</w:t>
      </w:r>
      <w:r w:rsidRPr="0064739C">
        <w:rPr>
          <w:rFonts w:ascii="Verdana" w:hAnsi="Verdana" w:eastAsia="Verdana" w:cs="Verdana"/>
          <w:sz w:val="20"/>
          <w:szCs w:val="20"/>
        </w:rPr>
        <w:t xml:space="preserve"> Division by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4739C">
        <w:rPr>
          <w:rFonts w:ascii="Verdana" w:hAnsi="Verdana" w:eastAsia="Verdana" w:cs="Verdana"/>
          <w:sz w:val="20"/>
          <w:szCs w:val="20"/>
        </w:rPr>
        <w:t xml:space="preserve"> reflects that one person’s change is spread across the full roster.</w:t>
      </w:r>
    </w:p>
    <w:p w14:paraId="68AC9C51"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Because</w:t>
      </w:r>
    </w:p>
    <w:p w14:paraId="40F5CA4F" w14:textId="342CF61E" w:rsidR="0064739C" w:rsidRPr="0064739C" w:rsidRDefault="00000000" w:rsidP="0064739C">
      <w:pPr>
        <w:pStyle w:val="BodyText"/>
      </w:pPr>
      <m:oMathPara>
        <m:oMath>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oMath>
      </m:oMathPara>
    </w:p>
    <w:p w14:paraId="305F0E58"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lastRenderedPageBreak/>
        <w:t>we have</w:t>
      </w:r>
    </w:p>
    <w:p w14:paraId="49B6110C" w14:textId="6757BA09"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λγ</m:t>
              </m:r>
            </m:num>
            <m:den>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j</m:t>
                  </m:r>
                </m:sub>
              </m:sSub>
            </m:den>
          </m:f>
          <m:r>
            <w:rPr>
              <w:rFonts w:ascii="Cambria Math" w:hAnsi="Cambria Math"/>
            </w:rPr>
            <m:t>.</m:t>
          </m:r>
        </m:oMath>
      </m:oMathPara>
    </w:p>
    <w:p w14:paraId="68B8D359"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Therefore,</w:t>
      </w:r>
    </w:p>
    <w:p w14:paraId="1590DCF2" w14:textId="40A8B4B6" w:rsidR="0064739C" w:rsidRPr="0064739C" w:rsidRDefault="00000000" w:rsidP="0064739C">
      <w:pPr>
        <w:pStyle w:val="BodyText"/>
      </w:pPr>
      <m:oMathPara>
        <m:oMath>
          <m:borderBox>
            <m:borderBoxPr>
              <m:ctrlPr>
                <w:rPr>
                  <w:rFonts w:ascii="Cambria Math" w:hAnsi="Cambria Math"/>
                </w:rPr>
              </m:ctrlPr>
            </m:borderBoxPr>
            <m:e>
              <m:r>
                <w:rPr>
                  <w:rFonts w:ascii="Cambria Math" w:hAnsi="Cambria Math"/>
                </w:rPr>
                <m:t>λγ&lt;4</m:t>
              </m:r>
              <m:sSub>
                <m:sSubPr>
                  <m:ctrlPr>
                    <w:rPr>
                      <w:rFonts w:ascii="Cambria Math" w:hAnsi="Cambria Math"/>
                    </w:rPr>
                  </m:ctrlPr>
                </m:sSubPr>
                <m:e>
                  <m:r>
                    <w:rPr>
                      <w:rFonts w:ascii="Cambria Math" w:hAnsi="Cambria Math"/>
                    </w:rPr>
                    <m:t>n</m:t>
                  </m:r>
                </m:e>
                <m:sub>
                  <m:r>
                    <w:rPr>
                      <w:rFonts w:ascii="Cambria Math" w:hAnsi="Cambria Math"/>
                    </w:rPr>
                    <m:t>j</m:t>
                  </m:r>
                </m:sub>
              </m:sSub>
            </m:e>
          </m:borderBox>
        </m:oMath>
      </m:oMathPara>
    </w:p>
    <w:p w14:paraId="7178DAB2"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guarantees that the individual’s adjusted score increases with their performance at every performance level. If this condition fails, the score does </w:t>
      </w:r>
      <w:r w:rsidRPr="0064739C">
        <w:rPr>
          <w:b/>
          <w:bCs/>
          <w:rFonts w:ascii="Verdana" w:hAnsi="Verdana" w:eastAsia="Verdana" w:cs="Verdana"/>
          <w:sz w:val="20"/>
          <w:szCs w:val="20"/>
        </w:rPr>
        <w:t>not necessarily</w:t>
      </w:r>
      <w:r w:rsidRPr="0064739C">
        <w:rPr>
          <w:rFonts w:ascii="Verdana" w:hAnsi="Verdana" w:eastAsia="Verdana" w:cs="Verdana"/>
          <w:sz w:val="20"/>
          <w:szCs w:val="20"/>
        </w:rPr>
        <w:t xml:space="preserve"> decrease; its response depends on the individual’s proximity to the threshold.</w:t>
      </w:r>
    </w:p>
    <w:p w14:paraId="446AD400" w14:textId="09381021"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One distinction deserves emphasis: </w:t>
      </w:r>
      <w:r w:rsidRPr="0064739C">
        <w:rPr>
          <w:b/>
          <w:bCs/>
          <w:rFonts w:ascii="Verdana" w:hAnsi="Verdana" w:eastAsia="Verdana" w:cs="Verdana"/>
          <w:sz w:val="20"/>
          <w:szCs w:val="20"/>
        </w:rPr>
        <w:t>this derivative concerns the individual’s numerical score, not their within-group rank or selection probability.</w:t>
      </w:r>
      <w:r w:rsidRPr="0064739C">
        <w:rPr>
          <w:rFonts w:ascii="Verdana" w:hAnsi="Verdana" w:eastAsia="Verdana" w:cs="Verdana"/>
          <w:sz w:val="20"/>
          <w:szCs w:val="20"/>
        </w:rPr>
        <w:t xml:space="preserve"> </w:t>
      </w:r>
      <w:r w:rsidR="00EA5386">
        <w:rPr>
          <w:rFonts w:ascii="Verdana" w:hAnsi="Verdana" w:eastAsia="Verdana" w:cs="Verdana"/>
          <w:sz w:val="20"/>
          <w:szCs w:val="20"/>
        </w:rPr>
        <w:t xml:space="preserve"> </w:t>
      </w:r>
      <w:r w:rsidRPr="0064739C">
        <w:rPr>
          <w:rFonts w:ascii="Verdana" w:hAnsi="Verdana" w:eastAsia="Verdana" w:cs="Verdana"/>
          <w:sz w:val="20"/>
          <w:szCs w:val="20"/>
        </w:rPr>
        <w:t xml:space="preserve">Every member receives the same congestion subtraction. For a teammate </w:t>
      </w:r>
      <m:oMath>
        <m:r>
          <w:rPr>
            <w:rFonts w:ascii="Cambria Math" w:hAnsi="Cambria Math"/>
          </w:rPr>
          <m:t>h</m:t>
        </m:r>
      </m:oMath>
      <w:r w:rsidRPr="0064739C">
        <w:rPr>
          <w:rFonts w:ascii="Verdana" w:hAnsi="Verdana" w:eastAsia="Verdana" w:cs="Verdana"/>
          <w:sz w:val="20"/>
          <w:szCs w:val="20"/>
        </w:rPr>
        <w:t>,</w:t>
      </w:r>
    </w:p>
    <w:p w14:paraId="5153EF12" w14:textId="25872840"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m:t>
          </m:r>
        </m:oMath>
      </m:oMathPara>
    </w:p>
    <w:p w14:paraId="62189B8A" w14:textId="42579F8B" w:rsidR="00CB3150"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Thus, holding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4739C">
        <w:rPr>
          <w:rFonts w:ascii="Verdana" w:hAnsi="Verdana" w:eastAsia="Verdana" w:cs="Verdana"/>
          <w:sz w:val="20"/>
          <w:szCs w:val="20"/>
        </w:rPr>
        <w:t xml:space="preserve"> fixed, an increase in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rFonts w:ascii="Verdana" w:hAnsi="Verdana" w:eastAsia="Verdana" w:cs="Verdana"/>
          <w:sz w:val="20"/>
          <w:szCs w:val="20"/>
        </w:rPr>
        <w:t xml:space="preserve"> always improves </w:t>
      </w:r>
      <m:oMath>
        <m:r>
          <w:rPr>
            <w:rFonts w:ascii="Cambria Math" w:hAnsi="Cambria Math"/>
          </w:rPr>
          <m:t>i</m:t>
        </m:r>
      </m:oMath>
      <w:r w:rsidRPr="0064739C">
        <w:rPr>
          <w:rFonts w:ascii="Verdana" w:hAnsi="Verdana" w:eastAsia="Verdana" w:cs="Verdana"/>
          <w:sz w:val="20"/>
          <w:szCs w:val="20"/>
        </w:rPr>
        <w:t xml:space="preserve">’s standing relative to that teammate, even in a parameter regime where </w:t>
      </w:r>
      <m:oMath>
        <m:r>
          <w:rPr>
            <w:rFonts w:ascii="Cambria Math" w:hAnsi="Cambria Math"/>
          </w:rPr>
          <m:t>i</m:t>
        </m:r>
      </m:oMath>
      <w:r w:rsidRPr="0064739C">
        <w:rPr>
          <w:rFonts w:ascii="Verdana" w:hAnsi="Verdana" w:eastAsia="Verdana" w:cs="Verdana"/>
          <w:sz w:val="20"/>
          <w:szCs w:val="20"/>
        </w:rPr>
        <w:t>’s own adjusted score decreases.</w:t>
      </w:r>
    </w:p>
    <w:p w14:paraId="6513ED26" w14:textId="77777777" w:rsidR="00CB3150" w:rsidRDefault="00000000">
      <w:pPr>
        <w:rPr>
          <w:rFonts w:ascii="Verdana" w:hAnsi="Verdana" w:eastAsia="Verdana" w:cs="Verdana"/>
          <w:sz w:val="21"/>
          <w:szCs w:val="21"/>
          <w:b w:val="1"/>
          <w:bCs w:val="1"/>
        </w:rPr>
        <w:pStyle w:val="Heading2"/>
        <w:spacing w:line="240" w:lineRule="auto"/>
      </w:pPr>
      <w:bookmarkStart w:id="22" w:name="scarcity-and-the-selection-margin"/>
      <w:bookmarkEnd w:id="19"/>
      <w:r>
        <w:rPr>
          <w:rFonts w:ascii="Verdana" w:hAnsi="Verdana" w:eastAsia="Verdana" w:cs="Verdana"/>
          <w:sz w:val="21"/>
          <w:szCs w:val="21"/>
          <w:b w:val="1"/>
          <w:bCs w:val="1"/>
        </w:rPr>
        <w:t>4.5.3 Scarcity and the selection margin</w:t>
      </w:r>
    </w:p>
    <w:p w14:paraId="3DD64941" w14:textId="1ADA48E2" w:rsidR="00471E0D" w:rsidRPr="00471E0D" w:rsidRDefault="009A1126" w:rsidP="00471E0D">
      <w:pPr>
        <w:rPr>
          <w:rFonts w:ascii="Verdana" w:hAnsi="Verdana" w:eastAsia="Verdana" w:cs="Verdana"/>
          <w:sz w:val="20"/>
          <w:szCs w:val="20"/>
        </w:rPr>
        <w:spacing w:line="480" w:lineRule="auto"/>
      </w:pPr>
      <w:r>
        <w:rPr>
          <w:rFonts w:ascii="Verdana" w:hAnsi="Verdana" w:eastAsia="Verdana" w:cs="Verdana"/>
          <w:sz w:val="20"/>
          <w:szCs w:val="20"/>
        </w:rPr>
        <w:t xml:space="preserve">We focus on advancement under scarce opportunities, where meeting a qualification standard does not guarantee selection.  </w:t>
      </w:r>
      <w:r w:rsidR="00471E0D" w:rsidRPr="00471E0D">
        <w:rPr>
          <w:rFonts w:ascii="Verdana" w:hAnsi="Verdana" w:eastAsia="Verdana" w:cs="Verdana"/>
          <w:sz w:val="20"/>
          <w:szCs w:val="20"/>
        </w:rPr>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60C51A81" w14:textId="5F4E86A6" w:rsidR="00471E0D" w:rsidRPr="00471E0D" w:rsidRDefault="00471E0D" w:rsidP="00471E0D">
      <w:pPr>
        <w:rPr>
          <w:rFonts w:ascii="Verdana" w:hAnsi="Verdana" w:eastAsia="Verdana" w:cs="Verdana"/>
          <w:sz w:val="20"/>
          <w:szCs w:val="20"/>
        </w:rPr>
        <w:spacing w:line="480" w:lineRule="auto"/>
      </w:pPr>
      <w:r w:rsidRPr="00471E0D">
        <w:rPr>
          <w:rFonts w:ascii="Verdana" w:hAnsi="Verdana" w:eastAsia="Verdana" w:cs="Verdana"/>
          <w:sz w:val="20"/>
          <w:szCs w:val="20"/>
        </w:rPr>
        <w:t xml:space="preserve">Let </w:t>
      </w:r>
      <m:oMath>
        <m:r>
          <w:rPr>
            <w:rFonts w:ascii="Cambria Math" w:hAnsi="Cambria Math"/>
          </w:rPr>
          <m:t>N</m:t>
        </m:r>
      </m:oMath>
      <w:r w:rsidRPr="00471E0D">
        <w:rPr>
          <w:rFonts w:ascii="Verdana" w:hAnsi="Verdana" w:eastAsia="Verdana" w:cs="Verdana"/>
          <w:sz w:val="20"/>
          <w:szCs w:val="20"/>
        </w:rPr>
        <w:t xml:space="preserve"> denote the number of individuals competing for </w:t>
      </w:r>
      <m:oMath>
        <m:r>
          <w:rPr>
            <w:rFonts w:ascii="Cambria Math" w:hAnsi="Cambria Math"/>
          </w:rPr>
          <m:t>K</m:t>
        </m:r>
      </m:oMath>
      <w:r w:rsidRPr="00471E0D">
        <w:rPr>
          <w:rFonts w:ascii="Verdana" w:hAnsi="Verdana" w:eastAsia="Verdana" w:cs="Verdana"/>
          <w:sz w:val="20"/>
          <w:szCs w:val="20"/>
        </w:rPr>
        <w:t xml:space="preserve"> available places. The selection fraction </w:t>
      </w:r>
      <m:oMath>
        <m:r>
          <w:rPr>
            <w:rFonts w:ascii="Cambria Math" w:hAnsi="Cambria Math"/>
          </w:rPr>
          <m:t>K/N</m:t>
        </m:r>
      </m:oMath>
      <w:r w:rsidRPr="00471E0D">
        <w:rPr>
          <w:rFonts w:ascii="Verdana" w:hAnsi="Verdana" w:eastAsia="Verdana" w:cs="Verdana"/>
          <w:sz w:val="20"/>
          <w:szCs w:val="20"/>
        </w:rPr>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2335D449" w14:textId="68D0B03A" w:rsidR="00432E89" w:rsidRPr="00471E0D" w:rsidRDefault="00432E89" w:rsidP="00471E0D">
      <w:pPr>
        <w:rPr>
          <w:rFonts w:ascii="Verdana" w:hAnsi="Verdana" w:eastAsia="Verdana" w:cs="Verdana"/>
          <w:sz w:val="20"/>
          <w:szCs w:val="20"/>
        </w:rPr>
        <w:spacing w:line="480" w:lineRule="auto"/>
      </w:pPr>
      <w:r w:rsidRPr="00432E89">
        <w:rPr>
          <w:rFonts w:ascii="Verdana" w:hAnsi="Verdana" w:eastAsia="Verdana" w:cs="Verdana"/>
          <w:sz w:val="20"/>
          <w:szCs w:val="20"/>
        </w:rPr>
        <w:lastRenderedPageBreak/>
        <w:t xml:space="preserve">The competitive-relevance threshold </w:t>
      </w:r>
      <m:oMath>
        <m:r>
          <w:rPr>
            <w:rFonts w:ascii="Cambria Math" w:hAnsi="Cambria Math"/>
          </w:rPr>
          <m:t>θ</m:t>
        </m:r>
      </m:oMath>
      <w:r w:rsidRPr="00432E89">
        <w:rPr>
          <w:rFonts w:ascii="Verdana" w:hAnsi="Verdana" w:eastAsia="Verdana" w:cs="Verdana"/>
          <w:sz w:val="20"/>
          <w:szCs w:val="20"/>
        </w:rPr>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rPr>
          <m:t>θ</m:t>
        </m:r>
      </m:oMath>
      <w:r w:rsidRPr="00432E89">
        <w:rPr>
          <w:rFonts w:ascii="Verdana" w:hAnsi="Verdana" w:eastAsia="Verdana" w:cs="Verdana"/>
          <w:sz w:val="20"/>
          <w:szCs w:val="20"/>
        </w:rPr>
        <w:t xml:space="preserve"> in relation to scarcity: holding the performance distribution fixed, a smaller selection fraction should generally correspond to a higher reference threshold. </w:t>
      </w:r>
      <w:r>
        <w:rPr>
          <w:rFonts w:ascii="Verdana" w:hAnsi="Verdana" w:eastAsia="Verdana" w:cs="Verdana"/>
          <w:sz w:val="20"/>
          <w:szCs w:val="20"/>
        </w:rP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21FEC6CC" w14:textId="62C9D676" w:rsidR="00471E0D"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t xml:space="preserve">The competitive-relevance threshold </w:t>
      </w:r>
      <m:oMath>
        <m:r>
          <w:rPr>
            <w:rFonts w:ascii="Cambria Math" w:hAnsi="Cambria Math"/>
          </w:rPr>
          <m:t>θ</m:t>
        </m:r>
      </m:oMath>
      <w:r>
        <w:rPr>
          <w:rFonts w:ascii="Verdana" w:hAnsi="Verdana" w:eastAsia="Verdana" w:cs="Verdana"/>
          <w:sz w:val="20"/>
          <w:szCs w:val="20"/>
        </w:rPr>
        <w:t xml:space="preserve"> identifies the performance level around which individuals count strongly toward roster pressure; it does not determine who ultimately receives a place.  </w:t>
      </w:r>
      <w:r w:rsidR="00471E0D" w:rsidRPr="00471E0D">
        <w:rPr>
          <w:rFonts w:ascii="Verdana" w:hAnsi="Verdana" w:eastAsia="Verdana" w:cs="Verdana"/>
          <w:sz w:val="20"/>
          <w:szCs w:val="20"/>
        </w:rPr>
        <w:t xml:space="preserve">The threshold is used first to calculate competitive relevance and, from it, each group’s roster pressure. Roster pressure then adjusts individual scores, after which the selection rule allocates the </w:t>
      </w:r>
      <m:oMath>
        <m:r>
          <w:rPr>
            <w:rFonts w:ascii="Cambria Math" w:hAnsi="Cambria Math"/>
          </w:rPr>
          <m:t>K</m:t>
        </m:r>
      </m:oMath>
      <w:r w:rsidR="004E37D4">
        <w:rPr>
          <w:rFonts w:ascii="Verdana" w:hAnsi="Verdana" w:eastAsia="Verdana" w:cs="Verdana"/>
          <w:sz w:val="20"/>
          <w:szCs w:val="20"/>
        </w:rPr>
        <w:t xml:space="preserve"> </w:t>
      </w:r>
      <w:r w:rsidR="00471E0D" w:rsidRPr="00471E0D">
        <w:rPr>
          <w:rFonts w:ascii="Verdana" w:hAnsi="Verdana" w:eastAsia="Verdana" w:cs="Verdana"/>
          <w:sz w:val="20"/>
          <w:szCs w:val="20"/>
        </w:rPr>
        <w:t xml:space="preserve">available places. An individual above </w:t>
      </w:r>
      <m:oMath>
        <m:r>
          <w:rPr>
            <w:rFonts w:ascii="Cambria Math" w:hAnsi="Cambria Math"/>
          </w:rPr>
          <m:t>θ</m:t>
        </m:r>
      </m:oMath>
      <w:r w:rsidR="00471E0D" w:rsidRPr="00471E0D">
        <w:rPr>
          <w:rFonts w:ascii="Verdana" w:hAnsi="Verdana" w:eastAsia="Verdana" w:cs="Verdana"/>
          <w:sz w:val="20"/>
          <w:szCs w:val="20"/>
        </w:rPr>
        <w:t xml:space="preserve"> is therefore not guaranteed selection, and an individual below it is not automatically excluded. </w:t>
      </w:r>
      <w:r w:rsidR="00143374">
        <w:rPr>
          <w:rFonts w:ascii="Verdana" w:hAnsi="Verdana" w:eastAsia="Verdana" w:cs="Verdana"/>
          <w:sz w:val="20"/>
          <w:szCs w:val="20"/>
        </w:rPr>
        <w:t xml:space="preserve">For finite positive </w:t>
      </w:r>
      <m:oMath>
        <m:r>
          <w:rPr>
            <w:rFonts w:ascii="Cambria Math" w:hAnsi="Cambria Math"/>
          </w:rPr>
          <m:t>γ</m:t>
        </m:r>
      </m:oMath>
      <w:r w:rsidR="00143374">
        <w:rPr>
          <w:rFonts w:ascii="Verdana" w:hAnsi="Verdana" w:eastAsia="Verdana" w:cs="Verdana"/>
          <w:sz w:val="20"/>
          <w:szCs w:val="20"/>
        </w:rPr>
        <w:t xml:space="preserve">, competitive relevance changes smoothly around the threshold, with larger values of </w:t>
      </w:r>
      <m:oMath>
        <m:r>
          <w:rPr>
            <w:rFonts w:ascii="Cambria Math" w:hAnsi="Cambria Math"/>
          </w:rPr>
          <m:t>γ</m:t>
        </m:r>
      </m:oMath>
      <w:r w:rsidR="00143374">
        <w:rPr>
          <w:rFonts w:ascii="Verdana" w:hAnsi="Verdana" w:eastAsia="Verdana" w:cs="Verdana"/>
          <w:sz w:val="20"/>
          <w:szCs w:val="20"/>
        </w:rPr>
        <w:t xml:space="preserve"> producing a sharper transition. Selection then depends on the adjusted scores and the selection rule.</w:t>
      </w:r>
    </w:p>
    <w:p w14:paraId="12F8B786" w14:textId="3E4984D7" w:rsidR="00432E89" w:rsidRPr="00471E0D" w:rsidRDefault="00432E89" w:rsidP="00471E0D">
      <w:pPr>
        <w:rPr>
          <w:rFonts w:ascii="Verdana" w:hAnsi="Verdana" w:eastAsia="Verdana" w:cs="Verdana"/>
          <w:sz w:val="20"/>
          <w:szCs w:val="20"/>
        </w:rPr>
        <w:spacing w:line="480" w:lineRule="auto"/>
      </w:pPr>
      <w:r>
        <w:rPr>
          <w:rFonts w:ascii="Verdana" w:hAnsi="Verdana" w:eastAsia="Verdana" w:cs="Verdana"/>
          <w:sz w:val="20"/>
          <w:szCs w:val="20"/>
        </w:rPr>
        <w:t xml:space="preserve">Scarcity and competitive relevance therefore enter through distinct parameters. The number of places </w:t>
      </w:r>
      <m:oMath>
        <m:r>
          <w:rPr>
            <w:rFonts w:ascii="Cambria Math" w:hAnsi="Cambria Math"/>
          </w:rPr>
          <m:t>K</m:t>
        </m:r>
      </m:oMath>
      <w:r>
        <w:rPr>
          <w:rFonts w:ascii="Verdana" w:hAnsi="Verdana" w:eastAsia="Verdana" w:cs="Verdana"/>
          <w:sz w:val="20"/>
          <w:szCs w:val="20"/>
        </w:rPr>
        <w:t xml:space="preserve"> directly limits how many individuals advance, while </w:t>
      </w:r>
      <m:oMath>
        <m:r>
          <w:rPr>
            <w:rFonts w:ascii="Cambria Math" w:hAnsi="Cambria Math"/>
          </w:rPr>
          <m:t>θ</m:t>
        </m:r>
      </m:oMath>
      <w:r>
        <w:rPr>
          <w:rFonts w:ascii="Verdana" w:hAnsi="Verdana" w:eastAsia="Verdana" w:cs="Verdana"/>
          <w:sz w:val="20"/>
          <w:szCs w:val="20"/>
        </w:rPr>
        <w:t xml:space="preserve"> determines which performances contribute strongly to roster pressure. Choosing </w:t>
      </w:r>
      <m:oMath>
        <m:r>
          <w:rPr>
            <w:rFonts w:ascii="Cambria Math" w:hAnsi="Cambria Math"/>
          </w:rPr>
          <m:t>θ</m:t>
        </m:r>
      </m:oMath>
      <w:r>
        <w:rPr>
          <w:rFonts w:ascii="Verdana" w:hAnsi="Verdana" w:eastAsia="Verdana" w:cs="Verdana"/>
          <w:sz w:val="20"/>
          <w:szCs w:val="20"/>
        </w:rPr>
        <w:t xml:space="preserve"> in relation to </w:t>
      </w:r>
      <m:oMath>
        <m:r>
          <w:rPr>
            <w:rFonts w:ascii="Cambria Math" w:hAnsi="Cambria Math"/>
          </w:rPr>
          <m:t>K/N</m:t>
        </m:r>
      </m:oMath>
      <w:r>
        <w:rPr>
          <w:rFonts w:ascii="Verdana" w:hAnsi="Verdana" w:eastAsia="Verdana" w:cs="Verdana"/>
          <w:sz w:val="20"/>
          <w:szCs w:val="20"/>
        </w:rPr>
        <w:t xml:space="preserve"> connects these two parts of the model, but doing so requires an explicit threshold rule. </w:t>
      </w:r>
      <w:r w:rsidR="00A5330A">
        <w:rPr>
          <w:rFonts w:ascii="Verdana" w:hAnsi="Verdana" w:eastAsia="Verdana" w:cs="Verdana"/>
          <w:sz w:val="20"/>
          <w:szCs w:val="20"/>
        </w:rPr>
        <w:fldChar w:fldCharType="begin"/>
      </w:r>
      <w:r w:rsidR="00A5330A">
        <w:rPr>
          <w:rFonts w:ascii="Verdana" w:hAnsi="Verdana" w:eastAsia="Verdana" w:cs="Verdana"/>
          <w:sz w:val="20"/>
          <w:szCs w:val="20"/>
        </w:rPr>
        <w:instrText xml:space="preserve"> REF Chapter4Figure3 \h </w:instrText>
      </w:r>
      <w:r w:rsidR="00A5330A">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sidR="00A5330A">
        <w:rPr>
          <w:rFonts w:ascii="Verdana" w:hAnsi="Verdana" w:eastAsia="Verdana" w:cs="Verdana"/>
          <w:sz w:val="20"/>
          <w:szCs w:val="20"/>
        </w:rPr>
        <w:fldChar w:fldCharType="end"/>
      </w:r>
      <w:r>
        <w:rPr>
          <w:rFonts w:ascii="Verdana" w:hAnsi="Verdana" w:eastAsia="Verdana" w:cs="Verdana"/>
          <w:sz w:val="20"/>
          <w:szCs w:val="20"/>
        </w:rPr>
        <w:t xml:space="preserve"> illustrates one such rule without establishing it as the general specification.</w:t>
      </w:r>
    </w:p>
    <w:p w14:paraId="3CA2FB45" w14:textId="76A07725" w:rsidR="00A5330A"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t xml:space="preserve">A lower roster-pressure value does not necessarily mean that advancement has become easier. With performances and </w:t>
      </w:r>
      <m:oMath>
        <m:r>
          <w:rPr>
            <w:rFonts w:ascii="Cambria Math" w:hAnsi="Cambria Math"/>
          </w:rPr>
          <m:t>γ</m:t>
        </m:r>
      </m:oMath>
      <w:r>
        <w:rPr>
          <w:rFonts w:ascii="Verdana" w:hAnsi="Verdana" w:eastAsia="Verdana" w:cs="Verdana"/>
          <w:sz w:val="20"/>
          <w:szCs w:val="20"/>
        </w:rPr>
        <w:t xml:space="preserve"> held fixed, a higher </w:t>
      </w:r>
      <m:oMath>
        <m:r>
          <w:rPr>
            <w:rFonts w:ascii="Cambria Math" w:hAnsi="Cambria Math"/>
          </w:rPr>
          <m:t>θ</m:t>
        </m:r>
      </m:oMath>
      <w:r>
        <w:rPr>
          <w:rFonts w:ascii="Verdana" w:hAnsi="Verdana" w:eastAsia="Verdana" w:cs="Verdana"/>
          <w:sz w:val="20"/>
          <w:szCs w:val="20"/>
        </w:rP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454B9A53" w14:textId="5D4D3957" w:rsidR="00432E89"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To isolate the effect of the congestion adjustment, we compare performance-only scoring with congestion-adjusted scoring while holding the population, group memberships, and number of available places fixed.  </w:t>
      </w:r>
      <w:r w:rsidR="00432E89">
        <w:rPr>
          <w:rFonts w:ascii="Verdana" w:hAnsi="Verdana" w:eastAsia="Verdana" w:cs="Verdana"/>
          <w:sz w:val="20"/>
          <w:szCs w:val="20"/>
        </w:rPr>
        <w:t xml:space="preserve">We specify </w:t>
      </w:r>
      <m:oMath>
        <m:r>
          <w:rPr>
            <w:rFonts w:ascii="Cambria Math" w:hAnsi="Cambria Math"/>
          </w:rPr>
          <m:t>θ</m:t>
        </m:r>
      </m:oMath>
      <w:r w:rsidR="00432E89">
        <w:rPr>
          <w:rFonts w:ascii="Verdana" w:hAnsi="Verdana" w:eastAsia="Verdana" w:cs="Verdana"/>
          <w:sz w:val="20"/>
          <w:szCs w:val="20"/>
        </w:rPr>
        <w:t xml:space="preserve">, </w:t>
      </w:r>
      <m:oMath>
        <m:r>
          <w:rPr>
            <w:rFonts w:ascii="Cambria Math" w:hAnsi="Cambria Math"/>
          </w:rPr>
          <m:t>γ</m:t>
        </m:r>
      </m:oMath>
      <w:r w:rsidR="00432E89">
        <w:rPr>
          <w:rFonts w:ascii="Verdana" w:hAnsi="Verdana" w:eastAsia="Verdana" w:cs="Verdana"/>
          <w:sz w:val="20"/>
          <w:szCs w:val="20"/>
        </w:rPr>
        <w:t xml:space="preserve">, and </w:t>
      </w:r>
      <m:oMath>
        <m:r>
          <w:rPr>
            <w:rFonts w:ascii="Cambria Math" w:hAnsi="Cambria Math"/>
          </w:rPr>
          <m:t>λ</m:t>
        </m:r>
      </m:oMath>
      <w:r w:rsidR="00432E89">
        <w:rPr>
          <w:rFonts w:ascii="Verdana" w:hAnsi="Verdana" w:eastAsia="Verdana" w:cs="Verdana"/>
          <w:sz w:val="20"/>
          <w:szCs w:val="20"/>
        </w:rPr>
        <w:t xml:space="preserve"> for the congestion-adjusted calculation and compare its selected set with the performance-only benchmark. Under deterministic top-</w:t>
      </w:r>
      <m:oMath>
        <m:r>
          <w:rPr>
            <w:rFonts w:ascii="Cambria Math" w:hAnsi="Cambria Math"/>
          </w:rPr>
          <m:t>K</m:t>
        </m:r>
      </m:oMath>
      <w:r w:rsidR="00432E89">
        <w:rPr>
          <w:rFonts w:ascii="Verdana" w:hAnsi="Verdana" w:eastAsia="Verdana" w:cs="Verdana"/>
          <w:sz w:val="20"/>
          <w:szCs w:val="20"/>
        </w:rPr>
        <w:t xml:space="preserve"> selection, differences between those sets arise from the score adjustment. When comparing these differences across levels of scarcity, we must also state whether and how the threshold changes.</w:t>
      </w:r>
    </w:p>
    <w:p w14:paraId="7E598B8E" w14:textId="769DA5EE" w:rsidR="00471E0D" w:rsidRPr="00471E0D" w:rsidRDefault="00471E0D" w:rsidP="00471E0D">
      <w:pPr>
        <w:rPr>
          <w:rFonts w:ascii="Verdana" w:hAnsi="Verdana" w:eastAsia="Verdana" w:cs="Verdana"/>
          <w:sz w:val="20"/>
          <w:szCs w:val="20"/>
        </w:rPr>
        <w:spacing w:line="480" w:lineRule="auto"/>
      </w:pPr>
      <w:r w:rsidRPr="00471E0D">
        <w:rPr>
          <w:rFonts w:ascii="Verdana" w:hAnsi="Verdana" w:eastAsia="Verdana" w:cs="Verdana"/>
          <w:sz w:val="20"/>
          <w:szCs w:val="20"/>
        </w:rPr>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rPr>
          <m:t>W</m:t>
        </m:r>
      </m:oMath>
      <w:r w:rsidRPr="00471E0D">
        <w:rPr>
          <w:rFonts w:ascii="Verdana" w:hAnsi="Verdana" w:eastAsia="Verdana" w:cs="Verdana"/>
          <w:sz w:val="20"/>
          <w:szCs w:val="20"/>
        </w:rPr>
        <w:t xml:space="preserve"> and </w:t>
      </w:r>
      <m:oMath>
        <m:r>
          <w:rPr>
            <w:rFonts w:ascii="Cambria Math" w:hAnsi="Cambria Math"/>
          </w:rPr>
          <m:t>W'</m:t>
        </m:r>
      </m:oMath>
      <w:r w:rsidRPr="00471E0D">
        <w:rPr>
          <w:rFonts w:ascii="Verdana" w:hAnsi="Verdana" w:eastAsia="Verdana" w:cs="Verdana"/>
          <w:sz w:val="20"/>
          <w:szCs w:val="20"/>
        </w:rPr>
        <w:t xml:space="preserve"> denote the sets selected under performance-only and congestion-adjusted scoring, respectively. Their intersection, </w:t>
      </w:r>
      <m:oMath>
        <m:r>
          <w:rPr>
            <w:rFonts w:ascii="Cambria Math" w:hAnsi="Cambria Math"/>
          </w:rPr>
          <m:t>W∩W'</m:t>
        </m:r>
      </m:oMath>
      <w:r w:rsidRPr="00471E0D">
        <w:rPr>
          <w:rFonts w:ascii="Verdana" w:hAnsi="Verdana" w:eastAsia="Verdana" w:cs="Verdana"/>
          <w:sz w:val="20"/>
          <w:szCs w:val="20"/>
        </w:rPr>
        <w:t xml:space="preserve">, contains those selected under both rules. Using vertical bars to denote the </w:t>
      </w:r>
      <w:r w:rsidR="006758F5">
        <w:rPr>
          <w:rFonts w:ascii="Verdana" w:hAnsi="Verdana" w:eastAsia="Verdana" w:cs="Verdana"/>
          <w:sz w:val="20"/>
          <w:szCs w:val="20"/>
        </w:rPr>
        <w:t>cardinality of</w:t>
      </w:r>
      <w:r w:rsidRPr="00471E0D">
        <w:rPr>
          <w:rFonts w:ascii="Verdana" w:hAnsi="Verdana" w:eastAsia="Verdana" w:cs="Verdana"/>
          <w:sz w:val="20"/>
          <w:szCs w:val="20"/>
        </w:rPr>
        <w:t xml:space="preserve"> a set, the number of replaced places is</w:t>
      </w:r>
    </w:p>
    <w:p w14:paraId="4C4BBEEC" w14:textId="0532534C" w:rsidR="00471E0D" w:rsidRPr="00471E0D" w:rsidRDefault="004E37D4" w:rsidP="00471E0D">
      <m:oMathPara>
        <m:oMath>
          <m:r>
            <w:rPr>
              <w:rFonts w:ascii="Cambria Math" w:hAnsi="Cambria Math"/>
            </w:rPr>
            <m:t>D=K-</m:t>
          </m:r>
          <m:d>
            <m:dPr>
              <m:begChr m:val="|"/>
              <m:endChr m:val="|"/>
              <m:ctrlPr>
                <w:rPr>
                  <w:rFonts w:ascii="Cambria Math" w:hAnsi="Cambria Math"/>
                </w:rPr>
              </m:ctrlPr>
            </m:dPr>
            <m:e>
              <m:r>
                <w:rPr>
                  <w:rFonts w:ascii="Cambria Math" w:hAnsi="Cambria Math"/>
                </w:rPr>
                <m:t>W∩W'</m:t>
              </m:r>
            </m:e>
          </m:d>
          <m:r>
            <w:rPr>
              <w:rFonts w:ascii="Cambria Math" w:hAnsi="Cambria Math"/>
            </w:rPr>
            <m:t>.</m:t>
          </m:r>
        </m:oMath>
      </m:oMathPara>
    </w:p>
    <w:p w14:paraId="10E832A3" w14:textId="18F387CF" w:rsidR="00471E0D" w:rsidRPr="00C5784C" w:rsidRDefault="00471E0D" w:rsidP="00C5784C">
      <w:pPr>
        <w:pStyle w:val="NormalWeb"/>
        <w:rPr>
          <w:rFonts w:ascii="Verdana" w:hAnsi="Verdana" w:eastAsia="Verdana" w:cs="Verdana"/>
          <w:color w:val="auto"/>
          <w:sz w:val="20"/>
          <w:szCs w:val="20"/>
        </w:rPr>
        <w:spacing w:line="480" w:lineRule="auto"/>
      </w:pPr>
      <w:r w:rsidRPr="00471E0D">
        <w:rPr>
          <w:rFonts w:ascii="Verdana" w:hAnsi="Verdana" w:eastAsia="Verdana" w:cs="Verdana"/>
          <w:sz w:val="20"/>
          <w:szCs w:val="20"/>
        </w:rPr>
        <w:t xml:space="preserve">For </w:t>
      </w:r>
      <m:oMath>
        <m:r>
          <w:rPr>
            <w:rFonts w:ascii="Cambria Math" w:hAnsi="Cambria Math"/>
          </w:rPr>
          <m:t>K&gt;0</m:t>
        </m:r>
      </m:oMath>
      <w:r w:rsidRPr="00471E0D">
        <w:rPr>
          <w:rFonts w:ascii="Verdana" w:hAnsi="Verdana" w:eastAsia="Verdana" w:cs="Verdana"/>
          <w:sz w:val="20"/>
          <w:szCs w:val="20"/>
        </w:rPr>
        <w:t xml:space="preserve">, the fraction of available places that change hands is </w:t>
      </w:r>
      <m:oMath>
        <m:r>
          <w:rPr>
            <w:rFonts w:ascii="Cambria Math" w:hAnsi="Cambria Math"/>
          </w:rPr>
          <m:t>D/K</m:t>
        </m:r>
      </m:oMath>
      <w:r w:rsidRPr="00471E0D">
        <w:rPr>
          <w:rFonts w:ascii="Verdana" w:hAnsi="Verdana" w:eastAsia="Verdana" w:cs="Verdana"/>
          <w:sz w:val="20"/>
          <w:szCs w:val="20"/>
        </w:rPr>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rPr>
          <w:rFonts w:ascii="Verdana" w:hAnsi="Verdana" w:eastAsia="Verdana" w:cs="Verdana"/>
          <w:sz w:val="20"/>
          <w:szCs w:val="20"/>
        </w:rPr>
        <w:t>Greater scarcity does not necessarily produce a larger congestion effect. Whether it does must be examined under an explicitly stated rule for choosing the threshold.</w:t>
      </w:r>
    </w:p>
    <w:p w14:paraId="549F70B7" w14:textId="25DD68E0" w:rsidR="00B21393" w:rsidRDefault="00B21393" w:rsidP="00471E0D">
      <w:pPr>
        <w:rPr>
          <w:rFonts w:ascii="Verdana" w:hAnsi="Verdana" w:eastAsia="Verdana" w:cs="Verdana"/>
          <w:sz w:val="20"/>
          <w:szCs w:val="20"/>
        </w:rPr>
        <w:spacing w:line="480" w:lineRule="auto"/>
      </w:pPr>
      <w:r>
        <w:rPr>
          <w:rFonts w:ascii="Verdana" w:hAnsi="Verdana" w:eastAsia="Verdana" w:cs="Verdana"/>
          <w:sz w:val="20"/>
          <w:szCs w:val="20"/>
        </w:rPr>
        <w:fldChar w:fldCharType="begin"/>
      </w:r>
      <w:r>
        <w:rPr>
          <w:rFonts w:ascii="Verdana" w:hAnsi="Verdana" w:eastAsia="Verdana" w:cs="Verdana"/>
          <w:sz w:val="20"/>
          <w:szCs w:val="20"/>
        </w:rPr>
        <w:instrText xml:space="preserve"> REF _Ref242736721 \h </w:instrText>
      </w:r>
      <w:r>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A5330A">
        <w:rPr>
          <w:rFonts w:ascii="Verdana" w:hAnsi="Verdana" w:eastAsia="Verdana" w:cs="Verdana"/>
          <w:sz w:val="20"/>
          <w:szCs w:val="20"/>
        </w:rPr>
        <w:t xml:space="preserve">illustrates one possible rule for aligning the competitive-relevance threshold with scarcity, using the same nine individuals under two levels of scarcity.  </w:t>
      </w:r>
      <w:r>
        <w:rPr>
          <w:rFonts w:ascii="Verdana" w:hAnsi="Verdana" w:eastAsia="Verdana" w:cs="Verdana"/>
          <w:sz w:val="20"/>
          <w:szCs w:val="20"/>
        </w:rPr>
        <w:t xml:space="preserve">For this example, we set </w:t>
      </w:r>
      <m:oMath>
        <m:r>
          <w:rPr>
            <w:rFonts w:ascii="Cambria Math" w:hAnsi="Cambria Math"/>
          </w:rPr>
          <m:t>θ</m:t>
        </m:r>
      </m:oMath>
      <w:r>
        <w:rPr>
          <w:rFonts w:ascii="Verdana" w:hAnsi="Verdana" w:eastAsia="Verdana" w:cs="Verdana"/>
          <w:sz w:val="20"/>
          <w:szCs w:val="20"/>
        </w:rPr>
        <w:t xml:space="preserve"> at the empirical performance quantile corresponding to </w:t>
      </w:r>
      <m:oMath>
        <m:r>
          <w:rPr>
            <w:rFonts w:ascii="Cambria Math" w:hAnsi="Cambria Math"/>
          </w:rPr>
          <m:t>1-K/N</m:t>
        </m:r>
      </m:oMath>
      <w:r>
        <w:rPr>
          <w:rFonts w:ascii="Verdana" w:hAnsi="Verdana" w:eastAsia="Verdana" w:cs="Verdana"/>
          <w:sz w:val="20"/>
          <w:szCs w:val="20"/>
        </w:rP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rPr>
          <w:rFonts w:ascii="Verdana" w:hAnsi="Verdana" w:eastAsia="Verdana" w:cs="Verdana"/>
          <w:sz w:val="20"/>
          <w:szCs w:val="20"/>
        </w:rPr>
        <w:t xml:space="preserve">  This quantile rule specifies the alignment for this illustration; it is not a general rule adopted for every application.</w:t>
      </w:r>
    </w:p>
    <w:p w14:paraId="4360129D" w14:textId="77777777" w:rsidR="00B21393" w:rsidRDefault="00B21393" w:rsidP="00C5784C">
      <w:pPr>
        <w:keepNext/>
        <w:pStyle w:val="Illustration"/>
        <w:jc w:val="center"/>
        <w:ind w:left="0" w:right="0" w:firstLine="0"/>
        <w:spacing w:line="240" w:lineRule="auto"/>
      </w:pPr>
      <w:r>
        <w:rPr>
          <w:noProof/>
        </w:rPr>
        <w:lastRenderedPageBreak/>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943600" cy="5196839"/>
                    </a:xfrm>
                    <a:prstGeom prst="rect">
                      <a:avLst/>
                    </a:prstGeom>
                  </pic:spPr>
                </pic:pic>
              </a:graphicData>
            </a:graphic>
          </wp:inline>
        </w:drawing>
      </w:r>
    </w:p>
    <w:p w14:paraId="193820DF" w14:textId="1CD3A31F" w:rsidR="00B21393" w:rsidRPr="00B21393" w:rsidRDefault="00B21393" w:rsidP="00D8262B">
      <w:pPr>
        <w:pStyle w:val="Caption"/>
        <w:spacing w:line="240" w:lineRule="auto"/>
        <w:rPr>
          <w:rFonts w:ascii="Trebuchet MS" w:hAnsi="Trebuchet MS" w:eastAsia="Trebuchet MS" w:cs="Trebuchet MS"/>
          <w:sz w:val="18"/>
          <w:szCs w:val="18"/>
          <w:b w:val="0"/>
          <w:bCs w:val="0"/>
        </w:rPr>
      </w:pPr>
      <w:bookmarkStart w:id="23" w:name="Chapter4Figure3"/>
      <w:bookmarkStart w:id="24" w:name="_Ref242736721"/>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3</w:t>
        </w:r>
      </w:fldSimple>
      <w:bookmarkEnd w:id="23"/>
      <w:bookmarkEnd w:id="24"/>
      <w:r>
        <w:rPr/>
        <w:t xml:space="preserve">. </w:t>
      </w:r>
      <w:r w:rsidRPr="00C5784C">
        <w:rPr>
          <w:b w:val="1"/>
          <w:bCs w:val="1"/>
          <w:rFonts w:ascii="Trebuchet MS" w:hAnsi="Trebuchet MS" w:eastAsia="Trebuchet MS" w:cs="Trebuchet MS"/>
          <w:sz w:val="18"/>
          <w:szCs w:val="18"/>
          <w:rStyle w:val="CaptionTitle"/>
        </w:rPr>
        <w:t xml:space="preserve">Scarcity and competitive relevance change together.</w:t>
      </w:r>
      <w:r>
        <w:rPr>
          <w:b/>
          <w:bCs w:val="0"/>
          <w:rStyle w:val="CaptionTitle"/>
        </w:rPr>
        <w:t xml:space="preserve">  </w:t>
      </w:r>
      <w:r>
        <w:rPr>
          <w:rFonts w:ascii="Trebuchet MS" w:hAnsi="Trebuchet MS" w:eastAsia="Trebuchet MS" w:cs="Trebuchet MS"/>
          <w:sz w:val="18"/>
          <w:szCs w:val="18"/>
        </w:rPr>
        <w:t xml:space="preserve">The same nine individuals compete for three places in the left column and one place in the right column. For this illustration, </w:t>
      </w:r>
      <m:oMath>
        <m:r>
          <w:rPr>
            <w:rFonts w:ascii="Cambria Math" w:hAnsi="Cambria Math"/>
          </w:rPr>
          <m:t>θ</m:t>
        </m:r>
      </m:oMath>
      <w:r>
        <w:rPr>
          <w:rFonts w:ascii="Trebuchet MS" w:hAnsi="Trebuchet MS" w:eastAsia="Trebuchet MS" w:cs="Trebuchet MS"/>
          <w:sz w:val="18"/>
          <w:szCs w:val="18"/>
        </w:rPr>
        <w:t xml:space="preserve"> is the linearly interpolated empirical </w:t>
      </w:r>
      <m:oMath>
        <m:d>
          <m:dPr>
            <m:ctrlPr>
              <w:rPr>
                <w:rFonts w:ascii="Cambria Math" w:hAnsi="Cambria Math"/>
              </w:rPr>
            </m:ctrlPr>
          </m:dPr>
          <m:e>
            <m:r>
              <w:rPr>
                <w:rFonts w:ascii="Cambria Math" w:hAnsi="Cambria Math"/>
              </w:rPr>
              <m:t>1-K/N</m:t>
            </m:r>
          </m:e>
        </m:d>
      </m:oMath>
      <w:r>
        <w:rPr>
          <w:rFonts w:ascii="Trebuchet MS" w:hAnsi="Trebuchet MS" w:eastAsia="Trebuchet MS" w:cs="Trebuchet MS"/>
          <w:sz w:val="18"/>
          <w:szCs w:val="18"/>
        </w:rPr>
        <w:t xml:space="preserve">-quantile of performance, while </w:t>
      </w:r>
      <m:oMath>
        <m:r>
          <w:rPr>
            <w:rFonts w:ascii="Cambria Math" w:hAnsi="Cambria Math"/>
          </w:rPr>
          <m:t>γ=2</m:t>
        </m:r>
      </m:oMath>
      <w:r>
        <w:rPr>
          <w:rFonts w:ascii="Trebuchet MS" w:hAnsi="Trebuchet MS" w:eastAsia="Trebuchet MS" w:cs="Trebuchet MS"/>
          <w:sz w:val="18"/>
          <w:szCs w:val="18"/>
        </w:rPr>
        <w:t xml:space="preserve"> and </w:t>
      </w:r>
      <m:oMath>
        <m:r>
          <w:rPr>
            <w:rFonts w:ascii="Cambria Math" w:hAnsi="Cambria Math"/>
          </w:rPr>
          <m:t>λ=2</m:t>
        </m:r>
      </m:oMath>
      <w:r>
        <w:rPr>
          <w:rFonts w:ascii="Trebuchet MS" w:hAnsi="Trebuchet MS" w:eastAsia="Trebuchet MS" w:cs="Trebuchet MS"/>
          <w:sz w:val="18"/>
          <w:szCs w:val="18"/>
        </w:rP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rPr>
          <m:t>D=1</m:t>
        </m:r>
      </m:oMath>
      <w:r>
        <w:rPr>
          <w:rFonts w:ascii="Trebuchet MS" w:hAnsi="Trebuchet MS" w:eastAsia="Trebuchet MS" w:cs="Trebuchet MS"/>
          <w:sz w:val="18"/>
          <w:szCs w:val="18"/>
        </w:rPr>
        <w:t xml:space="preserve"> and </w:t>
      </w:r>
      <m:oMath>
        <m:r>
          <w:rPr>
            <w:rFonts w:ascii="Cambria Math" w:hAnsi="Cambria Math"/>
          </w:rPr>
          <m:t>D/K=1/3</m:t>
        </m:r>
      </m:oMath>
      <w:r>
        <w:rPr>
          <w:rFonts w:ascii="Trebuchet MS" w:hAnsi="Trebuchet MS" w:eastAsia="Trebuchet MS" w:cs="Trebuchet MS"/>
          <w:sz w:val="18"/>
          <w:szCs w:val="18"/>
        </w:rPr>
        <w:t xml:space="preserve">. With one place, P4 replaces P1, giving </w:t>
      </w:r>
      <m:oMath>
        <m:r>
          <w:rPr>
            <w:rFonts w:ascii="Cambria Math" w:hAnsi="Cambria Math"/>
          </w:rPr>
          <m:t>D=1</m:t>
        </m:r>
      </m:oMath>
      <w:r>
        <w:rPr>
          <w:rFonts w:ascii="Trebuchet MS" w:hAnsi="Trebuchet MS" w:eastAsia="Trebuchet MS" w:cs="Trebuchet MS"/>
          <w:sz w:val="18"/>
          <w:szCs w:val="18"/>
        </w:rPr>
        <w:t xml:space="preserve"> and </w:t>
      </w:r>
      <m:oMath>
        <m:r>
          <w:rPr>
            <w:rFonts w:ascii="Cambria Math" w:hAnsi="Cambria Math"/>
          </w:rPr>
          <m:t>D/K=1</m:t>
        </m:r>
      </m:oMath>
      <w:r>
        <w:rPr>
          <w:rFonts w:ascii="Trebuchet MS" w:hAnsi="Trebuchet MS" w:eastAsia="Trebuchet MS" w:cs="Trebuchet MS"/>
          <w:sz w:val="18"/>
          <w:szCs w:val="18"/>
        </w:rPr>
        <w:t>. This constructed example illustrates an aligned threshold rule; it does not establish that greater scarcity necessarily increases the congestion effect.</w:t>
      </w:r>
    </w:p>
    <w:p w14:paraId="0F1431E9" w14:textId="6098D9B4" w:rsidR="00CB3150" w:rsidRDefault="00A5330A" w:rsidP="00AB7FFC">
      <w:pPr>
        <w:rPr>
          <w:rFonts w:ascii="Verdana" w:hAnsi="Verdana" w:eastAsia="Verdana" w:cs="Verdana"/>
          <w:sz w:val="20"/>
          <w:szCs w:val="20"/>
        </w:rPr>
        <w:spacing w:line="480" w:lineRule="auto"/>
      </w:pPr>
      <w:r>
        <w:rPr>
          <w:rFonts w:ascii="Verdana" w:hAnsi="Verdana" w:eastAsia="Verdana" w:cs="Verdana"/>
          <w:sz w:val="20"/>
          <w:szCs w:val="20"/>
        </w:rP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14CB643B" w14:textId="62E4A72E" w:rsidR="00CB3150" w:rsidRDefault="00000000">
      <w:pPr>
        <w:rPr>
          <w:rFonts w:ascii="Verdana" w:hAnsi="Verdana" w:eastAsia="Verdana" w:cs="Verdana"/>
          <w:sz w:val="21"/>
          <w:szCs w:val="21"/>
          <w:b w:val="1"/>
          <w:bCs w:val="1"/>
        </w:rPr>
        <w:pStyle w:val="Heading2"/>
        <w:spacing w:line="240" w:lineRule="auto"/>
      </w:pPr>
      <w:bookmarkStart w:id="25" w:name="Xa069076e58659a3b4bc8e27a3dcbab40ab45238"/>
      <w:bookmarkEnd w:id="22"/>
      <w:r>
        <w:rPr>
          <w:rFonts w:ascii="Verdana" w:hAnsi="Verdana" w:eastAsia="Verdana" w:cs="Verdana"/>
          <w:sz w:val="21"/>
          <w:szCs w:val="21"/>
          <w:b w:val="1"/>
          <w:bCs w:val="1"/>
        </w:rPr>
        <w:lastRenderedPageBreak/>
        <w:t xml:space="preserve">4.5.4 </w:t>
      </w:r>
      <w:r w:rsidR="00B21393">
        <w:rPr>
          <w:rFonts w:ascii="Verdana" w:hAnsi="Verdana" w:eastAsia="Verdana" w:cs="Verdana"/>
          <w:sz w:val="21"/>
          <w:szCs w:val="21"/>
          <w:b w:val="1"/>
          <w:bCs w:val="1"/>
        </w:rPr>
        <w:t>Interpreting selection patterns across group environments</w:t>
      </w:r>
    </w:p>
    <w:p w14:paraId="1994F431" w14:textId="78EE72EA"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A selection curve shows how frequently individuals advance across different group environments, but it does not by itself explain why those rates differ.</w:t>
      </w:r>
      <w:r w:rsidRPr="000B421F">
        <w:rPr>
          <w:rFonts w:ascii="Verdana" w:hAnsi="Verdana" w:eastAsia="Verdana" w:cs="Verdana"/>
          <w:sz w:val="20"/>
          <w:szCs w:val="20"/>
        </w:rPr>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0268C90E"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Neither a rising curve nor a downturn establishes the effect of congestion on its own.</w:t>
      </w:r>
      <w:r w:rsidRPr="000B421F">
        <w:rPr>
          <w:rFonts w:ascii="Verdana" w:hAnsi="Verdana" w:eastAsia="Verdana" w:cs="Verdana"/>
          <w:sz w:val="20"/>
          <w:szCs w:val="20"/>
        </w:rPr>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08F5DBFB"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To examine the role of group environment more closely, we compare individuals with similar performance.</w:t>
      </w:r>
      <w:r w:rsidRPr="000B421F">
        <w:rPr>
          <w:rFonts w:ascii="Verdana" w:hAnsi="Verdana" w:eastAsia="Verdana" w:cs="Verdana"/>
          <w:sz w:val="20"/>
          <w:szCs w:val="20"/>
        </w:rPr>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5B04E102" w14:textId="35F64006"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The group average used on the horizontal axis is different from the roster pressure used in scoring.</w:t>
      </w:r>
      <w:r w:rsidRPr="000B421F">
        <w:rPr>
          <w:rFonts w:ascii="Verdana" w:hAnsi="Verdana" w:eastAsia="Verdana" w:cs="Verdana"/>
          <w:sz w:val="20"/>
          <w:szCs w:val="20"/>
        </w:rPr>
        <w:t xml:space="preserve"> The group mean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0B421F">
        <w:rPr>
          <w:rFonts w:ascii="Verdana" w:hAnsi="Verdana" w:eastAsia="Verdana" w:cs="Verdana"/>
          <w:sz w:val="20"/>
          <w:szCs w:val="20"/>
        </w:rPr>
        <w:t xml:space="preserve"> averages members’ performance values.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0B421F">
        <w:rPr>
          <w:rFonts w:ascii="Verdana" w:hAnsi="Verdana" w:eastAsia="Verdana" w:cs="Verdana"/>
          <w:sz w:val="20"/>
          <w:szCs w:val="20"/>
        </w:rPr>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0B421F">
        <w:rPr>
          <w:rFonts w:ascii="Verdana" w:hAnsi="Verdana" w:eastAsia="Verdana" w:cs="Verdana"/>
          <w:sz w:val="20"/>
          <w:szCs w:val="20"/>
        </w:rPr>
        <w:t xml:space="preserve"> therefore compares selection across groups with different average performance; it does not directly show how selection varies with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0B421F">
        <w:rPr>
          <w:rFonts w:ascii="Verdana" w:hAnsi="Verdana" w:eastAsia="Verdana" w:cs="Verdana"/>
          <w:sz w:val="20"/>
          <w:szCs w:val="20"/>
        </w:rPr>
        <w:t>.</w:t>
      </w:r>
    </w:p>
    <w:p w14:paraId="6538FCBB"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lastRenderedPageBreak/>
        <w:t>Individuals whose scores place them near the selection boundary are especially informative because a congestion adjustment may change whether they advance.</w:t>
      </w:r>
      <w:r w:rsidRPr="000B421F">
        <w:rPr>
          <w:rFonts w:ascii="Verdana" w:hAnsi="Verdana" w:eastAsia="Verdana" w:cs="Verdana"/>
          <w:sz w:val="20"/>
          <w:szCs w:val="20"/>
        </w:rPr>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Fonts w:ascii="Verdana" w:hAnsi="Verdana" w:eastAsia="Verdana" w:cs="Verdana"/>
          <w:sz w:val="20"/>
          <w:szCs w:val="20"/>
        </w:rPr>
        <w:t>band of excellence</w:t>
      </w:r>
      <w:r w:rsidRPr="000B421F">
        <w:rPr>
          <w:rFonts w:ascii="Verdana" w:hAnsi="Verdana" w:eastAsia="Verdana" w:cs="Verdana"/>
          <w:sz w:val="20"/>
          <w:szCs w:val="20"/>
        </w:rPr>
        <w:t>. Its location is an empirical or model-specific question: the relevant performance range depends on scarcity, roster pressure, and the resulting score distribution. A fixed percentile band should not be assumed to identify these individuals in every setting.</w:t>
      </w:r>
    </w:p>
    <w:p w14:paraId="56447BE2"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A plotted rate is easier to interpret when we know how many individuals and groups support it.</w:t>
      </w:r>
      <w:r w:rsidRPr="000B421F">
        <w:rPr>
          <w:rFonts w:ascii="Verdana" w:hAnsi="Verdana" w:eastAsia="Verdana" w:cs="Verdana"/>
          <w:sz w:val="20"/>
          <w:szCs w:val="20"/>
        </w:rPr>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52847089" w14:textId="3DEE9DF0" w:rsidR="00AC0AA7"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These summaries provide complementary views of the model’s behavior.</w:t>
      </w:r>
      <w:r w:rsidRPr="000B421F">
        <w:rPr>
          <w:rFonts w:ascii="Verdana" w:hAnsi="Verdana" w:eastAsia="Verdana" w:cs="Verdana"/>
          <w:sz w:val="20"/>
          <w:szCs w:val="20"/>
        </w:rPr>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rPr>
          <m:t>K</m:t>
        </m:r>
      </m:oMath>
      <w:r w:rsidRPr="000B421F">
        <w:rPr>
          <w:rFonts w:ascii="Verdana" w:hAnsi="Verdana" w:eastAsia="Verdana" w:cs="Verdana"/>
          <w:sz w:val="20"/>
          <w:szCs w:val="20"/>
        </w:rPr>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4A423BE4" w14:textId="6198D099" w:rsidR="00AC0AA7" w:rsidRDefault="00AC0AA7" w:rsidP="000B421F">
      <w:pPr>
        <w:rPr>
          <w:rFonts w:ascii="Verdana" w:hAnsi="Verdana" w:eastAsia="Verdana" w:cs="Verdana"/>
          <w:sz w:val="20"/>
          <w:szCs w:val="20"/>
        </w:rPr>
        <w:spacing w:line="480" w:lineRule="auto"/>
      </w:pPr>
      <w:r>
        <w:rPr>
          <w:rFonts w:ascii="Verdana" w:hAnsi="Verdana" w:eastAsia="Verdana" w:cs="Verdana"/>
          <w:sz w:val="20"/>
          <w:szCs w:val="20"/>
        </w:rPr>
        <w:t xml:space="preserve">An overall selection curve can conceal patterns within particular performance bands. </w:t>
      </w:r>
      <w:r>
        <w:rPr>
          <w:rFonts w:ascii="Verdana" w:hAnsi="Verdana" w:eastAsia="Verdana" w:cs="Verdana"/>
          <w:sz w:val="20"/>
          <w:szCs w:val="20"/>
        </w:rPr>
        <w:fldChar w:fldCharType="begin"/>
      </w:r>
      <w:r>
        <w:rPr>
          <w:rFonts w:ascii="Verdana" w:hAnsi="Verdana" w:eastAsia="Verdana" w:cs="Verdana"/>
          <w:sz w:val="20"/>
          <w:szCs w:val="20"/>
        </w:rPr>
        <w:instrText xml:space="preserve"> REF _Ref242801844 \h </w:instrText>
      </w:r>
      <w:r>
        <w:rPr>
          <w:rFonts w:ascii="Verdana" w:hAnsi="Verdana" w:eastAsia="Verdana" w:cs="Verdana"/>
          <w:sz w:val="20"/>
          <w:szCs w:val="20"/>
        </w:rPr>
        <w:fldChar w:fldCharType="separate"/>
      </w:r>
      <w:r w:rsidR="005E5BEF">
        <w:rPr>
          <w:rFonts w:ascii="Verdana" w:hAnsi="Verdana" w:eastAsia="Verdana" w:cs="Verdana"/>
          <w:sz w:val="20"/>
          <w:szCs w:val="20"/>
        </w:rPr>
        <w:t>Figure 4-4</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w:t>
      </w:r>
      <w:r>
        <w:rPr>
          <w:rFonts w:ascii="Verdana" w:hAnsi="Verdana" w:eastAsia="Verdana" w:cs="Verdana"/>
          <w:sz w:val="20"/>
          <w:szCs w:val="20"/>
        </w:rPr>
        <w:lastRenderedPageBreak/>
        <w:t>information about sample size and uncertainty. It does not establish that congestion caused the observed pattern.</w:t>
      </w:r>
    </w:p>
    <w:p w14:paraId="3C08CA02" w14:textId="77777777" w:rsidR="00AC0AA7" w:rsidRDefault="00AC0AA7" w:rsidP="000B421F"/>
    <w:p w14:paraId="6A5A16DD" w14:textId="77777777" w:rsidR="00AC0AA7" w:rsidRDefault="00AC0AA7" w:rsidP="00C5784C">
      <w:pPr>
        <w:keepNext/>
        <w:pStyle w:val="Illustration"/>
        <w:jc w:val="center"/>
        <w:ind w:left="0" w:right="0" w:firstLine="0"/>
        <w:spacing w:line="240" w:lineRule="auto"/>
      </w:pPr>
      <w:r>
        <w:rPr>
          <w:noProof/>
        </w:rPr>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1D2BFDD8" w14:textId="29937465" w:rsidR="00AC0AA7" w:rsidRDefault="00AC0AA7" w:rsidP="00AC0AA7">
      <w:pPr>
        <w:pStyle w:val="Caption"/>
        <w:spacing w:line="240" w:lineRule="auto"/>
        <w:rPr>
          <w:rFonts w:ascii="Trebuchet MS" w:hAnsi="Trebuchet MS" w:eastAsia="Trebuchet MS" w:cs="Trebuchet MS"/>
          <w:sz w:val="18"/>
          <w:szCs w:val="18"/>
          <w:b w:val="0"/>
          <w:bCs w:val="0"/>
        </w:rPr>
      </w:pPr>
      <w:bookmarkStart w:id="26" w:name="_Ref242801844"/>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4</w:t>
        </w:r>
      </w:fldSimple>
      <w:bookmarkEnd w:id="26"/>
      <w:r>
        <w:rPr/>
        <w:t xml:space="preserve"> </w:t>
      </w:r>
      <w:r>
        <w:rPr>
          <w:rStyle w:val="CaptionTitle"/>
          <w:rFonts w:ascii="Trebuchet MS" w:hAnsi="Trebuchet MS" w:eastAsia="Trebuchet MS" w:cs="Trebuchet MS"/>
          <w:sz w:val="18"/>
          <w:szCs w:val="18"/>
          <w:b w:val="1"/>
          <w:bCs w:val="1"/>
        </w:rPr>
        <w:t xml:space="preserve">Selection across peer environments for the full basketball cohort and its top performance band.</w:t>
      </w:r>
      <w:r>
        <w:rPr>
          <w:rFonts w:ascii="Trebuchet MS" w:hAnsi="Trebuchet MS" w:eastAsia="Trebuchet MS" w:cs="Trebuchet MS"/>
          <w:sz w:val="18"/>
          <w:szCs w:val="18"/>
        </w:rP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rPr>
          <w:rFonts w:ascii="Trebuchet MS" w:hAnsi="Trebuchet MS" w:eastAsia="Trebuchet MS" w:cs="Trebuchet MS"/>
          <w:sz w:val="18"/>
          <w:szCs w:val="18"/>
        </w:rPr>
        <w:t>winsorization</w:t>
      </w:r>
      <w:proofErr w:type="spellEnd"/>
      <w:r>
        <w:rPr>
          <w:rFonts w:ascii="Trebuchet MS" w:hAnsi="Trebuchet MS" w:eastAsia="Trebuchet MS" w:cs="Trebuchet MS"/>
          <w:sz w:val="18"/>
          <w:szCs w:val="18"/>
        </w:rP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p>
    <w:p w14:paraId="38F6B88D" w14:textId="3B04A221" w:rsidR="00CB3150" w:rsidRDefault="00890411" w:rsidP="000B421F">
      <w:pPr>
        <w:rPr>
          <w:rFonts w:ascii="Verdana" w:hAnsi="Verdana" w:eastAsia="Verdana" w:cs="Verdana"/>
          <w:sz w:val="20"/>
          <w:szCs w:val="20"/>
        </w:rPr>
        <w:spacing w:line="480" w:lineRule="auto"/>
      </w:pPr>
      <w:r>
        <w:rPr>
          <w:rFonts w:ascii="Verdana" w:hAnsi="Verdana" w:eastAsia="Verdana" w:cs="Verdana"/>
          <w:sz w:val="20"/>
          <w:szCs w:val="20"/>
        </w:rPr>
        <w:t xml:space="preserve">We can also examine selection within two differently defined bands of strong individual performance. </w:t>
      </w:r>
      <w:r>
        <w:rPr>
          <w:rFonts w:ascii="Verdana" w:hAnsi="Verdana" w:eastAsia="Verdana" w:cs="Verdana"/>
          <w:sz w:val="20"/>
          <w:szCs w:val="20"/>
        </w:rPr>
        <w:fldChar w:fldCharType="begin"/>
      </w:r>
      <w:r>
        <w:rPr>
          <w:rFonts w:ascii="Verdana" w:hAnsi="Verdana" w:eastAsia="Verdana" w:cs="Verdana"/>
          <w:sz w:val="20"/>
          <w:szCs w:val="20"/>
        </w:rPr>
        <w:instrText xml:space="preserve"> REF _Ref242867911 \h </w:instrText>
      </w:r>
      <w:r>
        <w:rPr>
          <w:rFonts w:ascii="Verdana" w:hAnsi="Verdana" w:eastAsia="Verdana" w:cs="Verdana"/>
          <w:sz w:val="20"/>
          <w:szCs w:val="20"/>
        </w:rPr>
        <w:fldChar w:fldCharType="separate"/>
      </w:r>
      <w:r w:rsidR="005E5BEF">
        <w:rPr>
          <w:rFonts w:ascii="Verdana" w:hAnsi="Verdana" w:eastAsia="Verdana" w:cs="Verdana"/>
          <w:sz w:val="20"/>
          <w:szCs w:val="20"/>
        </w:rPr>
        <w:t>Figure 4-5</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0786878A" w14:textId="77777777" w:rsidR="00890411" w:rsidRDefault="00890411" w:rsidP="00890411">
      <w:pPr>
        <w:keepNext/>
        <w:pStyle w:val="Illustration"/>
        <w:jc w:val="center"/>
        <w:ind w:left="0" w:right="0" w:firstLine="0"/>
        <w:spacing w:line="240" w:lineRule="auto"/>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4FB9A8EE" w14:textId="514575F6" w:rsidR="00890411" w:rsidRDefault="00890411" w:rsidP="00890411">
      <w:pPr>
        <w:pStyle w:val="Caption"/>
        <w:spacing w:line="240" w:lineRule="auto"/>
        <w:rPr>
          <w:rFonts w:ascii="Trebuchet MS" w:hAnsi="Trebuchet MS" w:eastAsia="Trebuchet MS" w:cs="Trebuchet MS"/>
          <w:sz w:val="18"/>
          <w:szCs w:val="18"/>
          <w:b w:val="0"/>
          <w:bCs w:val="0"/>
        </w:rPr>
      </w:pPr>
      <w:bookmarkStart w:id="27" w:name="_Ref242867911"/>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5</w:t>
        </w:r>
      </w:fldSimple>
      <w:bookmarkEnd w:id="27"/>
      <w:r>
        <w:rPr/>
        <w:t xml:space="preserve"> </w:t>
      </w:r>
      <w:r>
        <w:rPr>
          <w:rStyle w:val="CaptionTitle"/>
          <w:rFonts w:ascii="Trebuchet MS" w:hAnsi="Trebuchet MS" w:eastAsia="Trebuchet MS" w:cs="Trebuchet MS"/>
          <w:sz w:val="18"/>
          <w:szCs w:val="18"/>
          <w:b w:val="1"/>
          <w:bCs w:val="1"/>
        </w:rPr>
        <w:t xml:space="preserve">Draft outcomes across peer environments within two high-performance bands.</w:t>
      </w:r>
      <w:r>
        <w:rPr>
          <w:rFonts w:ascii="Trebuchet MS" w:hAnsi="Trebuchet MS" w:eastAsia="Trebuchet MS" w:cs="Trebuchet MS"/>
          <w:sz w:val="18"/>
          <w:szCs w:val="18"/>
        </w:rP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p>
    <w:p w14:paraId="6C12D60E" w14:textId="77777777" w:rsidR="00CB3150" w:rsidRDefault="00000000">
      <w:pPr>
        <w:rPr>
          <w:rFonts w:ascii="Verdana" w:hAnsi="Verdana" w:eastAsia="Verdana" w:cs="Verdana"/>
          <w:sz w:val="28"/>
          <w:szCs w:val="28"/>
          <w:b w:val="1"/>
          <w:bCs w:val="1"/>
        </w:rPr>
        <w:pStyle w:val="Heading1"/>
        <w:spacing w:line="240" w:lineRule="auto"/>
      </w:pPr>
      <w:bookmarkStart w:id="28" w:name="Xace9f33b90814f9bd53ece6c999c09ae207edc6"/>
      <w:bookmarkEnd w:id="14"/>
      <w:bookmarkEnd w:id="25"/>
      <w:r>
        <w:rPr>
          <w:rFonts w:ascii="Verdana" w:hAnsi="Verdana" w:eastAsia="Verdana" w:cs="Verdana"/>
          <w:sz w:val="28"/>
          <w:szCs w:val="28"/>
          <w:b w:val="1"/>
          <w:bCs w:val="1"/>
        </w:rPr>
        <w:t>4.6 Generating artificial groups with controlled sorting</w:t>
      </w:r>
    </w:p>
    <w:p w14:paraId="3F77ABFA" w14:textId="13A9D004"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29AAD950" w14:textId="749DDE5A" w:rsidR="00CB3150" w:rsidRDefault="00912BB1">
      <w:pPr>
        <w:rPr>
          <w:rFonts w:ascii="Verdana" w:hAnsi="Verdana" w:eastAsia="Verdana" w:cs="Verdana"/>
          <w:sz w:val="20"/>
          <w:szCs w:val="20"/>
        </w:rPr>
        <w:spacing w:line="480" w:lineRule="auto"/>
      </w:pPr>
      <w:r w:rsidRPr="00912BB1">
        <w:rPr>
          <w:rFonts w:ascii="Verdana" w:hAnsi="Verdana" w:eastAsia="Verdana" w:cs="Verdana"/>
          <w:sz w:val="20"/>
          <w:szCs w:val="20"/>
        </w:rPr>
        <w:t>The assignment procedure supplies these artificial environments for simulation. It allows us to vary the tendency of similar individuals to join the same group while preserving the number of individuals and each group’s roster capacity. Assignment is therefore a device for studying the consequences of group composition. The scoring and selection model can also operate on observed groups without generating new memberships</w:t>
      </w:r>
      <w:r>
        <w:rPr>
          <w:rFonts w:ascii="Verdana" w:hAnsi="Verdana" w:eastAsia="Verdana" w:cs="Verdana"/>
          <w:sz w:val="20"/>
          <w:szCs w:val="20"/>
        </w:rPr>
        <w:t>.</w:t>
      </w:r>
    </w:p>
    <w:p w14:paraId="1A5FA011" w14:textId="676805AC" w:rsidR="00CB3150" w:rsidRDefault="00000000">
      <w:pPr>
        <w:rPr>
          <w:rFonts w:ascii="Verdana" w:hAnsi="Verdana" w:eastAsia="Verdana" w:cs="Verdana"/>
          <w:sz w:val="21"/>
          <w:szCs w:val="21"/>
          <w:b w:val="1"/>
          <w:bCs w:val="1"/>
        </w:rPr>
        <w:pStyle w:val="Heading2"/>
        <w:spacing w:line="240" w:lineRule="auto"/>
      </w:pPr>
      <w:bookmarkStart w:id="29" w:name="why-an-assignment-mechanism-is-needed"/>
      <w:r>
        <w:rPr>
          <w:rFonts w:ascii="Verdana" w:hAnsi="Verdana" w:eastAsia="Verdana" w:cs="Verdana"/>
          <w:sz w:val="21"/>
          <w:szCs w:val="21"/>
          <w:b w:val="1"/>
          <w:bCs w:val="1"/>
        </w:rPr>
        <w:lastRenderedPageBreak/>
        <w:t xml:space="preserve">4.6.1 </w:t>
      </w:r>
      <w:r w:rsidR="00912BB1">
        <w:rPr>
          <w:rFonts w:ascii="Verdana" w:hAnsi="Verdana" w:eastAsia="Verdana" w:cs="Verdana"/>
          <w:sz w:val="21"/>
          <w:szCs w:val="21"/>
          <w:b w:val="1"/>
          <w:bCs w:val="1"/>
        </w:rPr>
        <w:t>Representing individuals and groups</w:t>
      </w:r>
    </w:p>
    <w:p w14:paraId="3777C203" w14:textId="77777777" w:rsidR="00912BB1" w:rsidRPr="00912BB1" w:rsidRDefault="00000000" w:rsidP="00912BB1">
      <w:pPr>
        <w:rPr>
          <w:rFonts w:ascii="Verdana" w:hAnsi="Verdana" w:eastAsia="Verdana" w:cs="Verdana"/>
          <w:sz w:val="20"/>
          <w:szCs w:val="20"/>
        </w:rPr>
        <w:spacing w:line="480" w:lineRule="auto"/>
      </w:pPr>
      <w:r>
        <w:rPr>
          <w:rFonts w:ascii="Verdana" w:hAnsi="Verdana" w:eastAsia="Verdana" w:cs="Verdana"/>
          <w:sz w:val="20"/>
          <w:szCs w:val="20"/>
        </w:rPr>
        <w:t xml:space="preserve">The assignment mechanism supplies controlled group memberships for simulation. Observed rosters already </w:t>
      </w:r>
      <w:r w:rsidR="00912BB1" w:rsidRPr="00912BB1">
        <w:rPr>
          <w:rFonts w:ascii="Verdana" w:hAnsi="Verdana" w:eastAsia="Verdana" w:cs="Verdana"/>
          <w:sz w:val="20"/>
          <w:szCs w:val="20"/>
        </w:rPr>
        <w:t xml:space="preserve">We represent the population as a network containing two kinds of nodes: individuals and groups. A connection between an individual and a group indicates membership. This is a </w:t>
      </w:r>
      <w:r w:rsidR="00912BB1" w:rsidRPr="00912BB1">
        <w:rPr>
          <w:i/>
          <w:iCs/>
          <w:rFonts w:ascii="Verdana" w:hAnsi="Verdana" w:eastAsia="Verdana" w:cs="Verdana"/>
          <w:sz w:val="20"/>
          <w:szCs w:val="20"/>
        </w:rPr>
        <w:t>bipartite network</w:t>
      </w:r>
      <w:r w:rsidR="00912BB1" w:rsidRPr="00912BB1">
        <w:rPr>
          <w:rFonts w:ascii="Verdana" w:hAnsi="Verdana" w:eastAsia="Verdana" w:cs="Verdana"/>
          <w:sz w:val="20"/>
          <w:szCs w:val="20"/>
        </w:rPr>
        <w:t>: connections run between the two kinds of nodes. Each individual belongs to exactly one group during the modeled period.</w:t>
      </w:r>
    </w:p>
    <w:p w14:paraId="085ABEC4" w14:textId="0973647F"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Let </w:t>
      </w:r>
      <m:oMath>
        <m:r>
          <w:rPr>
            <w:rFonts w:ascii="Cambria Math" w:hAnsi="Cambria Math"/>
          </w:rPr>
          <m:t>J</m:t>
        </m:r>
      </m:oMath>
      <w:r w:rsidRPr="00912BB1">
        <w:rPr>
          <w:rFonts w:ascii="Verdana" w:hAnsi="Verdana" w:eastAsia="Verdana" w:cs="Verdana"/>
          <w:sz w:val="20"/>
          <w:szCs w:val="20"/>
        </w:rPr>
        <w:t xml:space="preserve"> denote the number of groups and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912BB1">
        <w:rPr>
          <w:rFonts w:ascii="Verdana" w:hAnsi="Verdana" w:eastAsia="Verdana" w:cs="Verdana"/>
          <w:sz w:val="20"/>
          <w:szCs w:val="20"/>
        </w:rPr>
        <w:t xml:space="preserve"> the specified capacity of group </w:t>
      </w:r>
      <m:oMath>
        <m:r>
          <w:rPr>
            <w:rFonts w:ascii="Cambria Math" w:hAnsi="Cambria Math"/>
          </w:rPr>
          <m:t>j</m:t>
        </m:r>
      </m:oMath>
      <w:r w:rsidRPr="00912BB1">
        <w:rPr>
          <w:rFonts w:ascii="Verdana" w:hAnsi="Verdana" w:eastAsia="Verdana" w:cs="Verdana"/>
          <w:sz w:val="20"/>
          <w:szCs w:val="20"/>
        </w:rPr>
        <w:t>. These capacities are positive integers satisfying</w:t>
      </w:r>
    </w:p>
    <w:p w14:paraId="1C55183B" w14:textId="415874A1" w:rsidR="00912BB1" w:rsidRPr="00912BB1" w:rsidRDefault="00000000" w:rsidP="00912BB1">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J</m:t>
              </m:r>
            </m:sup>
            <m:e>
              <m:sSub>
                <m:sSubPr>
                  <m:ctrlPr>
                    <w:rPr>
                      <w:rFonts w:ascii="Cambria Math" w:hAnsi="Cambria Math"/>
                    </w:rPr>
                  </m:ctrlPr>
                </m:sSubPr>
                <m:e>
                  <m:r>
                    <w:rPr>
                      <w:rFonts w:ascii="Cambria Math" w:hAnsi="Cambria Math"/>
                    </w:rPr>
                    <m:t>n</m:t>
                  </m:r>
                </m:e>
                <m:sub>
                  <m:r>
                    <w:rPr>
                      <w:rFonts w:ascii="Cambria Math" w:hAnsi="Cambria Math"/>
                    </w:rPr>
                    <m:t>j</m:t>
                  </m:r>
                </m:sub>
              </m:sSub>
            </m:e>
          </m:nary>
          <m:r>
            <w:rPr>
              <w:rFonts w:ascii="Cambria Math" w:hAnsi="Cambria Math"/>
            </w:rPr>
            <m:t>=N.</m:t>
          </m:r>
        </m:oMath>
      </m:oMathPara>
    </w:p>
    <w:p w14:paraId="078F5DAA" w14:textId="77777777"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The assignment procedure must therefore give every individual one membership and fill every group to its specified capacity.</w:t>
      </w:r>
    </w:p>
    <w:p w14:paraId="12A38F14" w14:textId="1A539B81" w:rsidR="00CB3150"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The mechanism used here, referred to as the LG mechanism, combines fixed roster capacities with a preference based on the individual characteristic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912BB1">
        <w:rPr>
          <w:rFonts w:ascii="Verdana" w:hAnsi="Verdana" w:eastAsia="Verdana" w:cs="Verdana"/>
          <w:sz w:val="20"/>
          <w:szCs w:val="20"/>
        </w:rPr>
        <w:t>. Individuals are more likely to join groups whose current members have similar performance. This is attachment based on a characteristic</w:t>
      </w:r>
      <w:r>
        <w:rPr>
          <w:rFonts w:ascii="Verdana" w:hAnsi="Verdana" w:eastAsia="Verdana" w:cs="Verdana"/>
          <w:sz w:val="20"/>
          <w:szCs w:val="20"/>
        </w:rPr>
        <w:t xml:space="preserve">, importantly here metadata, </w:t>
      </w:r>
      <w:r w:rsidRPr="00912BB1">
        <w:rPr>
          <w:rFonts w:ascii="Verdana" w:hAnsi="Verdana" w:eastAsia="Verdana" w:cs="Verdana"/>
          <w:sz w:val="20"/>
          <w:szCs w:val="20"/>
        </w:rPr>
        <w:t>rather than attachment that rewards a group simply because it already has many members. The remaining capacity of a group nevertheless matters because individuals must be allocated among a fixed number of available places.</w:t>
      </w:r>
    </w:p>
    <w:p w14:paraId="27B4AAFD" w14:textId="77777777" w:rsidR="00CB3150" w:rsidRDefault="00000000">
      <w:pPr>
        <w:rPr>
          <w:rFonts w:ascii="Verdana" w:hAnsi="Verdana" w:eastAsia="Verdana" w:cs="Verdana"/>
          <w:sz w:val="21"/>
          <w:szCs w:val="21"/>
          <w:b w:val="1"/>
          <w:bCs w:val="1"/>
        </w:rPr>
        <w:pStyle w:val="Heading2"/>
        <w:spacing w:line="240" w:lineRule="auto"/>
      </w:pPr>
      <w:bookmarkStart w:id="30" w:name="X3819545970a9b5cccbdae8e4b8b7e3182042c91"/>
      <w:bookmarkEnd w:id="29"/>
      <w:r>
        <w:rPr>
          <w:rFonts w:ascii="Verdana" w:hAnsi="Verdana" w:eastAsia="Verdana" w:cs="Verdana"/>
          <w:sz w:val="21"/>
          <w:szCs w:val="21"/>
          <w:b w:val="1"/>
          <w:bCs w:val="1"/>
        </w:rPr>
        <w:t>4.6.2 Sequential assignment with evolving centroids</w:t>
      </w:r>
    </w:p>
    <w:p w14:paraId="38F01846" w14:textId="42E73FCC"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t xml:space="preserve">Assignment proceeds one individual at a time. Before anyone is assigned, each group is an empty node with its full roster capacity available. We give every empty group the same initial reference value, the population mean </w:t>
      </w:r>
      <m:oMath>
        <m:acc>
          <m:accPr>
            <m:chr m:val="̅"/>
            <m:ctrlPr>
              <w:rPr>
                <w:rFonts w:ascii="Cambria Math" w:hAnsi="Cambria Math"/>
              </w:rPr>
            </m:ctrlPr>
          </m:accPr>
          <m:e>
            <m:r>
              <m:rPr>
                <m:sty m:val="bi"/>
              </m:rPr>
              <w:rPr>
                <w:rFonts w:ascii="Cambria Math" w:hAnsi="Cambria Math"/>
              </w:rPr>
              <m:t>A</m:t>
            </m:r>
          </m:e>
        </m:acc>
      </m:oMath>
      <w:r w:rsidRPr="00912BB1">
        <w:rPr>
          <w:rFonts w:ascii="Verdana" w:hAnsi="Verdana" w:eastAsia="Verdana" w:cs="Verdana"/>
          <w:sz w:val="20"/>
          <w:szCs w:val="20"/>
        </w:rPr>
        <w:t xml:space="preserve">. Once a group receives its first member, that individual’s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912BB1">
        <w:rPr>
          <w:rFonts w:ascii="Verdana" w:hAnsi="Verdana" w:eastAsia="Verdana" w:cs="Verdana"/>
          <w:sz w:val="20"/>
          <w:szCs w:val="20"/>
        </w:rPr>
        <w:t xml:space="preserve"> replaces the initial reference value. Thereafter, the group’s reference value is the mean performance of its current members. We call this evolving mean its centroid.</w:t>
      </w:r>
    </w:p>
    <w:p w14:paraId="6DE00F44" w14:textId="77777777"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t>Individuals are processed in a randomly ordered sequence. When an individual is considered for assignment, each group’s probability depends on two quantities: how many places it still has available and how similar its current centroid is to that individual’s performance.</w:t>
      </w:r>
    </w:p>
    <w:p w14:paraId="47B69BBD" w14:textId="6D8E9DB9"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lastRenderedPageBreak/>
        <w:t xml:space="preserve">Let </w:t>
      </w:r>
      <m:oMath>
        <m:r>
          <m:rPr>
            <m:sty m:val="bi"/>
          </m:rPr>
          <w:rPr>
            <w:rFonts w:ascii="Cambria Math" w:hAnsi="Cambria Math"/>
          </w:rPr>
          <m:t>m</m:t>
        </m:r>
      </m:oMath>
      <w:r w:rsidRPr="00912BB1">
        <w:rPr>
          <w:rFonts w:ascii="Verdana" w:hAnsi="Verdana" w:eastAsia="Verdana" w:cs="Verdana"/>
          <w:sz w:val="20"/>
          <w:szCs w:val="20"/>
        </w:rPr>
        <w:t xml:space="preserve"> index the assignment steps, </w:t>
      </w:r>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r w:rsidRPr="00912BB1">
        <w:rPr>
          <w:rFonts w:ascii="Verdana" w:hAnsi="Verdana" w:eastAsia="Verdana" w:cs="Verdana"/>
          <w:sz w:val="20"/>
          <w:szCs w:val="20"/>
        </w:rPr>
        <w:t xml:space="preserve"> denote the number of places remaining in group </w:t>
      </w:r>
      <m:oMath>
        <m:r>
          <m:rPr>
            <m:sty m:val="bi"/>
          </m:rPr>
          <w:rPr>
            <w:rFonts w:ascii="Cambria Math" w:hAnsi="Cambria Math"/>
          </w:rPr>
          <m:t>j</m:t>
        </m:r>
      </m:oMath>
      <w:r w:rsidRPr="00912BB1">
        <w:rPr>
          <w:rFonts w:ascii="Verdana" w:hAnsi="Verdana" w:eastAsia="Verdana" w:cs="Verdana"/>
          <w:sz w:val="20"/>
          <w:szCs w:val="20"/>
        </w:rPr>
        <w:t xml:space="preserve">, and </w:t>
      </w:r>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r w:rsidRPr="00912BB1">
        <w:rPr>
          <w:rFonts w:ascii="Verdana" w:hAnsi="Verdana" w:eastAsia="Verdana" w:cs="Verdana"/>
          <w:sz w:val="20"/>
          <w:szCs w:val="20"/>
        </w:rPr>
        <w:t xml:space="preserve"> denote its centroid immediately before step </w:t>
      </w:r>
      <m:oMath>
        <m:r>
          <m:rPr>
            <m:sty m:val="bi"/>
          </m:rPr>
          <w:rPr>
            <w:rFonts w:ascii="Cambria Math" w:hAnsi="Cambria Math"/>
          </w:rPr>
          <m:t>m</m:t>
        </m:r>
      </m:oMath>
      <w:r w:rsidRPr="00912BB1">
        <w:rPr>
          <w:rFonts w:ascii="Verdana" w:hAnsi="Verdana" w:eastAsia="Verdana" w:cs="Verdana"/>
          <w:sz w:val="20"/>
          <w:szCs w:val="20"/>
        </w:rPr>
        <w:t xml:space="preserve">. The nonnegative parameter </w:t>
      </w:r>
      <m:oMath>
        <m:r>
          <m:rPr>
            <m:sty m:val="bi"/>
          </m:rPr>
          <w:rPr>
            <w:rFonts w:ascii="Cambria Math" w:hAnsi="Cambria Math"/>
          </w:rPr>
          <m:t>ρ</m:t>
        </m:r>
      </m:oMath>
      <w:r w:rsidRPr="00912BB1">
        <w:rPr>
          <w:rFonts w:ascii="Verdana" w:hAnsi="Verdana" w:eastAsia="Verdana" w:cs="Verdana"/>
          <w:sz w:val="20"/>
          <w:szCs w:val="20"/>
        </w:rPr>
        <w:t xml:space="preserve"> controls the preference for similarity. A larger </w:t>
      </w:r>
      <m:oMath>
        <m:r>
          <m:rPr>
            <m:sty m:val="bi"/>
          </m:rPr>
          <w:rPr>
            <w:rFonts w:ascii="Cambria Math" w:hAnsi="Cambria Math"/>
          </w:rPr>
          <m:t>ρ</m:t>
        </m:r>
      </m:oMath>
      <w:r w:rsidRPr="00912BB1">
        <w:rPr>
          <w:rFonts w:ascii="Verdana" w:hAnsi="Verdana" w:eastAsia="Verdana" w:cs="Verdana"/>
          <w:sz w:val="20"/>
          <w:szCs w:val="20"/>
        </w:rPr>
        <w:t xml:space="preserve"> gives a greater relative preference to groups whose current centroid is close to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912BB1">
        <w:rPr>
          <w:rFonts w:ascii="Verdana" w:hAnsi="Verdana" w:eastAsia="Verdana" w:cs="Verdana"/>
          <w:sz w:val="20"/>
          <w:szCs w:val="20"/>
        </w:rPr>
        <w:t>.</w:t>
      </w:r>
    </w:p>
    <w:p w14:paraId="186AE803" w14:textId="102C3FFF" w:rsid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For the individual </w:t>
      </w:r>
      <m:oMath>
        <m:r>
          <w:rPr>
            <w:rFonts w:ascii="Cambria Math" w:hAnsi="Cambria Math"/>
          </w:rPr>
          <m:t>i</m:t>
        </m:r>
      </m:oMath>
      <w:r w:rsidRPr="00912BB1">
        <w:rPr>
          <w:rFonts w:ascii="Verdana" w:hAnsi="Verdana" w:eastAsia="Verdana" w:cs="Verdana"/>
          <w:sz w:val="20"/>
          <w:szCs w:val="20"/>
        </w:rPr>
        <w:t xml:space="preserve"> considered at step </w:t>
      </w:r>
      <m:oMath>
        <m:r>
          <w:rPr>
            <w:rFonts w:ascii="Cambria Math" w:hAnsi="Cambria Math"/>
          </w:rPr>
          <m:t>m</m:t>
        </m:r>
      </m:oMath>
      <w:r w:rsidRPr="00912BB1">
        <w:rPr>
          <w:rFonts w:ascii="Verdana" w:hAnsi="Verdana" w:eastAsia="Verdana" w:cs="Verdana"/>
          <w:sz w:val="20"/>
          <w:szCs w:val="20"/>
        </w:rPr>
        <w:t xml:space="preserve">, the probability of assignment to group </w:t>
      </w:r>
      <m:oMath>
        <m:r>
          <w:rPr>
            <w:rFonts w:ascii="Cambria Math" w:hAnsi="Cambria Math"/>
          </w:rPr>
          <m:t>j</m:t>
        </m:r>
      </m:oMath>
      <w:r w:rsidRPr="00912BB1">
        <w:rPr>
          <w:rFonts w:ascii="Verdana" w:hAnsi="Verdana" w:eastAsia="Verdana" w:cs="Verdana"/>
          <w:sz w:val="20"/>
          <w:szCs w:val="20"/>
        </w:rPr>
        <w:t xml:space="preserve"> is</w:t>
      </w:r>
    </w:p>
    <w:p w14:paraId="2B3DC9E0" w14:textId="284F452C" w:rsidR="00CC6561" w:rsidRPr="00CC6561" w:rsidRDefault="00000000" w:rsidP="00CC6561">
      <w:pPr>
        <w:pStyle w:val="BodyText"/>
      </w:pPr>
      <m:oMathPara>
        <m:oMath>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m</m:t>
                  </m:r>
                </m:e>
              </m:d>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e>
                  </m:d>
                </m:sup>
              </m:sSup>
            </m:num>
            <m:den>
              <m:nary>
                <m:naryPr>
                  <m:chr m:val="∑"/>
                  <m:limLoc m:val="undOvr"/>
                  <m:supHide m:val="1"/>
                  <m:ctrlPr>
                    <w:rPr>
                      <w:rFonts w:ascii="Cambria Math" w:hAnsi="Cambria Math"/>
                    </w:rPr>
                  </m:ctrlPr>
                </m:naryPr>
                <m:sub>
                  <m:r>
                    <w:rPr>
                      <w:rFonts w:ascii="Cambria Math" w:hAnsi="Cambria Math"/>
                    </w:rPr>
                    <m:t>h</m:t>
                  </m:r>
                </m:sub>
                <m:sup/>
                <m:e>
                  <m:sSubSup>
                    <m:sSubSupPr>
                      <m:ctrlPr>
                        <w:rPr>
                          <w:rFonts w:ascii="Cambria Math" w:hAnsi="Cambria Math"/>
                        </w:rPr>
                      </m:ctrlPr>
                    </m:sSubSupPr>
                    <m:e>
                      <m:r>
                        <w:rPr>
                          <w:rFonts w:ascii="Cambria Math" w:hAnsi="Cambria Math"/>
                        </w:rPr>
                        <m:t>R</m:t>
                      </m:r>
                    </m:e>
                    <m:sub>
                      <m:r>
                        <w:rPr>
                          <w:rFonts w:ascii="Cambria Math" w:hAnsi="Cambria Math"/>
                        </w:rPr>
                        <m:t>h</m:t>
                      </m:r>
                    </m:sub>
                    <m:sup>
                      <m:d>
                        <m:dPr>
                          <m:ctrlPr>
                            <w:rPr>
                              <w:rFonts w:ascii="Cambria Math" w:hAnsi="Cambria Math"/>
                            </w:rPr>
                          </m:ctrlPr>
                        </m:dPr>
                        <m:e>
                          <m:r>
                            <w:rPr>
                              <w:rFonts w:ascii="Cambria Math" w:hAnsi="Cambria Math"/>
                            </w:rPr>
                            <m:t>m</m:t>
                          </m:r>
                        </m:e>
                      </m:d>
                    </m:sup>
                  </m:sSubSup>
                </m:e>
              </m:nary>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h</m:t>
                              </m:r>
                            </m:sub>
                            <m:sup>
                              <m:d>
                                <m:dPr>
                                  <m:ctrlPr>
                                    <w:rPr>
                                      <w:rFonts w:ascii="Cambria Math" w:hAnsi="Cambria Math"/>
                                    </w:rPr>
                                  </m:ctrlPr>
                                </m:dPr>
                                <m:e>
                                  <m:r>
                                    <w:rPr>
                                      <w:rFonts w:ascii="Cambria Math" w:hAnsi="Cambria Math"/>
                                    </w:rPr>
                                    <m:t>m</m:t>
                                  </m:r>
                                </m:e>
                              </m:d>
                            </m:sup>
                          </m:sSubSup>
                        </m:e>
                      </m:d>
                    </m:e>
                  </m:d>
                </m:sup>
              </m:sSup>
            </m:den>
          </m:f>
        </m:oMath>
      </m:oMathPara>
    </w:p>
    <w:p w14:paraId="0A984C9A" w14:textId="71024853" w:rsidR="00205937" w:rsidRPr="00205937" w:rsidRDefault="00205937" w:rsidP="00C5784C">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w:t>
      </w:r>
      <w:r w:rsidRPr="00205937">
        <w:rPr>
          <w:rFonts w:ascii="Verdana" w:hAnsi="Verdana" w:eastAsia="Verdana" w:cs="Verdana"/>
          <w:sz w:val="20"/>
          <w:szCs w:val="20"/>
        </w:rPr>
        <w:t xml:space="preserve">absolute difference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oMath>
      <w:r w:rsidRPr="00205937">
        <w:rPr>
          <w:rFonts w:ascii="Verdana" w:hAnsi="Verdana" w:eastAsia="Verdana" w:cs="Verdana"/>
          <w:sz w:val="20"/>
          <w:szCs w:val="20"/>
        </w:rPr>
        <w:t xml:space="preserve"> measures the distance between the individual’s performance and the group’s current centroid. The exponential term decreases as that distance increases. Multiplying by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oMath>
      <w:r w:rsidRPr="00205937">
        <w:rPr>
          <w:rFonts w:ascii="Verdana" w:hAnsi="Verdana" w:eastAsia="Verdana" w:cs="Verdana"/>
          <w:sz w:val="20"/>
          <w:szCs w:val="20"/>
        </w:rPr>
        <w:t xml:space="preserve"> accounts for the number of available places, and the denominator normalizes the weights so that the assignment probabilities sum to one. A full group has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r>
          <w:rPr>
            <w:rFonts w:ascii="Cambria Math" w:hAnsi="Cambria Math"/>
          </w:rPr>
          <m:t>=0</m:t>
        </m:r>
      </m:oMath>
      <w:r w:rsidRPr="00205937">
        <w:rPr>
          <w:rFonts w:ascii="Verdana" w:hAnsi="Verdana" w:eastAsia="Verdana" w:cs="Verdana"/>
          <w:sz w:val="20"/>
          <w:szCs w:val="20"/>
        </w:rPr>
        <w:t xml:space="preserve"> and cannot receive another individual.</w:t>
      </w:r>
    </w:p>
    <w:p w14:paraId="0FBF54BD" w14:textId="77777777" w:rsidR="00205937" w:rsidRPr="00205937"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The procedure can be stated step by step:</w:t>
      </w:r>
    </w:p>
    <w:p w14:paraId="3A229141" w14:textId="6F5B8F0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 xml:space="preserve">Initialize every group with zero members,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rsidRPr="00205937">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acc>
          <m:accPr>
            <m:chr m:val="̅"/>
            <m:ctrlPr>
              <w:rPr>
                <w:rFonts w:ascii="Cambria Math" w:hAnsi="Cambria Math"/>
              </w:rPr>
            </m:ctrlPr>
          </m:accPr>
          <m:e>
            <m:r>
              <w:rPr>
                <w:rFonts w:ascii="Cambria Math" w:hAnsi="Cambria Math"/>
              </w:rPr>
              <m:t>A</m:t>
            </m:r>
          </m:e>
        </m:acc>
      </m:oMath>
      <w:r w:rsidRPr="00205937">
        <w:rPr>
          <w:rFonts w:ascii="Verdana" w:hAnsi="Verdana" w:eastAsia="Verdana" w:cs="Verdana"/>
          <w:sz w:val="20"/>
          <w:szCs w:val="20"/>
        </w:rPr>
        <w:t>.</w:t>
      </w:r>
    </w:p>
    <w:p w14:paraId="5B2B4619" w14:textId="20B1E41E"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 xml:space="preserve">Randomly order the </w:t>
      </w:r>
      <m:oMath>
        <m:r>
          <w:rPr>
            <w:rFonts w:ascii="Cambria Math" w:hAnsi="Cambria Math"/>
          </w:rPr>
          <m:t>N</m:t>
        </m:r>
      </m:oMath>
      <w:r w:rsidRPr="00205937">
        <w:rPr>
          <w:rFonts w:ascii="Verdana" w:hAnsi="Verdana" w:eastAsia="Verdana" w:cs="Verdana"/>
          <w:sz w:val="20"/>
          <w:szCs w:val="20"/>
        </w:rPr>
        <w:t xml:space="preserve"> individuals.</w:t>
      </w:r>
    </w:p>
    <w:p w14:paraId="262D24F8"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For the next individual, calculate the assignment probabilities from the current capacities and centroids.</w:t>
      </w:r>
    </w:p>
    <w:p w14:paraId="2CF0098C"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Draw one group according to those probabilities and assign the individual to it.</w:t>
      </w:r>
    </w:p>
    <w:p w14:paraId="0FAB1654"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Reduce that group’s remaining capacity by one and update its centroid to the mean performance of its assigned members.</w:t>
      </w:r>
    </w:p>
    <w:p w14:paraId="3F9174DC" w14:textId="349BBA1E" w:rsidR="00C5784C"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Repeat until every individual has been assigned.</w:t>
      </w:r>
    </w:p>
    <w:p w14:paraId="0F98EC49" w14:textId="77777777" w:rsidR="00C5784C" w:rsidRPr="00205937" w:rsidRDefault="00C5784C" w:rsidP="00C5784C">
      <w:pPr>
        <w:spacing w:after="0" w:line="240" w:lineRule="auto"/>
      </w:pPr>
    </w:p>
    <w:p w14:paraId="3E514456" w14:textId="3F27B63E" w:rsidR="00205937"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 xml:space="preserve">The initial population mean is only a reference for empty groups; it is not counted as an additional observation when a centroid is updated. Once assignment is complete,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205937">
        <w:rPr>
          <w:rFonts w:ascii="Verdana" w:hAnsi="Verdana" w:eastAsia="Verdana" w:cs="Verdana"/>
          <w:sz w:val="20"/>
          <w:szCs w:val="20"/>
        </w:rPr>
        <w:t xml:space="preserve"> is the final mean of the group’s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205937">
        <w:rPr>
          <w:rFonts w:ascii="Verdana" w:hAnsi="Verdana" w:eastAsia="Verdana" w:cs="Verdana"/>
          <w:sz w:val="20"/>
          <w:szCs w:val="20"/>
        </w:rPr>
        <w:t xml:space="preserve"> members. Because total capacity equals </w:t>
      </w:r>
      <m:oMath>
        <m:r>
          <w:rPr>
            <w:rFonts w:ascii="Cambria Math" w:hAnsi="Cambria Math"/>
          </w:rPr>
          <m:t>N</m:t>
        </m:r>
      </m:oMath>
      <w:r w:rsidRPr="00205937">
        <w:rPr>
          <w:rFonts w:ascii="Verdana" w:hAnsi="Verdana" w:eastAsia="Verdana" w:cs="Verdana"/>
          <w:sz w:val="20"/>
          <w:szCs w:val="20"/>
        </w:rPr>
        <w:t>, the procedure fills every group exactly.</w:t>
      </w:r>
    </w:p>
    <w:p w14:paraId="46D2D4F3" w14:textId="4801376D" w:rsidR="007016DB" w:rsidRDefault="003369EC" w:rsidP="003369EC">
      <w:pPr>
        <w:rPr>
          <w:rFonts w:ascii="Verdana" w:hAnsi="Verdana" w:eastAsia="Verdana" w:cs="Verdana"/>
          <w:sz w:val="20"/>
          <w:szCs w:val="20"/>
        </w:rPr>
        <w:spacing w:line="480" w:lineRule="auto"/>
      </w:pP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Chapter4Figure4 \h </w:instrText>
      </w:r>
      <w:r>
        <w:rPr>
          <w:rFonts w:ascii="Verdana" w:hAnsi="Verdana" w:eastAsia="Verdana" w:cs="Verdana"/>
          <w:sz w:val="20"/>
          <w:szCs w:val="20"/>
        </w:rPr>
        <w:fldChar w:fldCharType="separate"/>
      </w:r>
      <w:r w:rsidR="005E5BEF">
        <w:rPr>
          <w:rFonts w:ascii="Verdana" w:hAnsi="Verdana" w:eastAsia="Verdana" w:cs="Verdana"/>
          <w:sz w:val="20"/>
          <w:szCs w:val="20"/>
        </w:rPr>
        <w:t>Figure 4-6</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7016DB">
        <w:rPr>
          <w:rFonts w:ascii="Verdana" w:hAnsi="Verdana" w:eastAsia="Verdana" w:cs="Verdana"/>
          <w:sz w:val="20"/>
          <w:szCs w:val="20"/>
        </w:rPr>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rPr>
          <w:rFonts w:ascii="Verdana" w:hAnsi="Verdana" w:eastAsia="Verdana" w:cs="Verdana"/>
          <w:sz w:val="20"/>
          <w:szCs w:val="20"/>
        </w:rPr>
        <w:t>ity.</w:t>
      </w:r>
    </w:p>
    <w:p w14:paraId="5F3EE914" w14:textId="77777777" w:rsidR="003369EC" w:rsidRDefault="003369EC" w:rsidP="00C5784C">
      <w:pPr>
        <w:keepNext/>
        <w:pStyle w:val="Illustration"/>
        <w:jc w:val="center"/>
        <w:ind w:left="0" w:right="0" w:firstLine="0"/>
        <w:spacing w:line="240" w:lineRule="auto"/>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0EF61339" w14:textId="5DA611DF" w:rsidR="003369EC" w:rsidRPr="00205937" w:rsidRDefault="003369EC" w:rsidP="00D8262B">
      <w:pPr>
        <w:pStyle w:val="Caption"/>
        <w:spacing w:line="240" w:lineRule="auto"/>
        <w:rPr>
          <w:rFonts w:ascii="Trebuchet MS" w:hAnsi="Trebuchet MS" w:eastAsia="Trebuchet MS" w:cs="Trebuchet MS"/>
          <w:sz w:val="18"/>
          <w:szCs w:val="18"/>
          <w:b w:val="0"/>
          <w:bCs w:val="0"/>
        </w:rPr>
      </w:pPr>
      <w:bookmarkStart w:id="31" w:name="Chapter4Figure4"/>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6</w:t>
        </w:r>
      </w:fldSimple>
      <w:bookmarkEnd w:id="31"/>
      <w:r>
        <w:rPr/>
        <w:t xml:space="preserve">. </w:t>
      </w:r>
      <w:r w:rsidRPr="0030367F">
        <w:rPr>
          <w:b w:val="1"/>
          <w:bCs w:val="1"/>
          <w:rFonts w:ascii="Trebuchet MS" w:hAnsi="Trebuchet MS" w:eastAsia="Trebuchet MS" w:cs="Trebuchet MS"/>
          <w:sz w:val="18"/>
          <w:szCs w:val="18"/>
          <w:rStyle w:val="CaptionTitle"/>
        </w:rPr>
        <w:t xml:space="preserve">Sequential assignment with evolving group centroids</w:t>
      </w:r>
      <w:r w:rsidRPr="00436C53">
        <w:rPr/>
        <w:t>.</w:t>
      </w:r>
      <w:r>
        <w:rPr>
          <w:rFonts w:ascii="Trebuchet MS" w:hAnsi="Trebuchet MS" w:eastAsia="Trebuchet MS" w:cs="Trebuchet MS"/>
          <w:sz w:val="18"/>
          <w:szCs w:val="18"/>
        </w:rPr>
        <w:t xml:space="preserve">  Six individuals with performance values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-1.5,-0.9,-0.3,0.3,0.9,1.5</m:t>
            </m:r>
          </m:e>
        </m:d>
      </m:oMath>
      <w:r>
        <w:rPr>
          <w:rFonts w:ascii="Trebuchet MS" w:hAnsi="Trebuchet MS" w:eastAsia="Trebuchet MS" w:cs="Trebuchet MS"/>
          <w:sz w:val="18"/>
          <w:szCs w:val="18"/>
        </w:rPr>
        <w:t xml:space="preserve"> are assigned to two groups of capacity three using </w:t>
      </w:r>
      <m:oMath>
        <m:r>
          <w:rPr>
            <w:rFonts w:ascii="Cambria Math" w:hAnsi="Cambria Math"/>
          </w:rPr>
          <m:t>ρ=2</m:t>
        </m:r>
      </m:oMath>
      <w:r>
        <w:rPr>
          <w:rFonts w:ascii="Trebuchet MS" w:hAnsi="Trebuchet MS" w:eastAsia="Trebuchet MS" w:cs="Trebuchet MS"/>
          <w:sz w:val="18"/>
          <w:szCs w:val="18"/>
        </w:rPr>
        <w:t xml:space="preserve">. Both empty groups begin with the population mean, </w:t>
      </w:r>
      <m:oMath>
        <m:acc>
          <m:accPr>
            <m:chr m:val="̅"/>
            <m:ctrlPr>
              <w:rPr>
                <w:rFonts w:ascii="Cambria Math" w:hAnsi="Cambria Math"/>
              </w:rPr>
            </m:ctrlPr>
          </m:accPr>
          <m:e>
            <m:r>
              <w:rPr>
                <w:rFonts w:ascii="Cambria Math" w:hAnsi="Cambria Math"/>
              </w:rPr>
              <m:t>A</m:t>
            </m:r>
          </m:e>
        </m:acc>
        <m:r>
          <w:rPr>
            <w:rFonts w:ascii="Cambria Math" w:hAnsi="Cambria Math"/>
          </w:rPr>
          <m:t>=0</m:t>
        </m:r>
      </m:oMath>
      <w:r>
        <w:rPr>
          <w:rFonts w:ascii="Trebuchet MS" w:hAnsi="Trebuchet MS" w:eastAsia="Trebuchet MS" w:cs="Trebuchet MS"/>
          <w:sz w:val="18"/>
          <w:szCs w:val="18"/>
        </w:rP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p>
    <w:p w14:paraId="7A6B395A" w14:textId="1A3000A2" w:rsidR="00CB3150"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 xml:space="preserve">At </w:t>
      </w:r>
      <m:oMath>
        <m:r>
          <w:rPr>
            <w:rFonts w:ascii="Cambria Math" w:hAnsi="Cambria Math"/>
          </w:rPr>
          <m:t>ρ=0</m:t>
        </m:r>
      </m:oMath>
      <w:r w:rsidRPr="00205937">
        <w:rPr>
          <w:rFonts w:ascii="Verdana" w:hAnsi="Verdana" w:eastAsia="Verdana" w:cs="Verdana"/>
          <w:sz w:val="20"/>
          <w:szCs w:val="20"/>
        </w:rPr>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rPr>
          <m:t>ρ</m:t>
        </m:r>
      </m:oMath>
      <w:r w:rsidRPr="00205937">
        <w:rPr>
          <w:rFonts w:ascii="Verdana" w:hAnsi="Verdana" w:eastAsia="Verdana" w:cs="Verdana"/>
          <w:sz w:val="20"/>
          <w:szCs w:val="20"/>
        </w:rPr>
        <w:t xml:space="preserve"> introduces a preference for similar performance, but does not remove randomness. Because each assignment changes a centroid, the arrival order and earlier random choices can influence subsequent assignments and the final groups.</w:t>
      </w:r>
    </w:p>
    <w:p w14:paraId="7E84229C" w14:textId="3E9502F2" w:rsidR="00CB3150" w:rsidRDefault="00000000">
      <w:pPr>
        <w:rPr>
          <w:rFonts w:ascii="Verdana" w:hAnsi="Verdana" w:eastAsia="Verdana" w:cs="Verdana"/>
          <w:sz w:val="21"/>
          <w:szCs w:val="21"/>
          <w:b w:val="1"/>
          <w:bCs w:val="1"/>
        </w:rPr>
        <w:pStyle w:val="Heading2"/>
        <w:spacing w:line="240" w:lineRule="auto"/>
      </w:pPr>
      <w:bookmarkStart w:id="32" w:name="preference-and-realized-sorting"/>
      <w:bookmarkEnd w:id="30"/>
      <w:r>
        <w:rPr>
          <w:rFonts w:ascii="Verdana" w:hAnsi="Verdana" w:eastAsia="Verdana" w:cs="Verdana"/>
          <w:sz w:val="21"/>
          <w:szCs w:val="21"/>
          <w:b w:val="1"/>
          <w:bCs w:val="1"/>
        </w:rPr>
        <w:lastRenderedPageBreak/>
        <w:t xml:space="preserve">4.6.3 </w:t>
      </w:r>
      <w:r w:rsidR="0050416D">
        <w:rPr>
          <w:rFonts w:ascii="Verdana" w:hAnsi="Verdana" w:eastAsia="Verdana" w:cs="Verdana"/>
          <w:sz w:val="21"/>
          <w:szCs w:val="21"/>
          <w:b w:val="1"/>
          <w:bCs w:val="1"/>
        </w:rPr>
        <w:t>Measuring the sorting that results</w:t>
      </w:r>
    </w:p>
    <w:p w14:paraId="68293E9C" w14:textId="1D6FB079"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The parameter </w:t>
      </w:r>
      <m:oMath>
        <m:r>
          <m:rPr>
            <m:sty m:val="bi"/>
          </m:rPr>
          <w:rPr>
            <w:rFonts w:ascii="Cambria Math" w:hAnsi="Cambria Math"/>
          </w:rPr>
          <m:t>ρ</m:t>
        </m:r>
      </m:oMath>
      <w:r w:rsidRPr="0050416D">
        <w:rPr>
          <w:rFonts w:ascii="Verdana" w:hAnsi="Verdana" w:eastAsia="Verdana" w:cs="Verdana"/>
          <w:sz w:val="20"/>
          <w:szCs w:val="20"/>
        </w:rPr>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rPr>
          <m:t>A</m:t>
        </m:r>
      </m:oMath>
      <w:r w:rsidRPr="0050416D">
        <w:rPr>
          <w:rFonts w:ascii="Verdana" w:hAnsi="Verdana" w:eastAsia="Verdana" w:cs="Verdana"/>
          <w:sz w:val="20"/>
          <w:szCs w:val="20"/>
        </w:rPr>
        <w:t xml:space="preserve"> lies between groups rather than within them.</w:t>
      </w:r>
    </w:p>
    <w:p w14:paraId="1153D26C"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If each group contains a broad mixture resembling the population, its mean will be close to the population mean. If similar performers cluster together, groups will tend to be more internally homogeneous and their means will differ more from one another.</w:t>
      </w:r>
    </w:p>
    <w:p w14:paraId="57BC345A" w14:textId="3229A981"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We </w:t>
      </w:r>
      <w:r w:rsidR="00A967C4">
        <w:rPr>
          <w:rFonts w:ascii="Verdana" w:hAnsi="Verdana" w:eastAsia="Verdana" w:cs="Verdana"/>
          <w:sz w:val="20"/>
          <w:szCs w:val="20"/>
        </w:rPr>
        <w:t xml:space="preserve">summarize this assortativity pattern, we introduce the term </w:t>
      </w:r>
      <m:oMath>
        <m:sSub>
          <m:sSubPr>
            <m:ctrlPr>
              <w:rPr>
                <w:rFonts w:ascii="Cambria Math" w:hAnsi="Cambria Math"/>
              </w:rPr>
            </m:ctrlPr>
          </m:sSubPr>
          <m:e>
            <m:r>
              <w:rPr>
                <w:rFonts w:ascii="Cambria Math" w:hAnsi="Cambria Math"/>
              </w:rPr>
              <m:t>H</m:t>
            </m:r>
          </m:e>
          <m:sub>
            <m:r>
              <m:rPr>
                <m:sty m:val="p"/>
              </m:rPr>
              <w:rPr>
                <w:rFonts w:ascii="Cambria Math" w:hAnsi="Cambria Math"/>
              </w:rPr>
              <m:t>sort</m:t>
            </m:r>
          </m:sub>
        </m:sSub>
      </m:oMath>
      <w:r w:rsidR="00A967C4">
        <w:rPr>
          <w:rFonts w:ascii="Verdana" w:hAnsi="Verdana" w:eastAsia="Verdana" w:cs="Verdana"/>
          <w:sz w:val="20"/>
          <w:szCs w:val="20"/>
        </w:rPr>
        <w:t xml:space="preserve"> </w:t>
      </w:r>
      <w:r w:rsidR="00A967C4">
        <w:rPr>
          <w:rFonts w:ascii="Verdana" w:hAnsi="Verdana" w:eastAsia="Verdana" w:cs="Verdana"/>
          <w:sz w:val="20"/>
          <w:szCs w:val="20"/>
        </w:rPr>
        <w:t xml:space="preserve">which </w:t>
      </w:r>
      <w:r w:rsidR="00A967C4">
        <w:rPr>
          <w:rFonts w:ascii="Verdana" w:hAnsi="Verdana" w:eastAsia="Verdana" w:cs="Verdana"/>
          <w:sz w:val="20"/>
          <w:szCs w:val="20"/>
        </w:rPr>
        <w:t xml:space="preserve">measures the fraction of variation in individual performance that lies between groups rather than within them.  It tells us how strongly individuals are sorted into groups by performance: when group membership tells us little about an individual’s performance, </w:t>
      </w:r>
      <m:oMath>
        <m:sSub>
          <m:sSubPr>
            <m:ctrlPr>
              <w:rPr>
                <w:rFonts w:ascii="Cambria Math" w:hAnsi="Cambria Math"/>
              </w:rPr>
            </m:ctrlPr>
          </m:sSubPr>
          <m:e>
            <m:r>
              <w:rPr>
                <w:rFonts w:ascii="Cambria Math" w:hAnsi="Cambria Math"/>
              </w:rPr>
              <m:t>H</m:t>
            </m:r>
          </m:e>
          <m:sub>
            <m:r>
              <m:rPr>
                <m:sty m:val="p"/>
              </m:rPr>
              <w:rPr>
                <w:rFonts w:ascii="Cambria Math" w:hAnsi="Cambria Math"/>
              </w:rPr>
              <m:t>sort</m:t>
            </m:r>
          </m:sub>
        </m:sSub>
      </m:oMath>
      <w:r w:rsidR="00A967C4">
        <w:rPr>
          <w:rFonts w:ascii="Verdana" w:hAnsi="Verdana" w:eastAsia="Verdana" w:cs="Verdana"/>
          <w:sz w:val="20"/>
          <w:szCs w:val="20"/>
        </w:rPr>
        <w:t xml:space="preserve"> is low; when groups contain individuals with similar performance and differ substantially from one another, it is high.  </w:t>
      </w:r>
    </w:p>
    <w:p w14:paraId="3BC7DA1D" w14:textId="4AC2E880" w:rsidR="0050416D" w:rsidRPr="0050416D" w:rsidRDefault="00000000" w:rsidP="0050416D">
      <w:pPr>
        <w:pStyle w:val="BodyText"/>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=1-</m:t>
          </m:r>
          <m:f>
            <m:fPr>
              <m:ctrlPr>
                <w:rPr>
                  <w:rFonts w:ascii="Cambria Math" w:hAnsi="Cambria Math"/>
                </w:rPr>
              </m:ctrlPr>
            </m:fPr>
            <m:num>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7D075203" w14:textId="5E3093DA"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Here, </w:t>
      </w:r>
      <m:oMath>
        <m:r>
          <m:rPr>
            <m:sty m:val="bi"/>
          </m:rPr>
          <w:rPr>
            <w:rFonts w:ascii="Cambria Math" w:hAnsi="Cambria Math"/>
          </w:rPr>
          <m:t>g</m:t>
        </m:r>
        <m:d>
          <m:dPr>
            <m:ctrlPr>
              <w:rPr>
                <w:rFonts w:ascii="Cambria Math" w:hAnsi="Cambria Math"/>
              </w:rPr>
            </m:ctrlPr>
          </m:dPr>
          <m:e>
            <m:r>
              <m:rPr>
                <m:sty m:val="bi"/>
              </m:rPr>
              <w:rPr>
                <w:rFonts w:ascii="Cambria Math" w:hAnsi="Cambria Math"/>
              </w:rPr>
              <m:t>i</m:t>
            </m:r>
          </m:e>
        </m:d>
      </m:oMath>
      <w:r w:rsidRPr="0050416D">
        <w:rPr>
          <w:rFonts w:ascii="Verdana" w:hAnsi="Verdana" w:eastAsia="Verdana" w:cs="Verdana"/>
          <w:sz w:val="20"/>
          <w:szCs w:val="20"/>
        </w:rPr>
        <w:t xml:space="preserve"> identifies the group containing individual </w:t>
      </w:r>
      <m:oMath>
        <m:r>
          <m:rPr>
            <m:sty m:val="bi"/>
          </m:rPr>
          <w:rPr>
            <w:rFonts w:ascii="Cambria Math" w:hAnsi="Cambria Math"/>
          </w:rPr>
          <m:t>i</m:t>
        </m:r>
      </m:oMath>
      <w:r w:rsidRPr="0050416D">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w:r w:rsidRPr="0050416D">
        <w:rPr>
          <w:rFonts w:ascii="Verdana" w:hAnsi="Verdana" w:eastAsia="Verdana" w:cs="Verdana"/>
          <w:sz w:val="20"/>
          <w:szCs w:val="20"/>
        </w:rPr>
        <w:t xml:space="preserve"> is that group’s final mean of </w:t>
      </w:r>
      <m:oMath>
        <m:r>
          <m:rPr>
            <m:sty m:val="bi"/>
          </m:rPr>
          <w:rPr>
            <w:rFonts w:ascii="Cambria Math" w:hAnsi="Cambria Math"/>
          </w:rPr>
          <m:t>A</m:t>
        </m:r>
      </m:oMath>
      <w:r w:rsidRPr="0050416D">
        <w:rPr>
          <w:rFonts w:ascii="Verdana" w:hAnsi="Verdana" w:eastAsia="Verdana" w:cs="Verdana"/>
          <w:sz w:val="20"/>
          <w:szCs w:val="20"/>
        </w:rPr>
        <w:t xml:space="preserve">, including individual </w:t>
      </w:r>
      <m:oMath>
        <m:r>
          <m:rPr>
            <m:sty m:val="bi"/>
          </m:rPr>
          <w:rPr>
            <w:rFonts w:ascii="Cambria Math" w:hAnsi="Cambria Math"/>
          </w:rPr>
          <m:t>i</m:t>
        </m:r>
      </m:oMath>
      <w:r w:rsidRPr="0050416D">
        <w:rPr>
          <w:rFonts w:ascii="Verdana" w:hAnsi="Verdana" w:eastAsia="Verdana" w:cs="Verdana"/>
          <w:sz w:val="20"/>
          <w:szCs w:val="20"/>
        </w:rPr>
        <w:t xml:space="preserve">, and </w:t>
      </w:r>
      <m:oMath>
        <m:acc>
          <m:accPr>
            <m:chr m:val="̅"/>
            <m:ctrlPr>
              <w:rPr>
                <w:rFonts w:ascii="Cambria Math" w:hAnsi="Cambria Math"/>
              </w:rPr>
            </m:ctrlPr>
          </m:accPr>
          <m:e>
            <m:r>
              <m:rPr>
                <m:sty m:val="bi"/>
              </m:rPr>
              <w:rPr>
                <w:rFonts w:ascii="Cambria Math" w:hAnsi="Cambria Math"/>
              </w:rPr>
              <m:t>A</m:t>
            </m:r>
          </m:e>
        </m:acc>
      </m:oMath>
      <w:r w:rsidRPr="0050416D">
        <w:rPr>
          <w:rFonts w:ascii="Verdana" w:hAnsi="Verdana" w:eastAsia="Verdana" w:cs="Verdana"/>
          <w:sz w:val="20"/>
          <w:szCs w:val="20"/>
        </w:rPr>
        <w:t xml:space="preserve"> is the population mean of </w:t>
      </w:r>
      <m:oMath>
        <m:r>
          <m:rPr>
            <m:sty m:val="bi"/>
          </m:rPr>
          <w:rPr>
            <w:rFonts w:ascii="Cambria Math" w:hAnsi="Cambria Math"/>
          </w:rPr>
          <m:t>A</m:t>
        </m:r>
      </m:oMath>
      <w:r w:rsidRPr="0050416D">
        <w:rPr>
          <w:rFonts w:ascii="Verdana" w:hAnsi="Verdana" w:eastAsia="Verdana" w:cs="Verdana"/>
          <w:sz w:val="20"/>
          <w:szCs w:val="20"/>
        </w:rPr>
        <w:t>. Both sums run over all individuals in the population.</w:t>
      </w:r>
    </w:p>
    <w:p w14:paraId="1CE2483C"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2FF9E51D"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This interpretation follows from the decomposition</w:t>
      </w:r>
    </w:p>
    <w:p w14:paraId="10285400" w14:textId="46A686CD" w:rsidR="0050416D" w:rsidRPr="0050416D" w:rsidRDefault="00000000" w:rsidP="0050416D">
      <w:pPr>
        <w:pStyle w:val="BodyText"/>
      </w:pPr>
      <m:oMathPara>
        <m:oMath>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r>
            <m:rPr>
              <m:sty m:val="bi"/>
            </m:rPr>
            <w:rPr>
              <w:rFonts w:ascii="Cambria Math" w:hAnsi="Cambria Math"/>
            </w:rPr>
            <m:t>=</m:t>
          </m:r>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r>
            <m:rPr>
              <m:sty m:val="bi"/>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oMath>
      </m:oMathPara>
    </w:p>
    <w:p w14:paraId="762B4D80"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For each individual, the deviation from the population mean can be written as the deviation from their group mean plus the group mean’s deviation from the population mean. When these expressions are squared and summed, the cross terms vanish because individuals’ deviations from their own group mean sum to zero. Consequently,</w:t>
      </w:r>
    </w:p>
    <w:p w14:paraId="23CEB214" w14:textId="26AB7629" w:rsidR="0050416D" w:rsidRPr="0050416D" w:rsidRDefault="00000000" w:rsidP="0050416D">
      <w:pPr>
        <w:pStyle w:val="BodyText"/>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4B927EC2" w14:textId="48187C8C"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Provided the population has positive variation in </w:t>
      </w:r>
      <m:oMath>
        <m:r>
          <m:rPr>
            <m:sty m:val="bi"/>
          </m:rPr>
          <w:rPr>
            <w:rFonts w:ascii="Cambria Math" w:hAnsi="Cambria Math"/>
          </w:rPr>
          <m:t>A</m:t>
        </m:r>
      </m:oMath>
      <w:r w:rsidRPr="0050416D">
        <w:rPr>
          <w:rFonts w:ascii="Verdana" w:hAnsi="Verdana" w:eastAsia="Verdana" w:cs="Verdana"/>
          <w:sz w:val="20"/>
          <w:szCs w:val="20"/>
        </w:rPr>
        <w:t xml:space="preserve">, the index lies between zero and one. A value of zero means all group means equal the population mean. A value of one means there is no variation within groups. If everyone has the same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50416D">
        <w:rPr>
          <w:rFonts w:ascii="Verdana" w:hAnsi="Verdana" w:eastAsia="Verdana" w:cs="Verdana"/>
          <w:sz w:val="20"/>
          <w:szCs w:val="20"/>
        </w:rPr>
        <w:t>, total variation is zero and the index is undefined.</w:t>
      </w:r>
    </w:p>
    <w:p w14:paraId="4E15BBFB" w14:textId="708CE41B"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rPr>
          <m:t>J</m:t>
        </m:r>
      </m:oMath>
      <w:r w:rsidRPr="0050416D">
        <w:rPr>
          <w:rFonts w:ascii="Verdana" w:hAnsi="Verdana" w:eastAsia="Verdana" w:cs="Verdana"/>
          <w:sz w:val="20"/>
          <w:szCs w:val="20"/>
        </w:rPr>
        <w:t xml:space="preserve"> nonempty groups with fixed capacities,</w:t>
      </w:r>
    </w:p>
    <w:p w14:paraId="55FB3CEC" w14:textId="0D6AD9FA" w:rsidR="0050416D" w:rsidRPr="0050416D" w:rsidRDefault="0050416D" w:rsidP="0050416D">
      <w:pPr>
        <w:pStyle w:val="BodyText"/>
      </w:pPr>
      <m:oMathPara>
        <m:oMath>
          <m:r>
            <m:rPr>
              <m:scr m:val="double-struck"/>
              <m:sty m:val="b"/>
            </m:rPr>
            <w:rPr>
              <w:rFonts w:ascii="Cambria Math" w:hAnsi="Cambria Math"/>
            </w:rPr>
            <m:t>E</m:t>
          </m:r>
          <m:r>
            <m:rPr>
              <m:sty m:val="bi"/>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e>
          </m:d>
          <m:r>
            <m:rPr>
              <m:sty m:val="bi"/>
            </m:rPr>
            <w:rPr>
              <w:rFonts w:ascii="Cambria Math" w:hAnsi="Cambria Math"/>
            </w:rPr>
            <m:t>=</m:t>
          </m:r>
          <m:f>
            <m:fPr>
              <m:ctrlPr>
                <w:rPr>
                  <w:rFonts w:ascii="Cambria Math" w:hAnsi="Cambria Math"/>
                </w:rPr>
              </m:ctrlPr>
            </m:fPr>
            <m:num>
              <m:r>
                <m:rPr>
                  <m:sty m:val="bi"/>
                </m:rPr>
                <w:rPr>
                  <w:rFonts w:ascii="Cambria Math" w:hAnsi="Cambria Math"/>
                </w:rPr>
                <m:t>J-1</m:t>
              </m:r>
            </m:num>
            <m:den>
              <m:r>
                <m:rPr>
                  <m:sty m:val="bi"/>
                </m:rPr>
                <w:rPr>
                  <w:rFonts w:ascii="Cambria Math" w:hAnsi="Cambria Math"/>
                </w:rPr>
                <m:t>N-1</m:t>
              </m:r>
            </m:den>
          </m:f>
          <m:r>
            <m:rPr>
              <m:sty m:val="bi"/>
            </m:rPr>
            <w:rPr>
              <w:rFonts w:ascii="Cambria Math" w:hAnsi="Cambria Math"/>
            </w:rPr>
            <m:t>,</m:t>
          </m:r>
        </m:oMath>
      </m:oMathPara>
    </w:p>
    <w:p w14:paraId="225D1628" w14:textId="194C397F"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where </w:t>
      </w:r>
      <m:oMath>
        <m:r>
          <m:rPr>
            <m:scr m:val="double-struck"/>
            <m:sty m:val="b"/>
          </m:rPr>
          <w:rPr>
            <w:rFonts w:ascii="Cambria Math" w:hAnsi="Cambria Math"/>
          </w:rPr>
          <m:t>E</m:t>
        </m:r>
      </m:oMath>
      <w:r w:rsidRPr="0050416D">
        <w:rPr>
          <w:rFonts w:ascii="Verdana" w:hAnsi="Verdana" w:eastAsia="Verdana" w:cs="Verdana"/>
          <w:sz w:val="20"/>
          <w:szCs w:val="20"/>
        </w:rPr>
        <w:t xml:space="preserve"> denotes the average over possible random assignments. This expression gives the expected reference value, while repeated random assignments show how much individual realizations can vary around it.</w:t>
      </w:r>
    </w:p>
    <w:p w14:paraId="3BA980DE" w14:textId="03B8E0CF" w:rsidR="0050416D" w:rsidRDefault="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We therefore report both the assignment preference </w:t>
      </w:r>
      <m:oMath>
        <m:r>
          <w:rPr>
            <w:rFonts w:ascii="Cambria Math" w:hAnsi="Cambria Math"/>
          </w:rPr>
          <m:t>ρ</m:t>
        </m:r>
      </m:oMath>
      <w:r w:rsidRPr="0050416D">
        <w:rPr>
          <w:rFonts w:ascii="Verdana" w:hAnsi="Verdana" w:eastAsia="Verdana" w:cs="Verdana"/>
          <w:sz w:val="20"/>
          <w:szCs w:val="20"/>
        </w:rPr>
        <w:t xml:space="preserve"> and the resulting </w:t>
      </w:r>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oMath>
      <w:r w:rsidRPr="0050416D">
        <w:rPr>
          <w:rFonts w:ascii="Verdana" w:hAnsi="Verdana" w:eastAsia="Verdana" w:cs="Verdana"/>
          <w:sz w:val="20"/>
          <w:szCs w:val="20"/>
        </w:rPr>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rPr>
          <m:t>ρ=0</m:t>
        </m:r>
      </m:oMath>
      <w:r w:rsidRPr="0050416D">
        <w:rPr>
          <w:rFonts w:ascii="Verdana" w:hAnsi="Verdana" w:eastAsia="Verdana" w:cs="Verdana"/>
          <w:sz w:val="20"/>
          <w:szCs w:val="20"/>
        </w:rPr>
        <w:t xml:space="preserve"> should not be equated with an observed sorting index of zero</w:t>
      </w:r>
      <w:r>
        <w:rPr>
          <w:rFonts w:ascii="Verdana" w:hAnsi="Verdana" w:eastAsia="Verdana" w:cs="Verdana"/>
          <w:sz w:val="20"/>
          <w:szCs w:val="20"/>
        </w:rPr>
        <w:t>.</w:t>
      </w:r>
    </w:p>
    <w:p w14:paraId="4616D931" w14:textId="71922EAF" w:rsidR="00CB3150" w:rsidRDefault="00000000">
      <w:pPr>
        <w:rPr>
          <w:rFonts w:ascii="Verdana" w:hAnsi="Verdana" w:eastAsia="Verdana" w:cs="Verdana"/>
          <w:sz w:val="21"/>
          <w:szCs w:val="21"/>
          <w:b w:val="1"/>
          <w:bCs w:val="1"/>
        </w:rPr>
        <w:pStyle w:val="Heading2"/>
        <w:spacing w:line="240" w:lineRule="auto"/>
      </w:pPr>
      <w:bookmarkStart w:id="33" w:name="X1ad203f4aedc8fcded9afae827919e65ec1bf18"/>
      <w:bookmarkEnd w:id="32"/>
      <w:r>
        <w:rPr>
          <w:rFonts w:ascii="Verdana" w:hAnsi="Verdana" w:eastAsia="Verdana" w:cs="Verdana"/>
          <w:sz w:val="21"/>
          <w:szCs w:val="21"/>
          <w:b w:val="1"/>
          <w:bCs w:val="1"/>
        </w:rPr>
        <w:t xml:space="preserve">4.6.4 </w:t>
      </w:r>
      <w:r w:rsidR="0050416D">
        <w:rPr>
          <w:rFonts w:ascii="Verdana" w:hAnsi="Verdana" w:eastAsia="Verdana" w:cs="Verdana"/>
          <w:sz w:val="21"/>
          <w:szCs w:val="21"/>
          <w:b w:val="1"/>
          <w:bCs w:val="1"/>
        </w:rPr>
        <w:t>Using artificial groups to investigate congestion</w:t>
      </w:r>
    </w:p>
    <w:p w14:paraId="7FB19BA2" w14:textId="1015ED3B"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5BAC98AD" w14:textId="77777777"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076A043C" w14:textId="150C344F"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lastRenderedPageBreak/>
        <w:t xml:space="preserve">To examine the consequences of sorting, we instead vary </w:t>
      </w:r>
      <m:oMath>
        <m:r>
          <w:rPr>
            <w:rFonts w:ascii="Cambria Math" w:hAnsi="Cambria Math"/>
          </w:rPr>
          <m:t>ρ</m:t>
        </m:r>
      </m:oMath>
      <w:r w:rsidRPr="0050416D">
        <w:rPr>
          <w:rFonts w:ascii="Verdana" w:hAnsi="Verdana" w:eastAsia="Verdana" w:cs="Verdana"/>
          <w:sz w:val="20"/>
          <w:szCs w:val="20"/>
        </w:rPr>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3FF49B95" w14:textId="363B0A80" w:rsidR="00CB3150"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60189B5" w14:textId="77777777" w:rsidR="00CB3150" w:rsidRDefault="00000000">
      <w:pPr>
        <w:rPr>
          <w:rFonts w:ascii="Verdana" w:hAnsi="Verdana" w:eastAsia="Verdana" w:cs="Verdana"/>
          <w:sz w:val="28"/>
          <w:szCs w:val="28"/>
          <w:b w:val="1"/>
          <w:bCs w:val="1"/>
        </w:rPr>
        <w:pStyle w:val="Heading1"/>
        <w:spacing w:line="240" w:lineRule="auto"/>
      </w:pPr>
      <w:bookmarkStart w:id="34" w:name="X3c3c4c0997d1df4bc4320797fc414201263c54a"/>
      <w:bookmarkEnd w:id="28"/>
      <w:bookmarkEnd w:id="33"/>
      <w:r>
        <w:rPr>
          <w:rFonts w:ascii="Verdana" w:hAnsi="Verdana" w:eastAsia="Verdana" w:cs="Verdana"/>
          <w:sz w:val="28"/>
          <w:szCs w:val="28"/>
          <w:b w:val="1"/>
          <w:bCs w:val="1"/>
        </w:rPr>
        <w:t>4.7 What the completed mechanism experiments establish</w:t>
      </w:r>
    </w:p>
    <w:p w14:paraId="240CB1C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160D1502" w14:textId="77777777" w:rsidR="00CB3150" w:rsidRDefault="00000000">
      <w:pPr>
        <w:rPr>
          <w:rFonts w:ascii="Verdana" w:hAnsi="Verdana" w:eastAsia="Verdana" w:cs="Verdana"/>
          <w:sz w:val="21"/>
          <w:szCs w:val="21"/>
          <w:b w:val="1"/>
          <w:bCs w:val="1"/>
        </w:rPr>
        <w:pStyle w:val="Heading2"/>
        <w:spacing w:line="240" w:lineRule="auto"/>
      </w:pPr>
      <w:bookmarkStart w:id="35" w:name="experimental-setting-and-interpretation"/>
      <w:r>
        <w:rPr>
          <w:rFonts w:ascii="Verdana" w:hAnsi="Verdana" w:eastAsia="Verdana" w:cs="Verdana"/>
          <w:sz w:val="21"/>
          <w:szCs w:val="21"/>
          <w:b w:val="1"/>
          <w:bCs w:val="1"/>
        </w:rPr>
        <w:t>4.7.1 Experimental setting and interpretation</w:t>
      </w:r>
    </w:p>
    <w:p w14:paraId="0EEBAEEB" w14:textId="58C8EB9B"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rPr>
          <m:t>γ</m:t>
        </m:r>
        <m:r>
          <m:rPr>
            <m:sty m:val="p"/>
          </m:rPr>
          <w:rPr>
            <w:rFonts w:ascii="Cambria Math" w:hAnsi="Cambria Math"/>
          </w:rPr>
          <m:t>=</m:t>
        </m:r>
        <m:r>
          <w:rPr>
            <w:rFonts w:ascii="Cambria Math" w:hAnsi="Cambria Math"/>
          </w:rPr>
          <m:t>10</m:t>
        </m:r>
      </m:oMath>
      <w:r>
        <w:rPr>
          <w:rFonts w:ascii="Verdana" w:hAnsi="Verdana" w:eastAsia="Verdana" w:cs="Verdana"/>
          <w:sz w:val="20"/>
          <w:szCs w:val="20"/>
        </w:rPr>
        <w:t xml:space="preserve">, and a </w:t>
      </w:r>
      <m:oMath>
        <m:r>
          <w:rPr>
            <w:rFonts w:ascii="Cambria Math" w:hAnsi="Cambria Math"/>
          </w:rPr>
          <m:t>θ</m:t>
        </m:r>
      </m:oMath>
      <w:r>
        <w:rPr>
          <w:rFonts w:ascii="Verdana" w:hAnsi="Verdana" w:eastAsia="Verdana" w:cs="Verdana"/>
          <w:sz w:val="20"/>
          <w:szCs w:val="20"/>
        </w:rPr>
        <w:t xml:space="preserve"> fixed at the season’s 99th performance percentile. The selection rule was deterministic top-</w:t>
      </w:r>
      <m:oMath>
        <m:r>
          <w:rPr>
            <w:rFonts w:ascii="Cambria Math" w:hAnsi="Cambria Math"/>
          </w:rPr>
          <m:t>K</m:t>
        </m:r>
      </m:oMath>
      <w:r>
        <w:rPr>
          <w:rFonts w:ascii="Verdana" w:hAnsi="Verdana" w:eastAsia="Verdana" w:cs="Verdana"/>
          <w:sz w:val="20"/>
          <w:szCs w:val="20"/>
        </w:rPr>
        <w:t>. Thus these experiments demonstrate behavior of the deterministic member of the model family; they are not results from the unrestricted stochastic SELECT rule. [14]</w:t>
      </w:r>
    </w:p>
    <w:p w14:paraId="02A221E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characteristic values came from measured basketball production and should not be relabeled portable or innate talent. The 2015 working population contained 4,267 players on 351 teams. </w:t>
      </w:r>
      <w:r>
        <w:rPr>
          <w:rFonts w:ascii="Verdana" w:hAnsi="Verdana" w:eastAsia="Verdana" w:cs="Verdana"/>
          <w:sz w:val="20"/>
          <w:szCs w:val="20"/>
        </w:rPr>
        <w:lastRenderedPageBreak/>
        <w:t>The same athlete can appear in more than one year, and repeated assignments do not create independent empirical populations. These are controlled mechanism experiments, not a held-out prediction exercise or a causal estimate of basketball peer effects.</w:t>
      </w:r>
    </w:p>
    <w:p w14:paraId="20FB34B2" w14:textId="77777777" w:rsidR="00CB3150" w:rsidRDefault="00000000">
      <w:pPr>
        <w:rPr>
          <w:rFonts w:ascii="Verdana" w:hAnsi="Verdana" w:eastAsia="Verdana" w:cs="Verdana"/>
          <w:sz w:val="21"/>
          <w:szCs w:val="21"/>
          <w:b w:val="1"/>
          <w:bCs w:val="1"/>
        </w:rPr>
        <w:pStyle w:val="Heading2"/>
        <w:spacing w:line="240" w:lineRule="auto"/>
      </w:pPr>
      <w:bookmarkStart w:id="36" w:name="X2bdcce90be781303280a4b078df70adb92028df"/>
      <w:bookmarkEnd w:id="35"/>
      <w:r>
        <w:rPr>
          <w:rFonts w:ascii="Verdana" w:hAnsi="Verdana" w:eastAsia="Verdana" w:cs="Verdana"/>
          <w:sz w:val="21"/>
          <w:szCs w:val="21"/>
          <w:b w:val="1"/>
          <w:bCs w:val="1"/>
        </w:rPr>
        <w:t>4.7.2 Congestion can change winners without similarity preference</w:t>
      </w:r>
    </w:p>
    <w:p w14:paraId="602156B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At approximately 2.7% selection and </w:t>
      </w:r>
      <m:oMath>
        <m:r>
          <w:rPr>
            <w:rFonts w:ascii="Cambria Math" w:hAnsi="Cambria Math"/>
          </w:rPr>
          <m:t>λ</m:t>
        </m:r>
        <m:r>
          <m:rPr>
            <m:sty m:val="p"/>
          </m:rPr>
          <w:rPr>
            <w:rFonts w:ascii="Cambria Math" w:hAnsi="Cambria Math"/>
          </w:rPr>
          <m:t>=</m:t>
        </m:r>
        <m:r>
          <w:rPr>
            <w:rFonts w:ascii="Cambria Math" w:hAnsi="Cambria Math"/>
          </w:rPr>
          <m:t>1</m:t>
        </m:r>
      </m:oMath>
      <w:r>
        <w:rPr>
          <w:rFonts w:ascii="Verdana" w:hAnsi="Verdana" w:eastAsia="Verdana" w:cs="Verdana"/>
          <w:sz w:val="20"/>
          <w:szCs w:val="20"/>
        </w:rP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7A08E1AD"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41C6AE5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penalty’s numerical scale helped explain the small initial changes. At </w:t>
      </w:r>
      <m:oMath>
        <m:r>
          <w:rPr>
            <w:rFonts w:ascii="Cambria Math" w:hAnsi="Cambria Math"/>
          </w:rPr>
          <m:t>λ</m:t>
        </m:r>
        <m:r>
          <m:rPr>
            <m:sty m:val="p"/>
          </m:rPr>
          <w:rPr>
            <w:rFonts w:ascii="Cambria Math" w:hAnsi="Cambria Math"/>
          </w:rPr>
          <m:t>=</m:t>
        </m:r>
        <m:r>
          <w:rPr>
            <w:rFonts w:ascii="Cambria Math" w:hAnsi="Cambria Math"/>
          </w:rPr>
          <m:t>1</m:t>
        </m:r>
      </m:oMath>
      <w:r>
        <w:rPr>
          <w:rFonts w:ascii="Verdana" w:hAnsi="Verdana" w:eastAsia="Verdana" w:cs="Verdana"/>
          <w:sz w:val="20"/>
          <w:szCs w:val="20"/>
        </w:rP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7E1A5F05" w14:textId="77777777" w:rsidR="00CB3150" w:rsidRDefault="00000000">
      <w:pPr>
        <w:rPr>
          <w:rFonts w:ascii="Verdana" w:hAnsi="Verdana" w:eastAsia="Verdana" w:cs="Verdana"/>
          <w:sz w:val="21"/>
          <w:szCs w:val="21"/>
          <w:b w:val="1"/>
          <w:bCs w:val="1"/>
        </w:rPr>
        <w:pStyle w:val="Heading2"/>
        <w:spacing w:line="240" w:lineRule="auto"/>
      </w:pPr>
      <w:bookmarkStart w:id="37" w:name="X97d9df95a828479ab0f1857fc0478829051bfc4"/>
      <w:bookmarkEnd w:id="36"/>
      <w:r>
        <w:rPr>
          <w:rFonts w:ascii="Verdana" w:hAnsi="Verdana" w:eastAsia="Verdana" w:cs="Verdana"/>
          <w:sz w:val="21"/>
          <w:szCs w:val="21"/>
          <w:b w:val="1"/>
          <w:bCs w:val="1"/>
        </w:rPr>
        <w:t>4.7.3 Penalty strength and the visibility of the tail</w:t>
      </w:r>
    </w:p>
    <w:p w14:paraId="54BC3DD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Holding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and selection near 10% fixed, the next comparison varied </w:t>
      </w:r>
      <m:oMath>
        <m:r>
          <w:rPr>
            <w:rFonts w:ascii="Cambria Math" w:hAnsi="Cambria Math"/>
          </w:rPr>
          <m:t>λ</m:t>
        </m:r>
      </m:oMath>
      <w:r>
        <w:rPr>
          <w:rFonts w:ascii="Verdana" w:hAnsi="Verdana" w:eastAsia="Verdana" w:cs="Verdana"/>
          <w:sz w:val="20"/>
          <w:szCs w:val="20"/>
        </w:rPr>
        <w:t xml:space="preserve"> across 0, 1, 2, and 4 on the same saved assignments. At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549D9169" w14:textId="59017B8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In 2015 at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xml:space="preserve">, equal-width bins 12–15 had selection rates of approximately 32.3%, 31.8%, 27.8%, and 11.9%. Their mean populations per assignment fell from about 95 to 32, 11, and 2.4. The last bin averaged only 0.26 players per assignment. The upper-tail decline was therefore not </w:t>
      </w:r>
      <w:r>
        <w:rPr>
          <w:rFonts w:ascii="Verdana" w:hAnsi="Verdana" w:eastAsia="Verdana" w:cs="Verdana"/>
          <w:sz w:val="20"/>
          <w:szCs w:val="20"/>
        </w:rPr>
        <w:lastRenderedPageBreak/>
        <w:t xml:space="preserve">solely the last bar, but its outermost estimates were supported by few </w:t>
      </w:r>
      <w:proofErr w:type="spellStart"/>
      <w:r>
        <w:rPr>
          <w:rFonts w:ascii="Verdana" w:hAnsi="Verdana" w:eastAsia="Verdana" w:cs="Verdana"/>
          <w:sz w:val="20"/>
          <w:szCs w:val="20"/>
        </w:rPr>
        <w:t>observations.</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w:t>
      </w:r>
      <w:proofErr w:type="spellEnd"/>
      <w:r w:rsidR="005E5BEF">
        <w:rPr>
          <w:rFonts w:ascii="Verdana" w:hAnsi="Verdana" w:eastAsia="Verdana" w:cs="Verdana"/>
          <w:sz w:val="20"/>
          <w:szCs w:val="20"/>
        </w:rPr>
        <w:t xml:space="preserv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retains the population-count row so that the visual pattern can be judged alongside its support.</w:t>
      </w:r>
    </w:p>
    <w:p w14:paraId="3BE05258"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27C3D4B5" w14:textId="77777777" w:rsidR="00CB3150" w:rsidRDefault="00000000">
      <w:pPr>
        <w:pStyle w:val="Illustration"/>
        <w:keepNext/>
        <w:jc w:val="center"/>
        <w:ind w:left="0" w:right="0" w:firstLine="0"/>
        <w:spacing w:line="240" w:lineRule="auto"/>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1EC3FC52" w14:textId="79040AAA" w:rsidR="00CB3150" w:rsidRDefault="00000000">
      <w:pPr>
        <w:pStyle w:val="Caption"/>
        <w:spacing w:line="240" w:lineRule="auto"/>
        <w:rPr>
          <w:rFonts w:ascii="Trebuchet MS" w:hAnsi="Trebuchet MS" w:eastAsia="Trebuchet MS" w:cs="Trebuchet MS"/>
          <w:sz w:val="18"/>
          <w:szCs w:val="18"/>
          <w:b w:val="0"/>
          <w:bCs w:val="0"/>
        </w:rPr>
      </w:pPr>
      <w:bookmarkStart w:id="38" w:name="Chapter4Figure5"/>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7</w:t>
        </w:r>
      </w:fldSimple>
      <w:bookmarkEnd w:id="38"/>
      <w:r>
        <w:rPr>
          <w:rFonts w:ascii="Trebuchet MS" w:hAnsi="Trebuchet MS" w:eastAsia="Trebuchet MS" w:cs="Trebuchet MS"/>
          <w:sz w:val="18"/>
          <w:szCs w:val="18"/>
          <w:b w:val="0"/>
          <w:bCs w:val="0"/>
        </w:rPr>
        <w:t xml:space="preserve">.  </w:t>
      </w:r>
      <w:r>
        <w:rPr>
          <w:rFonts w:ascii="Trebuchet MS" w:hAnsi="Trebuchet MS" w:eastAsia="Trebuchet MS" w:cs="Trebuchet MS"/>
          <w:sz w:val="18"/>
          <w:szCs w:val="18"/>
          <w:b w:val="1"/>
          <w:bCs w:val="1"/>
          <w:rStyle w:val="CaptionTitle"/>
        </w:rPr>
        <w:t xml:space="preserve">Penalty strength and binning in the 2015 simulation.</w:t>
      </w:r>
      <w:r>
        <w:rPr>
          <w:rFonts w:ascii="Trebuchet MS" w:hAnsi="Trebuchet MS" w:eastAsia="Trebuchet MS" w:cs="Trebuchet MS"/>
          <w:sz w:val="18"/>
          <w:szCs w:val="18"/>
          <w:b w:val="0"/>
          <w:bCs w:val="0"/>
        </w:rPr>
        <w:t xml:space="preserve"> Rows compare </w:t>
      </w:r>
      <m:oMath>
        <m:r>
          <w:rPr>
            <w:rFonts w:ascii="Cambria Math" w:hAnsi="Cambria Math"/>
          </w:rPr>
          <m:t>λ</m:t>
        </m:r>
      </m:oMath>
      <w:r>
        <w:rPr>
          <w:rFonts w:ascii="Trebuchet MS" w:hAnsi="Trebuchet MS" w:eastAsia="Trebuchet MS" w:cs="Trebuchet MS"/>
          <w:sz w:val="18"/>
          <w:szCs w:val="18"/>
        </w:rPr>
        <w:t xml:space="preserve"> = 0, 1, 2, and 4; the final row shows mean player counts per assignment. Assignment preference is </w:t>
      </w:r>
      <m:oMath>
        <m:r>
          <w:rPr>
            <w:rFonts w:ascii="Cambria Math" w:hAnsi="Cambria Math"/>
          </w:rPr>
          <m:t>ρ</m:t>
        </m:r>
        <m:r>
          <m:rPr>
            <m:sty m:val="p"/>
          </m:rPr>
          <w:rPr>
            <w:rFonts w:ascii="Cambria Math" w:hAnsi="Cambria Math"/>
          </w:rPr>
          <m:t>=</m:t>
        </m:r>
        <m:r>
          <w:rPr>
            <w:rFonts w:ascii="Cambria Math" w:hAnsi="Cambria Math"/>
          </w:rPr>
          <m:t>1</m:t>
        </m:r>
      </m:oMath>
      <w:r>
        <w:rPr>
          <w:rFonts w:ascii="Trebuchet MS" w:hAnsi="Trebuchet MS" w:eastAsia="Trebuchet MS" w:cs="Trebuchet MS"/>
          <w:sz w:val="18"/>
          <w:szCs w:val="18"/>
        </w:rP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5FB3A416" w14:textId="77777777" w:rsidR="00CB3150" w:rsidRDefault="00000000">
      <w:pPr>
        <w:rPr>
          <w:rFonts w:ascii="Verdana" w:hAnsi="Verdana" w:eastAsia="Verdana" w:cs="Verdana"/>
          <w:sz w:val="21"/>
          <w:szCs w:val="21"/>
          <w:b w:val="1"/>
          <w:bCs w:val="1"/>
        </w:rPr>
        <w:pStyle w:val="Heading2"/>
        <w:spacing w:line="240" w:lineRule="auto"/>
      </w:pPr>
      <w:bookmarkStart w:id="39" w:name="assignment-preference-and-scarcity"/>
      <w:bookmarkEnd w:id="37"/>
      <w:r>
        <w:rPr>
          <w:rFonts w:ascii="Verdana" w:hAnsi="Verdana" w:eastAsia="Verdana" w:cs="Verdana"/>
          <w:sz w:val="21"/>
          <w:szCs w:val="21"/>
          <w:b w:val="1"/>
          <w:bCs w:val="1"/>
        </w:rPr>
        <w:lastRenderedPageBreak/>
        <w:t>4.7.4 Assignment preference and scarcity</w:t>
      </w:r>
    </w:p>
    <w:p w14:paraId="09AAD914" w14:textId="18874AB0"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later comparison held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xml:space="preserve"> fixed and compared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with </w:t>
      </w:r>
      <m:oMath>
        <m:r>
          <w:rPr>
            <w:rFonts w:ascii="Cambria Math" w:hAnsi="Cambria Math"/>
          </w:rPr>
          <m:t>ρ</m:t>
        </m:r>
        <m:r>
          <m:rPr>
            <m:sty m:val="p"/>
          </m:rPr>
          <w:rPr>
            <w:rFonts w:ascii="Cambria Math" w:hAnsi="Cambria Math"/>
          </w:rPr>
          <m:t>=</m:t>
        </m:r>
        <m:r>
          <w:rPr>
            <w:rFonts w:ascii="Cambria Math" w:hAnsi="Cambria Math"/>
          </w:rPr>
          <m:t>0.05</m:t>
        </m:r>
      </m:oMath>
      <w:r>
        <w:rPr>
          <w:rFonts w:ascii="Verdana" w:hAnsi="Verdana" w:eastAsia="Verdana" w:cs="Verdana"/>
          <w:sz w:val="20"/>
          <w:szCs w:val="20"/>
        </w:rPr>
        <w:t xml:space="preserve"> at selection fractions of 50% and 1%. It reused the same saved paired assignments rather than generating new teams for each scarcity level. Lower preference substantially flattened the relative selection profile and narrowed the occupied range of peer environments. The contrast persisted at 1% selection.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expresses each bin’s rate relative to the achieved overall selection rate, making small absolute probabilities visible on a comparable relative scale. [17]</w:t>
      </w:r>
    </w:p>
    <w:p w14:paraId="7A569C1E"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67B03284"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6D8EE950" w14:textId="77777777" w:rsidR="00CB3150" w:rsidRDefault="00000000">
      <w:pPr>
        <w:pStyle w:val="Illustration"/>
        <w:keepNext/>
        <w:jc w:val="center"/>
        <w:ind w:left="0" w:right="0" w:firstLine="0"/>
        <w:spacing w:line="240" w:lineRule="auto"/>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1E998977" w14:textId="224ABADB" w:rsidR="00CB3150" w:rsidRDefault="00000000">
      <w:pPr>
        <w:pStyle w:val="Caption"/>
        <w:spacing w:line="240" w:lineRule="auto"/>
        <w:rPr>
          <w:rFonts w:ascii="Trebuchet MS" w:hAnsi="Trebuchet MS" w:eastAsia="Trebuchet MS" w:cs="Trebuchet MS"/>
          <w:sz w:val="18"/>
          <w:szCs w:val="18"/>
          <w:b w:val="0"/>
          <w:bCs w:val="0"/>
        </w:rPr>
      </w:pPr>
      <w:bookmarkStart w:id="40" w:name="Chapter4Figure6"/>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8</w:t>
        </w:r>
      </w:fldSimple>
      <w:bookmarkEnd w:id="40"/>
      <w:r>
        <w:rPr>
          <w:rFonts w:ascii="Trebuchet MS" w:hAnsi="Trebuchet MS" w:eastAsia="Trebuchet MS" w:cs="Trebuchet MS"/>
          <w:sz w:val="18"/>
          <w:szCs w:val="18"/>
          <w:b w:val="0"/>
          <w:bCs w:val="0"/>
        </w:rPr>
        <w:t xml:space="preserve">.  </w:t>
      </w:r>
      <w:r>
        <w:rPr>
          <w:rFonts w:ascii="Trebuchet MS" w:hAnsi="Trebuchet MS" w:eastAsia="Trebuchet MS" w:cs="Trebuchet MS"/>
          <w:sz w:val="18"/>
          <w:szCs w:val="18"/>
          <w:b w:val="1"/>
          <w:bCs w:val="1"/>
          <w:rStyle w:val="CaptionTitle"/>
        </w:rPr>
        <w:t xml:space="preserve">Assignment preference under two levels of scarcity in the 2015 simulation.</w:t>
      </w:r>
      <w:r>
        <w:rPr>
          <w:rFonts w:ascii="Trebuchet MS" w:hAnsi="Trebuchet MS" w:eastAsia="Trebuchet MS" w:cs="Trebuchet MS"/>
          <w:sz w:val="18"/>
          <w:szCs w:val="18"/>
          <w:b w:val="0"/>
          <w:bCs w:val="0"/>
        </w:rPr>
        <w:t xml:space="preserve"> The upper two rows show selection near 50%; the lower two show selection near 1%. Red indicates </w:t>
      </w:r>
      <m:oMath>
        <m:r>
          <w:rPr>
            <w:rFonts w:ascii="Cambria Math" w:hAnsi="Cambria Math"/>
          </w:rPr>
          <m:t>ρ</m:t>
        </m:r>
        <m:r>
          <m:rPr>
            <m:sty m:val="p"/>
          </m:rPr>
          <w:rPr>
            <w:rFonts w:ascii="Cambria Math" w:hAnsi="Cambria Math"/>
          </w:rPr>
          <m:t>=</m:t>
        </m:r>
        <m:r>
          <w:rPr>
            <w:rFonts w:ascii="Cambria Math" w:hAnsi="Cambria Math"/>
          </w:rPr>
          <m:t>1</m:t>
        </m:r>
      </m:oMath>
      <w:r>
        <w:rPr>
          <w:rFonts w:ascii="Trebuchet MS" w:hAnsi="Trebuchet MS" w:eastAsia="Trebuchet MS" w:cs="Trebuchet MS"/>
          <w:sz w:val="18"/>
          <w:szCs w:val="18"/>
        </w:rPr>
        <w:t xml:space="preserve"> and teal </w:t>
      </w:r>
      <m:oMath>
        <m:r>
          <w:rPr>
            <w:rFonts w:ascii="Cambria Math" w:hAnsi="Cambria Math"/>
          </w:rPr>
          <m:t>ρ</m:t>
        </m:r>
        <m:r>
          <m:rPr>
            <m:sty m:val="p"/>
          </m:rPr>
          <w:rPr>
            <w:rFonts w:ascii="Cambria Math" w:hAnsi="Cambria Math"/>
          </w:rPr>
          <m:t>=</m:t>
        </m:r>
        <m:r>
          <w:rPr>
            <w:rFonts w:ascii="Cambria Math" w:hAnsi="Cambria Math"/>
          </w:rPr>
          <m:t>0.05</m:t>
        </m:r>
      </m:oMath>
      <w:r>
        <w:rPr>
          <w:rFonts w:ascii="Trebuchet MS" w:hAnsi="Trebuchet MS" w:eastAsia="Trebuchet MS" w:cs="Trebuchet MS"/>
          <w:sz w:val="18"/>
          <w:szCs w:val="18"/>
        </w:rPr>
        <w:t xml:space="preserve">. The penalty is </w:t>
      </w:r>
      <m:oMath>
        <m:r>
          <w:rPr>
            <w:rFonts w:ascii="Cambria Math" w:hAnsi="Cambria Math"/>
          </w:rPr>
          <m:t>λ</m:t>
        </m:r>
        <m:r>
          <m:rPr>
            <m:sty m:val="p"/>
          </m:rPr>
          <w:rPr>
            <w:rFonts w:ascii="Cambria Math" w:hAnsi="Cambria Math"/>
          </w:rPr>
          <m:t>=</m:t>
        </m:r>
        <m:r>
          <w:rPr>
            <w:rFonts w:ascii="Cambria Math" w:hAnsi="Cambria Math"/>
          </w:rPr>
          <m:t>4</m:t>
        </m:r>
      </m:oMath>
      <w:r>
        <w:rPr>
          <w:rFonts w:ascii="Trebuchet MS" w:hAnsi="Trebuchet MS" w:eastAsia="Trebuchet MS" w:cs="Trebuchet MS"/>
          <w:sz w:val="18"/>
          <w:szCs w:val="18"/>
        </w:rP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033B6730" w14:textId="77777777" w:rsidR="00CB3150" w:rsidRDefault="00000000">
      <w:pPr>
        <w:rPr>
          <w:rFonts w:ascii="Verdana" w:hAnsi="Verdana" w:eastAsia="Verdana" w:cs="Verdana"/>
          <w:sz w:val="21"/>
          <w:szCs w:val="21"/>
          <w:b w:val="1"/>
          <w:bCs w:val="1"/>
        </w:rPr>
        <w:pStyle w:val="Heading2"/>
        <w:spacing w:line="240" w:lineRule="auto"/>
      </w:pPr>
      <w:bookmarkStart w:id="41" w:name="what-remains-to-be-established"/>
      <w:bookmarkEnd w:id="39"/>
      <w:r>
        <w:rPr>
          <w:rFonts w:ascii="Verdana" w:hAnsi="Verdana" w:eastAsia="Verdana" w:cs="Verdana"/>
          <w:sz w:val="21"/>
          <w:szCs w:val="21"/>
          <w:b w:val="1"/>
          <w:bCs w:val="1"/>
        </w:rPr>
        <w:t>4.7.5 What remains to be established</w:t>
      </w:r>
    </w:p>
    <w:p w14:paraId="18F23E7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configurations. They do not </w:t>
      </w:r>
      <w:r>
        <w:rPr>
          <w:rFonts w:ascii="Verdana" w:hAnsi="Verdana" w:eastAsia="Verdana" w:cs="Verdana"/>
          <w:sz w:val="20"/>
          <w:szCs w:val="20"/>
        </w:rPr>
        <w:lastRenderedPageBreak/>
        <w:t>prove a universal necessity theorem for assortativity or guarantee a downturn within every high-performance band.</w:t>
      </w:r>
    </w:p>
    <w:p w14:paraId="2052D3D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analytic discussion in Section 4.5 explains the roles of </w:t>
      </w:r>
      <m:oMath>
        <m:r>
          <w:rPr>
            <w:rFonts w:ascii="Cambria Math" w:hAnsi="Cambria Math"/>
          </w:rPr>
          <m:t>γ</m:t>
        </m:r>
      </m:oMath>
      <w:r>
        <w:rPr>
          <w:rFonts w:ascii="Verdana" w:hAnsi="Verdana" w:eastAsia="Verdana" w:cs="Verdana"/>
          <w:sz w:val="20"/>
          <w:szCs w:val="20"/>
        </w:rPr>
        <w:t xml:space="preserve">, </w:t>
      </w:r>
      <m:oMath>
        <m:r>
          <w:rPr>
            <w:rFonts w:ascii="Cambria Math" w:hAnsi="Cambria Math"/>
          </w:rPr>
          <m:t>θ</m:t>
        </m:r>
      </m:oMath>
      <w:r>
        <w:rPr>
          <w:rFonts w:ascii="Verdana" w:hAnsi="Verdana" w:eastAsia="Verdana" w:cs="Verdana"/>
          <w:sz w:val="20"/>
          <w:szCs w:val="20"/>
        </w:rPr>
        <w:t xml:space="preserve">, </w:t>
      </w:r>
      <m:oMath>
        <m:r>
          <w:rPr>
            <w:rFonts w:ascii="Cambria Math" w:hAnsi="Cambria Math"/>
          </w:rPr>
          <m:t>λ</m:t>
        </m:r>
      </m:oMath>
      <w:r>
        <w:rPr>
          <w:rFonts w:ascii="Verdana" w:hAnsi="Verdana" w:eastAsia="Verdana" w:cs="Verdana"/>
          <w:sz w:val="20"/>
          <w:szCs w:val="20"/>
        </w:rPr>
        <w:t xml:space="preserve">,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2494C415" w14:textId="77777777" w:rsidR="00CB3150" w:rsidRDefault="00000000">
      <w:pPr>
        <w:rPr>
          <w:rFonts w:ascii="Verdana" w:hAnsi="Verdana" w:eastAsia="Verdana" w:cs="Verdana"/>
          <w:sz w:val="28"/>
          <w:szCs w:val="28"/>
          <w:b w:val="1"/>
          <w:bCs w:val="1"/>
        </w:rPr>
        <w:pStyle w:val="Heading1"/>
        <w:spacing w:line="240" w:lineRule="auto"/>
      </w:pPr>
      <w:bookmarkStart w:id="42" w:name="the-bridge-to-empirical-fitting"/>
      <w:bookmarkEnd w:id="34"/>
      <w:bookmarkEnd w:id="41"/>
      <w:r>
        <w:rPr>
          <w:rFonts w:ascii="Verdana" w:hAnsi="Verdana" w:eastAsia="Verdana" w:cs="Verdana"/>
          <w:sz w:val="28"/>
          <w:szCs w:val="28"/>
          <w:b w:val="1"/>
          <w:bCs w:val="1"/>
        </w:rPr>
        <w:t>4.8 The bridge to empirical fitting</w:t>
      </w:r>
    </w:p>
    <w:p w14:paraId="7A33143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149BAA3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rPr>
          <m:t>K</m:t>
        </m:r>
      </m:oMath>
      <w:r>
        <w:rPr>
          <w:rFonts w:ascii="Verdana" w:hAnsi="Verdana" w:eastAsia="Verdana" w:cs="Verdana"/>
          <w:sz w:val="20"/>
          <w:szCs w:val="20"/>
        </w:rPr>
        <w:t xml:space="preserve"> selection rule introduced in Section 4.3. We describe that fitted specification explicitly because its parameter estimates must be interpreted in relation to the probability model that produced them.</w:t>
      </w:r>
    </w:p>
    <w:p w14:paraId="32DD11C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Each observation describes a player in a particular season. Let </w:t>
      </w:r>
      <m:oMath>
        <m:r>
          <w:rPr>
            <w:rFonts w:ascii="Cambria Math" w:hAnsi="Cambria Math"/>
          </w:rPr>
          <m:t>s</m:t>
        </m:r>
      </m:oMath>
      <w:r>
        <w:rPr>
          <w:rFonts w:ascii="Verdana" w:hAnsi="Verdana" w:eastAsia="Verdana" w:cs="Verdana"/>
          <w:sz w:val="20"/>
          <w:szCs w:val="20"/>
        </w:rPr>
        <w:t xml:space="preserve"> index seasons and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rPr>
          <w:rFonts w:ascii="Verdana" w:hAnsi="Verdana" w:eastAsia="Verdana" w:cs="Verdana"/>
          <w:sz w:val="20"/>
          <w:szCs w:val="20"/>
        </w:rPr>
        <w:t xml:space="preserve"> denote the set of players included in season </w:t>
      </w:r>
      <m:oMath>
        <m:r>
          <w:rPr>
            <w:rFonts w:ascii="Cambria Math" w:hAnsi="Cambria Math"/>
          </w:rPr>
          <m:t>s</m:t>
        </m:r>
      </m:oMath>
      <w:r>
        <w:rPr>
          <w:rFonts w:ascii="Verdana" w:hAnsi="Verdana" w:eastAsia="Verdana" w:cs="Verdana"/>
          <w:sz w:val="20"/>
          <w:szCs w:val="20"/>
        </w:rPr>
        <w:t xml:space="preserve">. For player </w:t>
      </w:r>
      <m:oMath>
        <m:r>
          <w:rPr>
            <w:rFonts w:ascii="Cambria Math" w:hAnsi="Cambria Math"/>
          </w:rPr>
          <m:t>i</m:t>
        </m:r>
      </m:oMath>
      <w:r>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is</m:t>
            </m:r>
          </m:sub>
        </m:sSub>
      </m:oMath>
      <w:r>
        <w:rPr>
          <w:rFonts w:ascii="Verdana" w:hAnsi="Verdana" w:eastAsia="Verdana" w:cs="Verdana"/>
          <w:sz w:val="20"/>
          <w:szCs w:val="20"/>
        </w:rPr>
        <w:t xml:space="preserve"> is performance measured as points per minute and standardized within that season. The group identifier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specifies the player’s team in that season.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equals one if the player was eventually drafted and zero otherwise. Consequently, a player observed in several seasons can contribute several observations carrying the same eventual-draft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does not indicate that the player was drafted during season </w:t>
      </w:r>
      <m:oMath>
        <m:r>
          <w:rPr>
            <w:rFonts w:ascii="Cambria Math" w:hAnsi="Cambria Math"/>
          </w:rPr>
          <m:t>s</m:t>
        </m:r>
      </m:oMath>
      <w:r>
        <w:rPr>
          <w:rFonts w:ascii="Verdana" w:hAnsi="Verdana" w:eastAsia="Verdana" w:cs="Verdana"/>
          <w:sz w:val="20"/>
          <w:szCs w:val="20"/>
        </w:rPr>
        <w:t>.</w:t>
      </w:r>
    </w:p>
    <w:p w14:paraId="65FF384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Congestion was calculated from each observed team roster using the full-group mean of competitive relevance defined in Section 4.4.3. We write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w:r>
        <w:rPr>
          <w:rFonts w:ascii="Verdana" w:hAnsi="Verdana" w:eastAsia="Verdana" w:cs="Verdana"/>
          <w:sz w:val="20"/>
          <w:szCs w:val="20"/>
        </w:rPr>
        <w:t xml:space="preserve"> for the congestion assigned to player </w:t>
      </w:r>
      <m:oMath>
        <m:r>
          <w:rPr>
            <w:rFonts w:ascii="Cambria Math" w:hAnsi="Cambria Math"/>
          </w:rPr>
          <m:t>i</m:t>
        </m:r>
      </m:oMath>
      <w:r>
        <w:rPr>
          <w:rFonts w:ascii="Verdana" w:hAnsi="Verdana" w:eastAsia="Verdana" w:cs="Verdana"/>
          <w:sz w:val="20"/>
          <w:szCs w:val="20"/>
        </w:rPr>
        <w:t xml:space="preserve"> in season </w:t>
      </w:r>
      <m:oMath>
        <m:r>
          <w:rPr>
            <w:rFonts w:ascii="Cambria Math" w:hAnsi="Cambria Math"/>
          </w:rPr>
          <m:t>s</m:t>
        </m:r>
      </m:oMath>
      <w:r>
        <w:rPr>
          <w:rFonts w:ascii="Verdana" w:hAnsi="Verdana" w:eastAsia="Verdana" w:cs="Verdana"/>
          <w:sz w:val="20"/>
          <w:szCs w:val="20"/>
        </w:rPr>
        <w:t xml:space="preserve">. The parameter </w:t>
      </w:r>
      <m:oMath>
        <m:r>
          <w:rPr>
            <w:rFonts w:ascii="Cambria Math" w:hAnsi="Cambria Math"/>
          </w:rPr>
          <m:t>γ</m:t>
        </m:r>
      </m:oMath>
      <w:r>
        <w:rPr>
          <w:rFonts w:ascii="Verdana" w:hAnsi="Verdana" w:eastAsia="Verdana" w:cs="Verdana"/>
          <w:sz w:val="20"/>
          <w:szCs w:val="20"/>
        </w:rPr>
        <w:t xml:space="preserve"> controls how sharply competitive relevance </w:t>
      </w:r>
      <w:r>
        <w:rPr>
          <w:rFonts w:ascii="Verdana" w:hAnsi="Verdana" w:eastAsia="Verdana" w:cs="Verdana"/>
          <w:sz w:val="20"/>
          <w:szCs w:val="20"/>
        </w:rPr>
        <w:lastRenderedPageBreak/>
        <w:t xml:space="preserve">increases around the threshold, and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xml:space="preserve"> is the threshold used for that season. The thresholds were calculated before optimization and then held fixed; congestion was recalculated as the fitted value of </w:t>
      </w:r>
      <m:oMath>
        <m:r>
          <w:rPr>
            <w:rFonts w:ascii="Cambria Math" w:hAnsi="Cambria Math"/>
          </w:rPr>
          <m:t>γ</m:t>
        </m:r>
      </m:oMath>
      <w:r>
        <w:rPr>
          <w:rFonts w:ascii="Verdana" w:hAnsi="Verdana" w:eastAsia="Verdana" w:cs="Verdana"/>
          <w:sz w:val="20"/>
          <w:szCs w:val="20"/>
        </w:rPr>
        <w:t xml:space="preserve"> changed.</w:t>
      </w:r>
    </w:p>
    <w:p w14:paraId="0B1E34B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fitting procedure combines performance and congestion into an intermediate comparison quantity, denoted by </w:t>
      </w:r>
      <m:oMath>
        <m:sSub>
          <m:sSubPr>
            <m:ctrlPr>
              <w:rPr>
                <w:rFonts w:ascii="Cambria Math" w:hAnsi="Cambria Math"/>
              </w:rPr>
            </m:ctrlPr>
          </m:sSubPr>
          <m:e>
            <m:r>
              <w:rPr>
                <w:rFonts w:ascii="Cambria Math" w:hAnsi="Cambria Math"/>
              </w:rPr>
              <m:t>η</m:t>
            </m:r>
          </m:e>
          <m:sub>
            <m:r>
              <w:rPr>
                <w:rFonts w:ascii="Cambria Math" w:hAnsi="Cambria Math"/>
              </w:rPr>
              <m:t>is</m:t>
            </m:r>
          </m:sub>
        </m:sSub>
      </m:oMath>
      <w:r>
        <w:rPr>
          <w:rFonts w:ascii="Verdana" w:hAnsi="Verdana" w:eastAsia="Verdana" w:cs="Verdana"/>
          <w:sz w:val="20"/>
          <w:szCs w:val="20"/>
        </w:rPr>
        <w:t xml:space="preserve">. Two additional positive parameters govern this calculation. The parameter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rPr>
          <w:rFonts w:ascii="Verdana" w:hAnsi="Verdana" w:eastAsia="Verdana" w:cs="Verdana"/>
          <w:sz w:val="20"/>
          <w:szCs w:val="20"/>
        </w:rPr>
        <w:t xml:space="preserve"> divides the performance term, controlling how strongly performance differences enter the comparison. The coefficient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rPr>
          <w:rFonts w:ascii="Verdana" w:hAnsi="Verdana" w:eastAsia="Verdana" w:cs="Verdana"/>
          <w:sz w:val="20"/>
          <w:szCs w:val="20"/>
        </w:rPr>
        <w:t xml:space="preserve"> controls the congestion penalty. The subscript identifies these as parameters of the fitting specification, whose numerical values are not assumed to equal those of the selection model. The fitted comparison quantity is</w:t>
      </w:r>
    </w:p>
    <w:p w14:paraId="20D80F5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m:oMathPara>
    </w:p>
    <w:p w14:paraId="1BD065E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for the resulting modeled probability of a positive outcome gives</w:t>
      </w:r>
    </w:p>
    <w:p w14:paraId="24E30439"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hs</m:t>
                  </m:r>
                </m:sub>
              </m:sSub>
              <m:r>
                <m:rPr>
                  <m:sty m:val="p"/>
                </m:rPr>
                <w:rPr>
                  <w:rFonts w:ascii="Cambria Math" w:hAnsi="Cambria Math"/>
                </w:rPr>
                <m:t>)</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3425D15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To evaluate the parameters, the fitting procedure treats each observed outcome as a Bernoulli observation: a positive outcome contributes probability </w:t>
      </w:r>
      <m:oMath>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while a negative outcome contributes probability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oMath>
      <w:r>
        <w:rPr>
          <w:rFonts w:ascii="Verdana" w:hAnsi="Verdana" w:eastAsia="Verdana" w:cs="Verdana"/>
          <w:sz w:val="20"/>
          <w:szCs w:val="20"/>
        </w:rPr>
        <w:t>, the objective is</w:t>
      </w:r>
    </w:p>
    <w:p w14:paraId="29DD50F3" w14:textId="77777777" w:rsidR="00CB3150" w:rsidRDefault="00000000">
      <w:pPr>
        <w:pStyle w:val="BodyText"/>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e>
                  </m:d>
                </m:e>
              </m:nary>
            </m:e>
          </m:nary>
          <m:r>
            <m:rPr>
              <m:sty m:val="p"/>
            </m:rPr>
            <w:rPr>
              <w:rFonts w:ascii="Cambria Math" w:hAnsi="Cambria Math"/>
            </w:rPr>
            <m:t>.</m:t>
          </m:r>
        </m:oMath>
      </m:oMathPara>
    </w:p>
    <w:p w14:paraId="2A77394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joint optimization estimated </w:t>
      </w:r>
      <m:oMath>
        <m:r>
          <w:rPr>
            <w:rFonts w:ascii="Cambria Math" w:hAnsi="Cambria Math"/>
          </w:rPr>
          <m:t>γ</m:t>
        </m:r>
      </m:oMath>
      <w:r>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rPr>
          <w:rFonts w:ascii="Verdana" w:hAnsi="Verdana" w:eastAsia="Verdana" w:cs="Verdana"/>
          <w:sz w:val="20"/>
          <w:szCs w:val="20"/>
        </w:rPr>
        <w:t xml:space="preserve"> by maximizing this objective. Assignment preference </w:t>
      </w:r>
      <m:oMath>
        <m:r>
          <w:rPr>
            <w:rFonts w:ascii="Cambria Math" w:hAnsi="Cambria Math"/>
          </w:rPr>
          <m:t>ρ</m:t>
        </m:r>
      </m:oMath>
      <w:r>
        <w:rPr>
          <w:rFonts w:ascii="Verdana" w:hAnsi="Verdana" w:eastAsia="Verdana" w:cs="Verdana"/>
          <w:sz w:val="20"/>
          <w:szCs w:val="20"/>
        </w:rPr>
        <w:t xml:space="preserve"> was outside the outcome fit because observed team memberships were held fixed. The saved estimates were approximately </w:t>
      </w: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m:rPr>
                <m:sty m:val="p"/>
              </m:rPr>
              <w:rPr>
                <w:rFonts w:ascii="Cambria Math" w:hAnsi="Cambria Math"/>
              </w:rPr>
              <m:t>MLE</m:t>
            </m:r>
          </m:sub>
        </m:sSub>
        <m:r>
          <m:rPr>
            <m:sty m:val="p"/>
          </m:rPr>
          <w:rPr>
            <w:rFonts w:ascii="Cambria Math" w:hAnsi="Cambria Math"/>
          </w:rPr>
          <m:t>=</m:t>
        </m:r>
        <m:r>
          <w:rPr>
            <w:rFonts w:ascii="Cambria Math" w:hAnsi="Cambria Math"/>
          </w:rPr>
          <m:t>1.3024</m:t>
        </m:r>
      </m:oMath>
      <w:r>
        <w:rPr>
          <w:rFonts w:ascii="Verdana" w:hAnsi="Verdana" w:eastAsia="Verdana" w:cs="Verdana"/>
          <w:sz w:val="20"/>
          <w:szCs w:val="20"/>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MLE</m:t>
            </m:r>
          </m:sub>
        </m:sSub>
        <m:r>
          <m:rPr>
            <m:sty m:val="p"/>
          </m:rPr>
          <w:rPr>
            <w:rFonts w:ascii="Cambria Math" w:hAnsi="Cambria Math"/>
          </w:rPr>
          <m:t>=</m:t>
        </m:r>
        <m:r>
          <w:rPr>
            <w:rFonts w:ascii="Cambria Math" w:hAnsi="Cambria Math"/>
          </w:rPr>
          <m:t>1.0699</m:t>
        </m:r>
      </m:oMath>
      <w:r>
        <w:rPr>
          <w:rFonts w:ascii="Verdana" w:hAnsi="Verdana" w:eastAsia="Verdana" w:cs="Verdana"/>
          <w:sz w:val="20"/>
          <w:szCs w:val="20"/>
        </w:rPr>
        <w:t xml:space="preserve">. These estimates belong to the Bernoulli fitting specification described here. They were not </w:t>
      </w:r>
      <w:r>
        <w:rPr>
          <w:rFonts w:ascii="Verdana" w:hAnsi="Verdana" w:eastAsia="Verdana" w:cs="Verdana"/>
          <w:sz w:val="20"/>
          <w:szCs w:val="20"/>
        </w:rPr>
        <w:lastRenderedPageBreak/>
        <w:t>obtained by fitting the exact-</w:t>
      </w:r>
      <m:oMath>
        <m:r>
          <w:rPr>
            <w:rFonts w:ascii="Cambria Math" w:hAnsi="Cambria Math"/>
          </w:rPr>
          <m:t>K</m:t>
        </m:r>
      </m:oMath>
      <w:r>
        <w:rPr>
          <w:rFonts w:ascii="Verdana" w:hAnsi="Verdana" w:eastAsia="Verdana" w:cs="Verdana"/>
          <w:sz w:val="20"/>
          <w:szCs w:val="20"/>
        </w:rPr>
        <w:t xml:space="preserve"> selection model. Appendix 4A provides the sample description, numerical implementation details, and supporting source record. [4–9]</w:t>
      </w:r>
    </w:p>
    <w:p w14:paraId="3ADDC2DF"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6889A99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There is also a coefficient-scale distinction: dividing </w:t>
      </w:r>
      <m:oMath>
        <m:r>
          <w:rPr>
            <w:rFonts w:ascii="Cambria Math" w:hAnsi="Cambria Math"/>
          </w:rPr>
          <m:t>A</m:t>
        </m:r>
      </m:oMath>
      <w:r>
        <w:rPr>
          <w:rFonts w:ascii="Verdana" w:hAnsi="Verdana" w:eastAsia="Verdana" w:cs="Verdana"/>
          <w:sz w:val="20"/>
          <w:szCs w:val="20"/>
        </w:rPr>
        <w:t xml:space="preserve"> alone by </w:t>
      </w:r>
      <m:oMath>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is not the same as dividing </w:t>
      </w:r>
      <m:oMath>
        <m:r>
          <w:rPr>
            <w:rFonts w:ascii="Cambria Math" w:hAnsi="Cambria Math"/>
          </w:rPr>
          <m:t>A</m:t>
        </m:r>
        <m:r>
          <m:rPr>
            <m:sty m:val="p"/>
          </m:rPr>
          <w:rPr>
            <w:rFonts w:ascii="Cambria Math" w:hAnsi="Cambria Math"/>
          </w:rPr>
          <m:t>-</m:t>
        </m:r>
        <m:r>
          <w:rPr>
            <w:rFonts w:ascii="Cambria Math" w:hAnsi="Cambria Math"/>
          </w:rPr>
          <m:t>λC</m:t>
        </m:r>
      </m:oMath>
      <w:r>
        <w:rPr>
          <w:rFonts w:ascii="Verdana" w:hAnsi="Verdana" w:eastAsia="Verdana" w:cs="Verdana"/>
          <w:sz w:val="20"/>
          <w:szCs w:val="20"/>
        </w:rPr>
        <w:t xml:space="preserve"> by temperature while retaining the same numerical </w:t>
      </w:r>
      <m:oMath>
        <m:r>
          <w:rPr>
            <w:rFonts w:ascii="Cambria Math" w:hAnsi="Cambria Math"/>
          </w:rPr>
          <m:t>λ</m:t>
        </m:r>
      </m:oMath>
      <w:r>
        <w:rPr>
          <w:rFonts w:ascii="Verdana" w:hAnsi="Verdana" w:eastAsia="Verdana" w:cs="Verdana"/>
          <w:sz w:val="20"/>
          <w:szCs w:val="20"/>
        </w:rPr>
        <w:t>. An algebraic reparameterization can match logits for fixed congestion, but it does not turn the Bernoulli likelihood into the likelihood of exact-</w:t>
      </w:r>
      <m:oMath>
        <m:r>
          <w:rPr>
            <w:rFonts w:ascii="Cambria Math" w:hAnsi="Cambria Math"/>
          </w:rPr>
          <m:t>K</m:t>
        </m:r>
      </m:oMath>
      <w:r>
        <w:rPr>
          <w:rFonts w:ascii="Verdana" w:hAnsi="Verdana" w:eastAsia="Verdana" w:cs="Verdana"/>
          <w:sz w:val="20"/>
          <w:szCs w:val="20"/>
        </w:rPr>
        <w:t xml:space="preserve"> selection. No completed exact-</w:t>
      </w:r>
      <m:oMath>
        <m:r>
          <w:rPr>
            <w:rFonts w:ascii="Cambria Math" w:hAnsi="Cambria Math"/>
          </w:rPr>
          <m:t>K</m:t>
        </m:r>
      </m:oMath>
      <w:r>
        <w:rPr>
          <w:rFonts w:ascii="Verdana" w:hAnsi="Verdana" w:eastAsia="Verdana" w:cs="Verdana"/>
          <w:sz w:val="20"/>
          <w:szCs w:val="20"/>
        </w:rPr>
        <w:t xml:space="preserve"> refit has been established in the verified record. [11, 12]</w:t>
      </w:r>
    </w:p>
    <w:p w14:paraId="043B279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6C6ADF16" w14:textId="77777777" w:rsidR="00CB3150" w:rsidRDefault="00000000">
      <w:pPr>
        <w:rPr>
          <w:rFonts w:ascii="Verdana" w:hAnsi="Verdana" w:eastAsia="Verdana" w:cs="Verdana"/>
          <w:sz w:val="28"/>
          <w:szCs w:val="28"/>
          <w:b w:val="1"/>
          <w:bCs w:val="1"/>
        </w:rPr>
        <w:pStyle w:val="Heading1"/>
        <w:spacing w:line="240" w:lineRule="auto"/>
      </w:pPr>
      <w:bookmarkStart w:id="43" w:name="X34faad1c749316954420b934931aff7c96ea3d6"/>
      <w:bookmarkEnd w:id="42"/>
      <w:r>
        <w:rPr>
          <w:rFonts w:ascii="Verdana" w:hAnsi="Verdana" w:eastAsia="Verdana" w:cs="Verdana"/>
          <w:sz w:val="28"/>
          <w:szCs w:val="28"/>
          <w:b w:val="1"/>
          <w:bCs w:val="1"/>
        </w:rPr>
        <w:t>Appendix 4A Technical qualifications and the historical fitting record</w:t>
      </w:r>
    </w:p>
    <w:p w14:paraId="5AFD4C45" w14:textId="77777777" w:rsidR="00CB3150" w:rsidRDefault="00000000">
      <w:pPr>
        <w:rPr>
          <w:rFonts w:ascii="Verdana" w:hAnsi="Verdana" w:eastAsia="Verdana" w:cs="Verdana"/>
          <w:sz w:val="21"/>
          <w:szCs w:val="21"/>
          <w:b w:val="1"/>
          <w:bCs w:val="1"/>
        </w:rPr>
        <w:pStyle w:val="Heading2"/>
        <w:spacing w:line="240" w:lineRule="auto"/>
      </w:pPr>
      <w:bookmarkStart w:id="44" w:name="Xc4cff8260d0316924cc51552c5cb860d3737775"/>
      <w:r>
        <w:rPr>
          <w:rFonts w:ascii="Verdana" w:hAnsi="Verdana" w:eastAsia="Verdana" w:cs="Verdana"/>
          <w:sz w:val="21"/>
          <w:szCs w:val="21"/>
          <w:b w:val="1"/>
          <w:bCs w:val="1"/>
        </w:rPr>
        <w:t>4A.1 The intended stochastic rule and legacy software</w:t>
      </w:r>
    </w:p>
    <w:p w14:paraId="4263E7E1"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stochastic selection rule in Section 4.3 accepts any finite score, including negative scores, and selects exactly </w:t>
      </w:r>
      <m:oMath>
        <m:r>
          <w:rPr>
            <w:rFonts w:ascii="Cambria Math" w:hAnsi="Cambria Math"/>
          </w:rPr>
          <m:t>K</m:t>
        </m:r>
      </m:oMath>
      <w:r>
        <w:rPr>
          <w:rFonts w:ascii="Verdana" w:hAnsi="Verdana" w:eastAsia="Verdana" w:cs="Verdana"/>
          <w:sz w:val="20"/>
          <w:szCs w:val="20"/>
        </w:rPr>
        <w:t xml:space="preserve"> individuals. A negative score still produces a positive exponential weight. Adding the same constant to every score leaves the selection probabilities unchanged because it preserves all score differences.</w:t>
      </w:r>
    </w:p>
    <w:p w14:paraId="0DC3836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The selection function used in some earlier simulations includes additional operations. It first replaces negative scores with zero. It then limits the number selected to the smaller of </w:t>
      </w:r>
      <m:oMath>
        <m:r>
          <w:rPr>
            <w:rFonts w:ascii="Cambria Math" w:hAnsi="Cambria Math"/>
          </w:rPr>
          <m:t>K</m:t>
        </m:r>
      </m:oMath>
      <w:r>
        <w:rPr>
          <w:rFonts w:ascii="Verdana" w:hAnsi="Verdana" w:eastAsia="Verdana" w:cs="Verdana"/>
          <w:sz w:val="20"/>
          <w:szCs w:val="20"/>
        </w:rP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rPr>
          <m:t>K</m:t>
        </m:r>
      </m:oMath>
      <w:r>
        <w:rPr>
          <w:rFonts w:ascii="Verdana" w:hAnsi="Verdana" w:eastAsia="Verdana" w:cs="Verdana"/>
          <w:sz w:val="20"/>
          <w:szCs w:val="20"/>
        </w:rPr>
        <w:t xml:space="preserve"> individuals. Replacing negative scores with zero can also change relative selection probabilities by erasing differences among those scores. [3]</w:t>
      </w:r>
    </w:p>
    <w:p w14:paraId="20949FAC"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limit on the number selected does not, by itself, exclude every person whose score was replaced with zero. When the function performs stochastic sampling, those individuals still receive positive exponential weights and may be selected.</w:t>
      </w:r>
    </w:p>
    <w:p w14:paraId="00BE452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1E6ECCF2" w14:textId="77777777" w:rsidR="00CB3150" w:rsidRDefault="00000000">
      <w:pPr>
        <w:rPr>
          <w:rFonts w:ascii="Verdana" w:hAnsi="Verdana" w:eastAsia="Verdana" w:cs="Verdana"/>
          <w:sz w:val="21"/>
          <w:szCs w:val="21"/>
          <w:b w:val="1"/>
          <w:bCs w:val="1"/>
        </w:rPr>
        <w:pStyle w:val="Heading2"/>
        <w:spacing w:line="240" w:lineRule="auto"/>
      </w:pPr>
      <w:bookmarkStart w:id="45" w:name="X30020ca2e28c3ddcf47702a707f4f0d8976e712"/>
      <w:bookmarkEnd w:id="44"/>
      <w:r>
        <w:rPr>
          <w:rFonts w:ascii="Verdana" w:hAnsi="Verdana" w:eastAsia="Verdana" w:cs="Verdana"/>
          <w:sz w:val="21"/>
          <w:szCs w:val="21"/>
          <w:b w:val="1"/>
          <w:bCs w:val="1"/>
        </w:rPr>
        <w:t>4A.2 Differences between the stated selection rule and earlier implementations</w:t>
      </w:r>
    </w:p>
    <w:p w14:paraId="1BB91E1C"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season </w:t>
      </w:r>
      <m:oMath>
        <m:r>
          <w:rPr>
            <w:rFonts w:ascii="Cambria Math" w:hAnsi="Cambria Math"/>
          </w:rPr>
          <m:t>s</m:t>
        </m:r>
      </m:oMath>
      <w:r>
        <w:rPr>
          <w:rFonts w:ascii="Verdana" w:hAnsi="Verdana" w:eastAsia="Verdana" w:cs="Verdana"/>
          <w:sz w:val="20"/>
          <w:szCs w:val="20"/>
        </w:rPr>
        <w:t xml:space="preserve">,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rPr>
          <w:rFonts w:ascii="Verdana" w:hAnsi="Verdana" w:eastAsia="Verdana" w:cs="Verdana"/>
          <w:sz w:val="20"/>
          <w:szCs w:val="20"/>
        </w:rPr>
        <w:t xml:space="preserve"> denote the player-season observations entering the likelihood. The measured performance quantity </w:t>
      </w:r>
      <m:oMath>
        <m:sSub>
          <m:sSubPr>
            <m:ctrlPr>
              <w:rPr>
                <w:rFonts w:ascii="Cambria Math" w:hAnsi="Cambria Math"/>
              </w:rPr>
            </m:ctrlPr>
          </m:sSubPr>
          <m:e>
            <m:r>
              <w:rPr>
                <w:rFonts w:ascii="Cambria Math" w:hAnsi="Cambria Math"/>
              </w:rPr>
              <m:t>A</m:t>
            </m:r>
          </m:e>
          <m:sub>
            <m:r>
              <w:rPr>
                <w:rFonts w:ascii="Cambria Math" w:hAnsi="Cambria Math"/>
              </w:rPr>
              <m:t>is</m:t>
            </m:r>
          </m:sub>
        </m:sSub>
      </m:oMath>
      <w:r>
        <w:rPr>
          <w:rFonts w:ascii="Verdana" w:hAnsi="Verdana" w:eastAsia="Verdana" w:cs="Verdana"/>
          <w:sz w:val="20"/>
          <w:szCs w:val="20"/>
        </w:rPr>
        <w:t xml:space="preserve"> was points per minute standardized within season by the analysis pipeline.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27C4CE0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Congestion was computed on the observed team-season rosters using the full-group definition introduced in Section 4.4.3. Let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identify individual </w:t>
      </w:r>
      <m:oMath>
        <m:r>
          <w:rPr>
            <w:rFonts w:ascii="Cambria Math" w:hAnsi="Cambria Math"/>
          </w:rPr>
          <m:t>i</m:t>
        </m:r>
      </m:oMath>
      <w:r>
        <w:rPr>
          <w:rFonts w:ascii="Verdana" w:hAnsi="Verdana" w:eastAsia="Verdana" w:cs="Verdana"/>
          <w:sz w:val="20"/>
          <w:szCs w:val="20"/>
        </w:rPr>
        <w:t xml:space="preserve">’s group in season </w:t>
      </w:r>
      <m:oMath>
        <m:r>
          <w:rPr>
            <w:rFonts w:ascii="Cambria Math" w:hAnsi="Cambria Math"/>
          </w:rPr>
          <m:t>s</m:t>
        </m:r>
      </m:oMath>
      <w:r>
        <w:rPr>
          <w:rFonts w:ascii="Verdana" w:hAnsi="Verdana" w:eastAsia="Verdana" w:cs="Verdana"/>
          <w:sz w:val="20"/>
          <w:szCs w:val="20"/>
        </w:rPr>
        <w:t xml:space="preserve">, and let </w:t>
      </w:r>
      <m:oMath>
        <m:sSub>
          <m:sSubPr>
            <m:ctrlPr>
              <w:rPr>
                <w:rFonts w:ascii="Cambria Math" w:hAnsi="Cambria Math"/>
              </w:rPr>
            </m:ctrlPr>
          </m:sSubPr>
          <m:e>
            <m:r>
              <w:rPr>
                <w:rFonts w:ascii="Cambria Math" w:hAnsi="Cambria Math"/>
              </w:rPr>
              <m:t>n</m:t>
            </m:r>
          </m:e>
          <m:sub>
            <m:r>
              <w:rPr>
                <w:rFonts w:ascii="Cambria Math" w:hAnsi="Cambria Math"/>
              </w:rPr>
              <m:t>js</m:t>
            </m:r>
          </m:sub>
        </m:sSub>
      </m:oMath>
      <w:r>
        <w:rPr>
          <w:rFonts w:ascii="Verdana" w:hAnsi="Verdana" w:eastAsia="Verdana" w:cs="Verdana"/>
          <w:sz w:val="20"/>
          <w:szCs w:val="20"/>
        </w:rPr>
        <w:t xml:space="preserve"> be the number of individuals included in group </w:t>
      </w:r>
      <m:oMath>
        <m:r>
          <w:rPr>
            <w:rFonts w:ascii="Cambria Math" w:hAnsi="Cambria Math"/>
          </w:rPr>
          <m:t>j</m:t>
        </m:r>
      </m:oMath>
      <w:r>
        <w:rPr>
          <w:rFonts w:ascii="Verdana" w:hAnsi="Verdana" w:eastAsia="Verdana" w:cs="Verdana"/>
          <w:sz w:val="20"/>
          <w:szCs w:val="20"/>
        </w:rPr>
        <w:t xml:space="preserve"> for that season. Thus, the fitted congestion term was</w:t>
      </w:r>
    </w:p>
    <w:p w14:paraId="441FFCE7" w14:textId="10A7FF1E"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js</m:t>
              </m:r>
            </m:sub>
          </m:sSub>
          <m:d>
            <m:dPr>
              <m:ctrlPr>
                <w:rPr>
                  <w:rFonts w:ascii="Cambria Math" w:hAnsi="Cambria Math"/>
                </w:rPr>
              </m:ctrlPr>
            </m:dPr>
            <m:e>
              <m:r>
                <w:rPr>
                  <w:rFonts w:ascii="Cambria Math" w:hAnsi="Cambria Math"/>
                </w:rPr>
                <m:t>γ,</m:t>
              </m:r>
              <m:sSub>
                <m:sSubPr>
                  <m:ctrlPr>
                    <w:rPr>
                      <w:rFonts w:ascii="Cambria Math" w:hAnsi="Cambria Math"/>
                    </w:rPr>
                  </m:ctrlPr>
                </m:sSubPr>
                <m:e>
                  <m:r>
                    <w:rPr>
                      <w:rFonts w:ascii="Cambria Math" w:hAnsi="Cambria Math"/>
                    </w:rPr>
                    <m:t>θ</m:t>
                  </m:r>
                </m:e>
                <m:sub>
                  <m:r>
                    <w:rPr>
                      <w:rFonts w:ascii="Cambria Math" w:hAnsi="Cambria Math"/>
                    </w:rPr>
                    <m:t>s</m:t>
                  </m:r>
                </m:sub>
              </m:sSub>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js</m:t>
                  </m:r>
                </m:sub>
              </m:sSub>
            </m:den>
          </m:f>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hs</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e>
          </m:d>
          <m:r>
            <w:rPr>
              <w:rFonts w:ascii="Cambria Math" w:hAnsi="Cambria Math"/>
            </w:rPr>
            <m:t>,σ</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-x</m:t>
                      </m:r>
                    </m:e>
                  </m:d>
                </m:sup>
              </m:sSup>
            </m:den>
          </m:f>
        </m:oMath>
      </m:oMathPara>
    </w:p>
    <w:p w14:paraId="1A3607C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mean included the focal player as well as the other retained members of the group. In the code this quantity was stored as </w:t>
      </w:r>
      <m:oMath>
        <m:r>
          <m:rPr>
            <m:scr m:val="monospace"/>
            <m:sty m:val="p"/>
          </m:rPr>
          <w:rPr>
            <w:rFonts w:ascii="Cambria Math" w:hAnsi="Cambria Math"/>
          </w:rPr>
          <m:t>poolcsmoothteam</m:t>
        </m:r>
      </m:oMath>
      <w:r>
        <w:rPr>
          <w:rFonts w:ascii="Verdana" w:hAnsi="Verdana" w:eastAsia="Verdana" w:cs="Verdana"/>
          <w:sz w:val="20"/>
          <w:szCs w:val="20"/>
        </w:rPr>
        <w:t xml:space="preserve"> and was often denoted </w:t>
      </w:r>
      <m:oMath>
        <m:sSup>
          <m:sSupPr>
            <m:ctrlPr>
              <w:rPr>
                <w:rFonts w:ascii="Cambria Math" w:hAnsi="Cambria Math"/>
              </w:rPr>
            </m:ctrlPr>
          </m:sSupPr>
          <m:e>
            <m:r>
              <w:rPr>
                <w:rFonts w:ascii="Cambria Math" w:hAnsi="Cambria Math"/>
              </w:rPr>
              <m:t>L</m:t>
            </m:r>
          </m:e>
          <m:sup>
            <m:r>
              <w:rPr>
                <w:rFonts w:ascii="Cambria Math" w:hAnsi="Cambria Math"/>
              </w:rPr>
              <m:t>C</m:t>
            </m:r>
          </m:sup>
        </m:sSup>
      </m:oMath>
      <w:r>
        <w:rPr>
          <w:rFonts w:ascii="Verdana" w:hAnsi="Verdana" w:eastAsia="Verdana" w:cs="Verdana"/>
          <w:sz w:val="20"/>
          <w:szCs w:val="20"/>
        </w:rPr>
        <w:t xml:space="preserve"> in development documents. Here </w:t>
      </w:r>
      <m:oMath>
        <m:sSub>
          <m:sSubPr>
            <m:ctrlPr>
              <w:rPr>
                <w:rFonts w:ascii="Cambria Math" w:hAnsi="Cambria Math"/>
              </w:rPr>
            </m:ctrlPr>
          </m:sSubPr>
          <m:e>
            <m:r>
              <w:rPr>
                <w:rFonts w:ascii="Cambria Math" w:hAnsi="Cambria Math"/>
              </w:rPr>
              <m:t>C</m:t>
            </m:r>
          </m:e>
          <m:sub>
            <m:r>
              <w:rPr>
                <w:rFonts w:ascii="Cambria Math" w:hAnsi="Cambria Math"/>
              </w:rPr>
              <m:t>js</m:t>
            </m:r>
          </m:sub>
        </m:sSub>
      </m:oMath>
      <w:r>
        <w:rPr>
          <w:rFonts w:ascii="Verdana" w:hAnsi="Verdana" w:eastAsia="Verdana" w:cs="Verdana"/>
          <w:sz w:val="20"/>
          <w:szCs w:val="20"/>
        </w:rPr>
        <w:t xml:space="preserve"> denotes the shared congestion of group </w:t>
      </w:r>
      <m:oMath>
        <m:r>
          <w:rPr>
            <w:rFonts w:ascii="Cambria Math" w:hAnsi="Cambria Math"/>
          </w:rPr>
          <m:t>j</m:t>
        </m:r>
      </m:oMath>
      <w:r>
        <w:rPr>
          <w:rFonts w:ascii="Verdana" w:hAnsi="Verdana" w:eastAsia="Verdana" w:cs="Verdana"/>
          <w:sz w:val="20"/>
          <w:szCs w:val="20"/>
        </w:rPr>
        <w:t xml:space="preserve"> in season </w:t>
      </w:r>
      <m:oMath>
        <m:r>
          <w:rPr>
            <w:rFonts w:ascii="Cambria Math" w:hAnsi="Cambria Math"/>
          </w:rPr>
          <m:t>s</m:t>
        </m:r>
      </m:oMath>
      <w:r>
        <w:rPr>
          <w:rFonts w:ascii="Verdana" w:hAnsi="Verdana" w:eastAsia="Verdana" w:cs="Verdana"/>
          <w:sz w:val="20"/>
          <w:szCs w:val="20"/>
        </w:rPr>
        <w:t xml:space="preserve">; the effective congestion applied to individual </w:t>
      </w:r>
      <m:oMath>
        <m:r>
          <w:rPr>
            <w:rFonts w:ascii="Cambria Math" w:hAnsi="Cambria Math"/>
          </w:rPr>
          <m:t>i</m:t>
        </m:r>
      </m:oMath>
      <w:r>
        <w:rPr>
          <w:rFonts w:ascii="Verdana" w:hAnsi="Verdana" w:eastAsia="Verdana" w:cs="Verdana"/>
          <w:sz w:val="20"/>
          <w:szCs w:val="20"/>
        </w:rPr>
        <w:t xml:space="preserve"> is therefore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oMath>
      <w:r>
        <w:rPr>
          <w:rFonts w:ascii="Verdana" w:hAnsi="Verdana" w:eastAsia="Verdana" w:cs="Verdana"/>
          <w:sz w:val="20"/>
          <w:szCs w:val="20"/>
        </w:rP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25D4C445"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intermediate quantity supplied to the probability calculation, called the board logit in the implementation, was</w:t>
      </w:r>
    </w:p>
    <w:p w14:paraId="6E7A4B4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oMath>
      </m:oMathPara>
    </w:p>
    <w:p w14:paraId="64A6D62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script converted these quantities to probabilities by applying a softmax function within each season:</w:t>
      </w:r>
    </w:p>
    <w:p w14:paraId="6F73986C" w14:textId="23507A95"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is</m:t>
                          </m:r>
                        </m:sub>
                      </m:sSub>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hs</m:t>
                              </m:r>
                            </m:sub>
                          </m:sSub>
                        </m:e>
                      </m:d>
                    </m:sup>
                  </m:sSup>
                </m:e>
              </m:nary>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b>
                <m:sSubPr>
                  <m:ctrlPr>
                    <w:rPr>
                      <w:rFonts w:ascii="Cambria Math" w:hAnsi="Cambria Math"/>
                    </w:rPr>
                  </m:ctrlPr>
                </m:sSubPr>
                <m:e>
                  <m:r>
                    <w:rPr>
                      <w:rFonts w:ascii="Cambria Math" w:hAnsi="Cambria Math"/>
                    </w:rPr>
                    <m:t>p</m:t>
                  </m:r>
                </m:e>
                <m:sub>
                  <m:r>
                    <w:rPr>
                      <w:rFonts w:ascii="Cambria Math" w:hAnsi="Cambria Math"/>
                    </w:rPr>
                    <m:t>is</m:t>
                  </m:r>
                </m:sub>
              </m:sSub>
            </m:e>
          </m:nary>
          <m:r>
            <w:rPr>
              <w:rFonts w:ascii="Cambria Math" w:hAnsi="Cambria Math"/>
            </w:rPr>
            <m:t>=1</m:t>
          </m:r>
        </m:oMath>
      </m:oMathPara>
    </w:p>
    <w:p w14:paraId="40AB4EC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softmax specifies the probabilities; the Bernoulli model specifies how those probabilities contribute to the likelihood of the observed binary outcomes. The historical likelihood and log-likelihood were</w:t>
      </w:r>
    </w:p>
    <w:p w14:paraId="06FA4FE9" w14:textId="77777777" w:rsidR="00CB315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is</m:t>
                      </m:r>
                    </m:sub>
                    <m:sup>
                      <m:sSub>
                        <m:sSubPr>
                          <m:ctrlPr>
                            <w:rPr>
                              <w:rFonts w:ascii="Cambria Math" w:hAnsi="Cambria Math"/>
                            </w:rPr>
                          </m:ctrlPr>
                        </m:sSubPr>
                        <m:e>
                          <m:r>
                            <w:rPr>
                              <w:rFonts w:ascii="Cambria Math" w:hAnsi="Cambria Math"/>
                            </w:rPr>
                            <m:t>Y</m:t>
                          </m:r>
                        </m:e>
                        <m:sub>
                          <m:r>
                            <w:rPr>
                              <w:rFonts w:ascii="Cambria Math" w:hAnsi="Cambria Math"/>
                            </w:rPr>
                            <m:t>is</m:t>
                          </m:r>
                        </m:sub>
                      </m:sSub>
                    </m:sup>
                  </m:sSubSup>
                </m:e>
              </m:nary>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sup>
          </m:sSup>
          <m:r>
            <m:rPr>
              <m:sty m:val="p"/>
            </m:rPr>
            <w:rPr>
              <w:rFonts w:ascii="Cambria Math" w:hAnsi="Cambria Math"/>
            </w:rPr>
            <m:t>,</m:t>
          </m:r>
        </m:oMath>
      </m:oMathPara>
    </w:p>
    <w:p w14:paraId="4BD85DC8" w14:textId="77777777" w:rsidR="00CB3150"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oMath>
      </m:oMathPara>
    </w:p>
    <w:p w14:paraId="4692AE1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For numerical evaluation, the implementation clipped each probability to the interval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e>
        </m:d>
      </m:oMath>
      <w:r>
        <w:rPr>
          <w:rFonts w:ascii="Verdana" w:hAnsi="Verdana" w:eastAsia="Verdana" w:cs="Verdana"/>
          <w:sz w:val="20"/>
          <w:szCs w:val="20"/>
        </w:rPr>
        <w:t xml:space="preserve"> before taking logarithms. It minimized the negative log-likelihood using L-BFGS-B over the logarithms of the positive parameters </w:t>
      </w:r>
      <m:oMath>
        <m:sSub>
          <m:sSubPr>
            <m:ctrlPr>
              <w:rPr>
                <w:rFonts w:ascii="Cambria Math" w:hAnsi="Cambria Math"/>
              </w:rPr>
            </m:ctrlPr>
          </m:sSubPr>
          <m:e>
            <m:r>
              <w:rPr>
                <w:rFonts w:ascii="Cambria Math" w:hAnsi="Cambria Math"/>
              </w:rPr>
              <m:t>λ</m:t>
            </m:r>
          </m:e>
          <m:sub>
            <m:r>
              <w:rPr>
                <w:rFonts w:ascii="Cambria Math" w:hAnsi="Cambria Math"/>
              </w:rPr>
              <m:t>MLE</m:t>
            </m:r>
          </m:sub>
        </m:sSub>
      </m:oMath>
      <w:r>
        <w:rPr>
          <w:rFonts w:ascii="Verdana" w:hAnsi="Verdana" w:eastAsia="Verdana" w:cs="Verdana"/>
          <w:sz w:val="20"/>
          <w:szCs w:val="20"/>
        </w:rPr>
        <w:t xml:space="preserve">, </w:t>
      </w:r>
      <m:oMath>
        <m:r>
          <w:rPr>
            <w:rFonts w:ascii="Cambria Math" w:hAnsi="Cambria Math"/>
          </w:rPr>
          <m:t>γ</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Congestion was recomputed as </w:t>
      </w:r>
      <m:oMath>
        <m:r>
          <w:rPr>
            <w:rFonts w:ascii="Cambria Math" w:hAnsi="Cambria Math"/>
          </w:rPr>
          <m:t>γ</m:t>
        </m:r>
      </m:oMath>
      <w:r>
        <w:rPr>
          <w:rFonts w:ascii="Verdana" w:hAnsi="Verdana" w:eastAsia="Verdana" w:cs="Verdana"/>
          <w:sz w:val="20"/>
          <w:szCs w:val="20"/>
        </w:rPr>
        <w:t xml:space="preserve"> changed during joint optimization. A separate option held </w:t>
      </w:r>
      <m:oMath>
        <m:r>
          <w:rPr>
            <w:rFonts w:ascii="Cambria Math" w:hAnsi="Cambria Math"/>
          </w:rPr>
          <m:t>γ</m:t>
        </m:r>
      </m:oMath>
      <w:r>
        <w:rPr>
          <w:rFonts w:ascii="Verdana" w:hAnsi="Verdana" w:eastAsia="Verdana" w:cs="Verdana"/>
          <w:sz w:val="20"/>
          <w:szCs w:val="20"/>
        </w:rPr>
        <w:t xml:space="preserve"> fixed and optimized the other two parameters. Reported overlap between the highest-probability observations and positive outcomes was a diagnostic, not the objective being optimized. [4]</w:t>
      </w:r>
    </w:p>
    <w:p w14:paraId="042D08BD" w14:textId="77777777" w:rsidR="00CB3150" w:rsidRDefault="00000000">
      <w:pPr>
        <w:rPr>
          <w:rFonts w:ascii="Verdana" w:hAnsi="Verdana" w:eastAsia="Verdana" w:cs="Verdana"/>
          <w:sz w:val="21"/>
          <w:szCs w:val="21"/>
          <w:b w:val="1"/>
          <w:bCs w:val="1"/>
        </w:rPr>
        <w:pStyle w:val="Heading2"/>
        <w:spacing w:line="240" w:lineRule="auto"/>
      </w:pPr>
      <w:bookmarkStart w:id="46" w:name="X61c80e37b1d723545285bb680c26300a41eba3a"/>
      <w:bookmarkEnd w:id="45"/>
      <w:r>
        <w:rPr>
          <w:rFonts w:ascii="Verdana" w:hAnsi="Verdana" w:eastAsia="Verdana" w:cs="Verdana"/>
          <w:sz w:val="21"/>
          <w:szCs w:val="21"/>
          <w:b w:val="1"/>
          <w:bCs w:val="1"/>
        </w:rPr>
        <w:t>4A.3 Normalization and threshold construction</w:t>
      </w:r>
    </w:p>
    <w:p w14:paraId="4EB4FB7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We can ask how many positive outcomes this probability model expects in a season. Write </w:t>
      </w:r>
      <m:oMath>
        <m:r>
          <w:rPr>
            <w:rFonts w:ascii="Cambria Math" w:hAnsi="Cambria Math"/>
          </w:rPr>
          <m:t>E</m:t>
        </m:r>
        <m:r>
          <m:rPr>
            <m:sty m:val="p"/>
          </m:rPr>
          <w:rPr>
            <w:rFonts w:ascii="Cambria Math" w:hAnsi="Cambria Math"/>
          </w:rPr>
          <m:t>[⋅]</m:t>
        </m:r>
      </m:oMath>
      <w:r>
        <w:rPr>
          <w:rFonts w:ascii="Verdana" w:hAnsi="Verdana" w:eastAsia="Verdana" w:cs="Verdana"/>
          <w:sz w:val="20"/>
          <w:szCs w:val="20"/>
        </w:rPr>
        <w:t xml:space="preserve"> for an expected value under the model, and let </w:t>
      </w:r>
      <m:oMath>
        <m:r>
          <m:rPr>
            <m:sty m:val="bi"/>
          </m:rPr>
          <w:rPr>
            <w:rFonts w:ascii="Cambria Math" w:hAnsi="Cambria Math"/>
          </w:rPr>
          <m:t>A</m:t>
        </m:r>
      </m:oMath>
      <w:r>
        <w:rPr>
          <w:rFonts w:ascii="Verdana" w:hAnsi="Verdana" w:eastAsia="Verdana" w:cs="Verdana"/>
          <w:sz w:val="20"/>
          <w:szCs w:val="20"/>
        </w:rPr>
        <w:t xml:space="preserve"> and </w:t>
      </w:r>
      <m:oMath>
        <m:r>
          <m:rPr>
            <m:sty m:val="bi"/>
          </m:rPr>
          <w:rPr>
            <w:rFonts w:ascii="Cambria Math" w:hAnsi="Cambria Math"/>
          </w:rPr>
          <m:t>g</m:t>
        </m:r>
      </m:oMath>
      <w:r>
        <w:rPr>
          <w:rFonts w:ascii="Verdana" w:hAnsi="Verdana" w:eastAsia="Verdana" w:cs="Verdana"/>
          <w:sz w:val="20"/>
          <w:szCs w:val="20"/>
        </w:rPr>
        <w:t xml:space="preserve"> denote the observed performance values and group memberships. Before numerical clipping, and conditional on these inputs and the fixed season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the working Bernoulli model satisfies</w:t>
      </w:r>
    </w:p>
    <w:p w14:paraId="10202F5F" w14:textId="77777777" w:rsidR="00CB3150"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oMath>
      </m:oMathPara>
    </w:p>
    <w:p w14:paraId="3DC5FDE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rFonts w:ascii="Verdana" w:hAnsi="Verdana" w:eastAsia="Verdana" w:cs="Verdana"/>
          <w:sz w:val="20"/>
          <w:szCs w:val="20"/>
        </w:rP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6FA9FE60"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viability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xml:space="preserve"> was calculated separately for each season and then held fixed during optimization. It was chosen from the season’s observed performance distribution. Let </w:t>
      </w:r>
      <m:oMath>
        <m:sSub>
          <m:sSubPr>
            <m:ctrlPr>
              <w:rPr>
                <w:rFonts w:ascii="Cambria Math" w:hAnsi="Cambria Math"/>
              </w:rPr>
            </m:ctrlPr>
          </m:sSubPr>
          <m:e>
            <m:r>
              <w:rPr>
                <w:rFonts w:ascii="Cambria Math" w:hAnsi="Cambria Math"/>
              </w:rPr>
              <m:t>Q</m:t>
            </m:r>
          </m:e>
          <m:sub>
            <m:r>
              <w:rPr>
                <w:rFonts w:ascii="Cambria Math" w:hAnsi="Cambria Math"/>
              </w:rPr>
              <m:t>q</m:t>
            </m:r>
          </m:sub>
        </m:sSub>
      </m:oMath>
      <w:r>
        <w:rPr>
          <w:rFonts w:ascii="Verdana" w:hAnsi="Verdana" w:eastAsia="Verdana" w:cs="Verdana"/>
          <w:sz w:val="20"/>
          <w:szCs w:val="20"/>
        </w:rPr>
        <w:t xml:space="preserve"> denote its empirical </w:t>
      </w:r>
      <m:oMath>
        <m:r>
          <w:rPr>
            <w:rFonts w:ascii="Cambria Math" w:hAnsi="Cambria Math"/>
          </w:rPr>
          <m:t>q</m:t>
        </m:r>
      </m:oMath>
      <w:r>
        <w:rPr>
          <w:rFonts w:ascii="Verdana" w:hAnsi="Verdana" w:eastAsia="Verdana" w:cs="Verdana"/>
          <w:sz w:val="20"/>
          <w:szCs w:val="20"/>
        </w:rPr>
        <w:t xml:space="preserve">-quantile—the performance value marking approximately the fraction </w:t>
      </w:r>
      <m:oMath>
        <m:r>
          <w:rPr>
            <w:rFonts w:ascii="Cambria Math" w:hAnsi="Cambria Math"/>
          </w:rPr>
          <m:t>q</m:t>
        </m:r>
      </m:oMath>
      <w:r>
        <w:rPr>
          <w:rFonts w:ascii="Verdana" w:hAnsi="Verdana" w:eastAsia="Verdana" w:cs="Verdana"/>
          <w:sz w:val="20"/>
          <w:szCs w:val="20"/>
        </w:rPr>
        <w:t xml:space="preserve"> of observations at or below it. The preprocessing routine counted positive draft labels among that season’s observations with measured performance and defined </w:t>
      </w:r>
      <m:oMath>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=max(</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oMath>
      <w:r>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s</m:t>
            </m:r>
          </m:sub>
        </m:sSub>
      </m:oMath>
      <w:r>
        <w:rPr>
          <w:rFonts w:ascii="Verdana" w:hAnsi="Verdana" w:eastAsia="Verdana" w:cs="Verdana"/>
          <w:sz w:val="20"/>
          <w:szCs w:val="20"/>
        </w:rPr>
        <w:t xml:space="preserve"> denoting the number of observations in that preprocessing population, the threshold was set to</w:t>
      </w:r>
    </w:p>
    <w:p w14:paraId="67908DF4"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is</m:t>
                      </m:r>
                    </m:sub>
                  </m:sSub>
                </m:e>
              </m:d>
            </m:e>
          </m:d>
        </m:oMath>
      </m:oMathPara>
    </w:p>
    <w:p w14:paraId="2FA2A4D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superscript </w:t>
      </w:r>
      <m:oMath>
        <m:r>
          <w:rPr>
            <w:rFonts w:ascii="Cambria Math" w:hAnsi="Cambria Math"/>
          </w:rPr>
          <m:t>Y</m:t>
        </m:r>
      </m:oMath>
      <w:r>
        <w:rPr>
          <w:rFonts w:ascii="Verdana" w:hAnsi="Verdana" w:eastAsia="Verdana" w:cs="Verdana"/>
          <w:sz w:val="20"/>
          <w:szCs w:val="20"/>
        </w:rP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0D9A3508"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Assignment preference </w:t>
      </w:r>
      <m:oMath>
        <m:r>
          <w:rPr>
            <w:rFonts w:ascii="Cambria Math" w:hAnsi="Cambria Math"/>
          </w:rPr>
          <m:t>ρ</m:t>
        </m:r>
      </m:oMath>
      <w:r>
        <w:rPr>
          <w:rFonts w:ascii="Verdana" w:hAnsi="Verdana" w:eastAsia="Verdana" w:cs="Verdana"/>
          <w:sz w:val="20"/>
          <w:szCs w:val="20"/>
        </w:rP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rPr>
          <w:rFonts w:ascii="Verdana" w:hAnsi="Verdana" w:eastAsia="Verdana" w:cs="Verdana"/>
          <w:sz w:val="20"/>
          <w:szCs w:val="20"/>
        </w:rPr>
        <w:t xml:space="preserve">. The saved longitudinal result selected </w:t>
      </w:r>
      <m:oMath>
        <m:r>
          <w:rPr>
            <w:rFonts w:ascii="Cambria Math" w:hAnsi="Cambria Math"/>
          </w:rPr>
          <m:t>ρ</m:t>
        </m:r>
        <m:r>
          <m:rPr>
            <m:sty m:val="p"/>
          </m:rPr>
          <w:rPr>
            <w:rFonts w:ascii="Cambria Math" w:hAnsi="Cambria Math"/>
          </w:rPr>
          <m:t>=</m:t>
        </m:r>
        <m:r>
          <w:rPr>
            <w:rFonts w:ascii="Cambria Math" w:hAnsi="Cambria Math"/>
          </w:rPr>
          <m:t>0</m:t>
        </m:r>
      </m:oMath>
      <w:r>
        <w:rPr>
          <w:rFonts w:ascii="Verdana" w:hAnsi="Verdana" w:eastAsia="Verdana" w:cs="Verdana"/>
          <w:sz w:val="20"/>
          <w:szCs w:val="20"/>
        </w:rP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rPr>
          <m:t>K</m:t>
        </m:r>
      </m:oMath>
      <w:r>
        <w:rPr>
          <w:rFonts w:ascii="Verdana" w:hAnsi="Verdana" w:eastAsia="Verdana" w:cs="Verdana"/>
          <w:sz w:val="20"/>
          <w:szCs w:val="20"/>
        </w:rPr>
        <w:t xml:space="preserve"> likelihood. [1, 8]</w:t>
      </w:r>
    </w:p>
    <w:p w14:paraId="6FF1297A" w14:textId="77777777" w:rsidR="00CB3150" w:rsidRDefault="00000000">
      <w:pPr>
        <w:rPr>
          <w:rFonts w:ascii="Verdana" w:hAnsi="Verdana" w:eastAsia="Verdana" w:cs="Verdana"/>
          <w:sz w:val="21"/>
          <w:szCs w:val="21"/>
          <w:b w:val="1"/>
          <w:bCs w:val="1"/>
        </w:rPr>
        <w:pStyle w:val="Heading2"/>
        <w:spacing w:line="240" w:lineRule="auto"/>
      </w:pPr>
      <w:bookmarkStart w:id="47" w:name="X37bb242055bc516b188ab4496a584a40b1a9c72"/>
      <w:bookmarkEnd w:id="46"/>
      <w:r>
        <w:rPr>
          <w:rFonts w:ascii="Verdana" w:hAnsi="Verdana" w:eastAsia="Verdana" w:cs="Verdana"/>
          <w:sz w:val="21"/>
          <w:szCs w:val="21"/>
          <w:b w:val="1"/>
          <w:bCs w:val="1"/>
        </w:rPr>
        <w:t>4A.4 Saved estimates and parameter transfer</w:t>
      </w:r>
    </w:p>
    <w:p w14:paraId="11D128A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hat denotes an estimated parameter value; for example, </w:t>
      </w:r>
      <m:oMath>
        <m:acc>
          <m:accPr>
            <m:ctrlPr>
              <w:rPr>
                <w:rFonts w:ascii="Cambria Math" w:hAnsi="Cambria Math"/>
              </w:rPr>
            </m:ctrlPr>
          </m:accPr>
          <m:e>
            <m:r>
              <w:rPr>
                <w:rFonts w:ascii="Cambria Math" w:hAnsi="Cambria Math"/>
              </w:rPr>
              <m:t>γ</m:t>
            </m:r>
          </m:e>
        </m:acc>
      </m:oMath>
      <w:r>
        <w:rPr>
          <w:rFonts w:ascii="Verdana" w:hAnsi="Verdana" w:eastAsia="Verdana" w:cs="Verdana"/>
          <w:sz w:val="20"/>
          <w:szCs w:val="20"/>
        </w:rPr>
        <w:t xml:space="preserve"> is the estimate of </w:t>
      </w:r>
      <m:oMath>
        <m:r>
          <w:rPr>
            <w:rFonts w:ascii="Cambria Math" w:hAnsi="Cambria Math"/>
          </w:rPr>
          <m:t>γ</m:t>
        </m:r>
      </m:oMath>
      <w:r>
        <w:rPr>
          <w:rFonts w:ascii="Verdana" w:hAnsi="Verdana" w:eastAsia="Verdana" w:cs="Verdana"/>
          <w:sz w:val="20"/>
          <w:szCs w:val="20"/>
        </w:rPr>
        <w:t xml:space="preserve"> obtained by fitting the model. The joint fitting artifact saved on 28 August 2026 reports</w:t>
      </w:r>
    </w:p>
    <w:p w14:paraId="201167C3" w14:textId="77777777" w:rsidR="00CB3150" w:rsidRDefault="00000000">
      <w:pPr>
        <w:pStyle w:val="BodyText"/>
        <w:rPr>
          <w:rFonts w:ascii="Verdana" w:hAnsi="Verdana" w:eastAsia="Verdana" w:cs="Verdana"/>
          <w:sz w:val="20"/>
          <w:szCs w:val="20"/>
        </w:rPr>
        <w:spacing w:line="480" w:lineRule="auto"/>
      </w:pP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19.57233208</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1.30243058</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1.06989673</m:t>
        </m:r>
      </m:oMath>
      <w:r>
        <w:rPr>
          <w:rFonts w:ascii="Verdana" w:hAnsi="Verdana" w:eastAsia="Verdana" w:cs="Verdana"/>
          <w:sz w:val="20"/>
          <w:szCs w:val="20"/>
        </w:rPr>
        <w:t>,</w:t>
      </w:r>
    </w:p>
    <w:p w14:paraId="56C6563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with log-likelihood -8865.70116079, </w:t>
      </w:r>
      <m:oMath>
        <m:r>
          <w:rPr>
            <w:rFonts w:ascii="Cambria Math" w:hAnsi="Cambria Math"/>
          </w:rPr>
          <m:t>46</m:t>
        </m:r>
        <m:r>
          <m:rPr>
            <m:sty m:val="p"/>
          </m:rPr>
          <w:rPr>
            <w:rFonts w:ascii="Cambria Math" w:hAnsi="Cambria Math"/>
          </w:rPr>
          <m:t>,</m:t>
        </m:r>
        <m:r>
          <w:rPr>
            <w:rFonts w:ascii="Cambria Math" w:hAnsi="Cambria Math"/>
          </w:rPr>
          <m:t>306</m:t>
        </m:r>
      </m:oMath>
      <w:r>
        <w:rPr>
          <w:rFonts w:ascii="Verdana" w:hAnsi="Verdana" w:eastAsia="Verdana" w:cs="Verdana"/>
          <w:sz w:val="20"/>
          <w:szCs w:val="20"/>
        </w:rPr>
        <w:t xml:space="preserve"> player-season observations, and </w:t>
      </w:r>
      <m:oMath>
        <m:r>
          <w:rPr>
            <w:rFonts w:ascii="Cambria Math" w:hAnsi="Cambria Math"/>
          </w:rPr>
          <m:t>1</m:t>
        </m:r>
        <m:r>
          <m:rPr>
            <m:sty m:val="p"/>
          </m:rPr>
          <w:rPr>
            <w:rFonts w:ascii="Cambria Math" w:hAnsi="Cambria Math"/>
          </w:rPr>
          <m:t>,</m:t>
        </m:r>
        <m:r>
          <w:rPr>
            <w:rFonts w:ascii="Cambria Math" w:hAnsi="Cambria Math"/>
          </w:rPr>
          <m:t>133</m:t>
        </m:r>
      </m:oMath>
      <w:r>
        <w:rPr>
          <w:rFonts w:ascii="Verdana" w:hAnsi="Verdana" w:eastAsia="Verdana" w:cs="Verdana"/>
          <w:sz w:val="20"/>
          <w:szCs w:val="20"/>
        </w:rPr>
        <w:t xml:space="preserve"> positive outcome flags across 11 season batches. The optimizer reported convergence. These are historical point estimates, not evidence by themselves of precise identification, causal effects, or a validated generative selection model. [9]</w:t>
      </w:r>
    </w:p>
    <w:p w14:paraId="11E5720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w:t>
      </w:r>
      <w:r>
        <w:rPr>
          <w:rFonts w:ascii="Verdana" w:hAnsi="Verdana" w:eastAsia="Verdana" w:cs="Verdana"/>
          <w:sz w:val="20"/>
          <w:szCs w:val="20"/>
        </w:rPr>
        <w:lastRenderedPageBreak/>
        <w:t xml:space="preserve">Confirmation of the original run’s input seasons and code version remains necessary to finalize its sample description. An earlier 2013–2021 fit, with </w:t>
      </w:r>
      <m:oMath>
        <m:r>
          <w:rPr>
            <w:rFonts w:ascii="Cambria Math" w:hAnsi="Cambria Math"/>
          </w:rPr>
          <m:t>γ</m:t>
        </m:r>
        <m:r>
          <m:rPr>
            <m:sty m:val="p"/>
          </m:rPr>
          <w:rPr>
            <w:rFonts w:ascii="Cambria Math" w:hAnsi="Cambria Math"/>
          </w:rPr>
          <m:t>=</m:t>
        </m:r>
        <m:r>
          <w:rPr>
            <w:rFonts w:ascii="Cambria Math" w:hAnsi="Cambria Math"/>
          </w:rPr>
          <m:t>18</m:t>
        </m:r>
      </m:oMath>
      <w:r>
        <w:rPr>
          <w:rFonts w:ascii="Verdana" w:hAnsi="Verdana" w:eastAsia="Verdana" w:cs="Verdana"/>
          <w:sz w:val="20"/>
          <w:szCs w:val="20"/>
        </w:rPr>
        <w:t xml:space="preserve"> fixed, instead reported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2.57150065</m:t>
        </m:r>
      </m:oMath>
      <w:r>
        <w:rPr>
          <w:rFonts w:ascii="Verdana" w:hAnsi="Verdana" w:eastAsia="Verdana" w:cs="Verdana"/>
          <w:sz w:val="20"/>
          <w:szCs w:val="20"/>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1.06556159</m:t>
        </m:r>
      </m:oMath>
      <w:r>
        <w:rPr>
          <w:rFonts w:ascii="Verdana" w:hAnsi="Verdana" w:eastAsia="Verdana" w:cs="Verdana"/>
          <w:sz w:val="20"/>
          <w:szCs w:val="20"/>
        </w:rPr>
        <w:t>. Those estimates belong to a different fitting specification and should not be merged with the later joint estimates. [5, 9, 10]</w:t>
      </w:r>
    </w:p>
    <w:p w14:paraId="2A54B41D"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There is a further distinction between the scale of the fitted logit and the score used in the generative model. In the fitting code, temperature divides measured performance alone; in stochastic SELECT it divides the entire score. Algebraically,</w:t>
      </w:r>
    </w:p>
    <w:p w14:paraId="0E8E8525" w14:textId="77777777" w:rsidR="00CB31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oMath>
      </m:oMathPara>
    </w:p>
    <w:p w14:paraId="0C96904C"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fixed congestion values, reproducing those same logits with a score of the chapter’s form would require a score coefficient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oMath>
      <w:r>
        <w:rPr>
          <w:rFonts w:ascii="Verdana" w:hAnsi="Verdana" w:eastAsia="Verdana" w:cs="Verdana"/>
          <w:sz w:val="20"/>
          <w:szCs w:val="20"/>
        </w:rPr>
        <w:t xml:space="preserve"> and, for the Gibbs weights, </w:t>
      </w:r>
      <m:oMath>
        <m:sSub>
          <m:sSubPr>
            <m:ctrlPr>
              <w:rPr>
                <w:rFonts w:ascii="Cambria Math" w:hAnsi="Cambria Math"/>
              </w:rPr>
            </m:ctrlPr>
          </m:sSubPr>
          <m:e>
            <m:r>
              <w:rPr>
                <w:rFonts w:ascii="Cambria Math" w:hAnsi="Cambria Math"/>
              </w:rPr>
              <m:t>t</m:t>
            </m:r>
          </m:e>
          <m:sub>
            <m:r>
              <w:rPr>
                <w:rFonts w:ascii="Cambria Math" w:hAnsi="Cambria Math"/>
              </w:rPr>
              <m:t>sel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rPr>
          <w:rFonts w:ascii="Verdana" w:hAnsi="Verdana" w:eastAsia="Verdana" w:cs="Verdana"/>
          <w:sz w:val="20"/>
          <w:szCs w:val="20"/>
        </w:rPr>
        <w:t xml:space="preserve"> when the numerical penalty coefficient is transferred unchanged. [4, 11]</w:t>
      </w:r>
    </w:p>
    <w:p w14:paraId="072A5B6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An exact-</w:t>
      </w:r>
      <m:oMath>
        <m:r>
          <w:rPr>
            <w:rFonts w:ascii="Cambria Math" w:hAnsi="Cambria Math"/>
          </w:rPr>
          <m:t>K</m:t>
        </m:r>
      </m:oMath>
      <w:r>
        <w:rPr>
          <w:rFonts w:ascii="Verdana" w:hAnsi="Verdana" w:eastAsia="Verdana" w:cs="Verdana"/>
          <w:sz w:val="20"/>
          <w:szCs w:val="20"/>
        </w:rP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rPr>
          <m:t>K</m:t>
        </m:r>
      </m:oMath>
      <w:r>
        <w:rPr>
          <w:rFonts w:ascii="Verdana" w:hAnsi="Verdana" w:eastAsia="Verdana" w:cs="Verdana"/>
          <w:sz w:val="20"/>
          <w:szCs w:val="20"/>
        </w:rPr>
        <w:t xml:space="preserve"> refit has been established in the verified record. [2, 12]</w:t>
      </w:r>
    </w:p>
    <w:p w14:paraId="7F011CD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empirical bridge consequently remains a separate methodological task. Before treating the historical estimates as fitted parameters of deterministic top-</w:t>
      </w:r>
      <m:oMath>
        <m:r>
          <w:rPr>
            <w:rFonts w:ascii="Cambria Math" w:hAnsi="Cambria Math"/>
          </w:rPr>
          <m:t>K</m:t>
        </m:r>
      </m:oMath>
      <w:r>
        <w:rPr>
          <w:rFonts w:ascii="Verdana" w:hAnsi="Verdana" w:eastAsia="Verdana" w:cs="Verdana"/>
          <w:sz w:val="20"/>
          <w:szCs w:val="20"/>
        </w:rPr>
        <w:t xml:space="preserve"> or stochastic exact-</w:t>
      </w:r>
      <m:oMath>
        <m:r>
          <w:rPr>
            <w:rFonts w:ascii="Cambria Math" w:hAnsi="Cambria Math"/>
          </w:rPr>
          <m:t>K</m:t>
        </m:r>
      </m:oMath>
      <w:r>
        <w:rPr>
          <w:rFonts w:ascii="Verdana" w:hAnsi="Verdana" w:eastAsia="Verdana" w:cs="Verdana"/>
          <w:sz w:val="20"/>
          <w:szCs w:val="20"/>
        </w:rP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68BC3434" w14:textId="77777777" w:rsidR="00CB3150" w:rsidRDefault="00000000">
      <w:pPr>
        <w:rPr>
          <w:rFonts w:ascii="Verdana" w:hAnsi="Verdana" w:eastAsia="Verdana" w:cs="Verdana"/>
          <w:sz w:val="21"/>
          <w:szCs w:val="21"/>
          <w:b w:val="1"/>
          <w:bCs w:val="1"/>
        </w:rPr>
        <w:pStyle w:val="Heading2"/>
        <w:spacing w:line="240" w:lineRule="auto"/>
      </w:pPr>
      <w:bookmarkStart w:id="48" w:name="Xc89fd0d0a0538ad258b22b5118afea5b3189c30"/>
      <w:bookmarkEnd w:id="47"/>
      <w:r>
        <w:rPr>
          <w:rFonts w:ascii="Verdana" w:hAnsi="Verdana" w:eastAsia="Verdana" w:cs="Verdana"/>
          <w:sz w:val="21"/>
          <w:szCs w:val="21"/>
          <w:b w:val="1"/>
          <w:bCs w:val="1"/>
        </w:rPr>
        <w:lastRenderedPageBreak/>
        <w:t>4A.5 Alternative congestion specifications</w:t>
      </w:r>
    </w:p>
    <w:p w14:paraId="172B8F7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After introducing the two mean-performance benchmarks, the main chapter uses refined full-group congestion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rPr>
          <w:rFonts w:ascii="Verdana" w:hAnsi="Verdana" w:eastAsia="Verdana" w:cs="Verdana"/>
          <w:sz w:val="20"/>
          <w:szCs w:val="20"/>
        </w:rP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rPr>
          <m:t>λ</m:t>
        </m:r>
      </m:oMath>
      <w:r>
        <w:rPr>
          <w:rFonts w:ascii="Verdana" w:hAnsi="Verdana" w:eastAsia="Verdana" w:cs="Verdana"/>
          <w:sz w:val="20"/>
          <w:szCs w:val="20"/>
        </w:rPr>
        <w:t xml:space="preserve">. Moving the threshold with </w:t>
      </w:r>
      <m:oMath>
        <m:r>
          <w:rPr>
            <w:rFonts w:ascii="Cambria Math" w:hAnsi="Cambria Math"/>
          </w:rPr>
          <m:t>K</m:t>
        </m:r>
      </m:oMath>
      <w:r>
        <w:rPr>
          <w:rFonts w:ascii="Verdana" w:hAnsi="Verdana" w:eastAsia="Verdana" w:cs="Verdana"/>
          <w:sz w:val="20"/>
          <w:szCs w:val="20"/>
        </w:rPr>
        <w:t xml:space="preserve"> couples competitive relevance to the outcome capacity, whereas holding it fixed permits those quantities to be varied independently. These choices require explicit identification wherever their results are compared.</w:t>
      </w:r>
    </w:p>
    <w:p w14:paraId="7D2BF3F6" w14:textId="77777777" w:rsidR="00CA538B"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full-group measure in Section 4.4.3 deliberately includes the focal individual. To make the alternative explicit, suppose individual </w:t>
      </w:r>
      <m:oMath>
        <m:r>
          <w:rPr>
            <w:rFonts w:ascii="Cambria Math" w:hAnsi="Cambria Math"/>
          </w:rPr>
          <m:t>i</m:t>
        </m:r>
      </m:oMath>
      <w:r>
        <w:rPr>
          <w:rFonts w:ascii="Verdana" w:hAnsi="Verdana" w:eastAsia="Verdana" w:cs="Verdana"/>
          <w:sz w:val="20"/>
          <w:szCs w:val="20"/>
        </w:rPr>
        <w:t xml:space="preserve"> belongs to group </w:t>
      </w:r>
      <m:oMath>
        <m:r>
          <w:rPr>
            <w:rFonts w:ascii="Cambria Math" w:hAnsi="Cambria Math"/>
          </w:rPr>
          <m:t>j</m:t>
        </m:r>
      </m:oMath>
      <w:r>
        <w:rPr>
          <w:rFonts w:ascii="Verdana" w:hAnsi="Verdana" w:eastAsia="Verdana" w:cs="Verdana"/>
          <w:sz w:val="20"/>
          <w:szCs w:val="20"/>
        </w:rPr>
        <w:t xml:space="preserve">, so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rPr>
          <w:rFonts w:ascii="Verdana" w:hAnsi="Verdana" w:eastAsia="Verdana" w:cs="Verdana"/>
          <w:sz w:val="20"/>
          <w:szCs w:val="20"/>
        </w:rPr>
        <w:t>. Excluding that individual’s competitive relevance would give</w:t>
      </w:r>
    </w:p>
    <w:p w14:paraId="1A3B30DC" w14:textId="77777777" w:rsidR="00CA538B" w:rsidRDefault="00000000">
      <m:oMathPara>
        <m:oMathParaPr>
          <m:jc m:val="center"/>
        </m:oMathPara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h</m:t>
                  </m:r>
                </m:sub>
              </m:sSub>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6BCE3193" w14:textId="77777777" w:rsidR="00CA538B"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xml:space="preserve"> is the full-group mean of competitive relevance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ascii="Verdana" w:hAnsi="Verdana" w:eastAsia="Verdana" w:cs="Verdana"/>
          <w:sz w:val="20"/>
          <w:szCs w:val="20"/>
        </w:rPr>
        <w:t xml:space="preserve"> is the focal individual’s relevance. The numerator removes </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ascii="Verdana" w:hAnsi="Verdana" w:eastAsia="Verdana" w:cs="Verdana"/>
          <w:sz w:val="20"/>
          <w:szCs w:val="20"/>
        </w:rP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w:r>
        <w:rPr>
          <w:rFonts w:ascii="Verdana" w:hAnsi="Verdana" w:eastAsia="Verdana" w:cs="Verdana"/>
          <w:sz w:val="20"/>
          <w:szCs w:val="20"/>
        </w:rPr>
        <w:t xml:space="preserve"> in Section 4.4.1, which averages other members’ performance values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rather than their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The refined model retains the full-group mean as a measure of shared roster pressure; this leave-one-out alternative is recorded here to clarify that modeling choice.</w:t>
      </w:r>
    </w:p>
    <w:p w14:paraId="6050C37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1566CD99" w14:textId="77777777" w:rsidR="00CB3150" w:rsidRDefault="00000000">
      <w:pPr>
        <w:rPr>
          <w:rFonts w:ascii="Verdana" w:hAnsi="Verdana" w:eastAsia="Verdana" w:cs="Verdana"/>
          <w:sz w:val="28"/>
          <w:szCs w:val="28"/>
          <w:b w:val="1"/>
          <w:bCs w:val="1"/>
        </w:rPr>
        <w:pStyle w:val="Heading1"/>
        <w:spacing w:line="240" w:lineRule="auto"/>
      </w:pPr>
      <w:bookmarkStart w:id="49" w:name="X8a33aa523801c967d2fea04397cc8e7252f71fa"/>
      <w:bookmarkEnd w:id="43"/>
      <w:bookmarkEnd w:id="48"/>
      <w:r>
        <w:rPr>
          <w:rFonts w:ascii="Verdana" w:hAnsi="Verdana" w:eastAsia="Verdana" w:cs="Verdana"/>
          <w:sz w:val="28"/>
          <w:szCs w:val="28"/>
          <w:b w:val="1"/>
          <w:bCs w:val="1"/>
        </w:rPr>
        <w:lastRenderedPageBreak/>
        <w:t>Appendix 4B Sources for the equations and completed results</w:t>
      </w:r>
    </w:p>
    <w:p w14:paraId="23EA309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6A57BC31" w14:textId="7A05C41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 The stochastic replay decision and distinction between temperatures are documented in </w:t>
      </w:r>
      <w:hyperlink r:id="rId16">
        <w:r w:rsidR="00CB3150">
          <w:rPr>
            <w:rFonts w:ascii="Verdana" w:hAnsi="Verdana" w:eastAsia="Verdana" w:cs="Verdana"/>
            <w:sz w:val="20"/>
            <w:szCs w:val="20"/>
          </w:rPr>
          <w:t>MBB_empirical_roster_select_replay.md</w:t>
        </w:r>
      </w:hyperlink>
      <w:r>
        <w:rPr>
          <w:rFonts w:ascii="Verdana" w:hAnsi="Verdana" w:eastAsia="Verdana" w:cs="Verdana"/>
          <w:sz w:val="20"/>
          <w:szCs w:val="20"/>
        </w:rPr>
        <w:t xml:space="preserve">, lines 370–418 and 454–462. The direct user instruction is preserved in </w:t>
      </w:r>
      <w:hyperlink r:id="rId17">
        <w:r w:rsidR="00CB3150">
          <w:rPr>
            <w:rFonts w:ascii="Verdana" w:hAnsi="Verdana" w:eastAsia="Verdana" w:cs="Verdana"/>
            <w:sz w:val="20"/>
            <w:szCs w:val="20"/>
          </w:rPr>
          <w:t>.</w:t>
        </w:r>
        <w:proofErr w:type="spellStart"/>
        <w:r w:rsidR="00CB3150">
          <w:rPr>
            <w:rFonts w:ascii="Verdana" w:hAnsi="Verdana" w:eastAsia="Verdana" w:cs="Verdana"/>
            <w:sz w:val="20"/>
            <w:szCs w:val="20"/>
          </w:rPr>
          <w:t>specstory</w:t>
        </w:r>
        <w:proofErr w:type="spellEnd"/>
        <w:r w:rsidR="00CB3150">
          <w:rPr>
            <w:rFonts w:ascii="Verdana" w:hAnsi="Verdana" w:eastAsia="Verdana" w:cs="Verdana"/>
            <w:sz w:val="20"/>
            <w:szCs w:val="20"/>
          </w:rPr>
          <w:t>/history/2026-06-11_08-19-11-0400-compass.md</w:t>
        </w:r>
      </w:hyperlink>
      <w:r>
        <w:rPr>
          <w:rFonts w:ascii="Verdana" w:hAnsi="Verdana" w:eastAsia="Verdana" w:cs="Verdana"/>
          <w:sz w:val="20"/>
          <w:szCs w:val="20"/>
        </w:rPr>
        <w:t>, line 331818, with the subsequent implementation authorization at line 332351. The lock was for empirical-roster replay; it does not retroactively change earlier deterministic runs.</w:t>
      </w:r>
    </w:p>
    <w:p w14:paraId="42DB96BE" w14:textId="7735B0CC"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[2] </w:t>
      </w:r>
      <w:hyperlink r:id="rId18">
        <w:r w:rsidR="00CB3150">
          <w:rPr>
            <w:rFonts w:ascii="Verdana" w:hAnsi="Verdana" w:eastAsia="Verdana" w:cs="Verdana"/>
            <w:sz w:val="20"/>
            <w:szCs w:val="20"/>
          </w:rPr>
          <w:t>PD20_softmax_K_winners_explainer.md</w:t>
        </w:r>
      </w:hyperlink>
      <w:r>
        <w:rPr>
          <w:rFonts w:ascii="Verdana" w:hAnsi="Verdana" w:eastAsia="Verdana" w:cs="Verdana"/>
          <w:sz w:val="20"/>
          <w:szCs w:val="20"/>
        </w:rPr>
        <w:t xml:space="preserve">, lines 190–199, describes the observed-set likelihood for sequential proportional sampling. </w:t>
      </w:r>
      <w:hyperlink r:id="rId19">
        <w:r w:rsidR="00CB3150">
          <w:rPr>
            <w:rFonts w:ascii="Verdana" w:hAnsi="Verdana" w:eastAsia="Verdana" w:cs="Verdana"/>
            <w:sz w:val="20"/>
            <w:szCs w:val="20"/>
          </w:rPr>
          <w:t>PD20_notes.md</w:t>
        </w:r>
      </w:hyperlink>
      <w:r>
        <w:rPr>
          <w:rFonts w:ascii="Verdana" w:hAnsi="Verdana" w:eastAsia="Verdana" w:cs="Verdana"/>
          <w:sz w:val="20"/>
          <w:szCs w:val="20"/>
        </w:rPr>
        <w:t>, lines 121–127, identifies the weighted without-replacement procedure as Plackett–Luce.</w:t>
      </w:r>
    </w:p>
    <w:p w14:paraId="7D32C2EC" w14:textId="7EAA1D7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[3] </w:t>
      </w:r>
      <w:hyperlink r:id="rId20">
        <w:r w:rsidR="00CB3150">
          <w:rPr>
            <w:rFonts w:ascii="Verdana" w:hAnsi="Verdana" w:eastAsia="Verdana" w:cs="Verdana"/>
            <w:sz w:val="20"/>
            <w:szCs w:val="20"/>
          </w:rPr>
          <w:t>sports/tier1_pool_assignment.py</w:t>
        </w:r>
      </w:hyperlink>
      <w:r>
        <w:rPr>
          <w:rFonts w:ascii="Verdana" w:hAnsi="Verdana" w:eastAsia="Verdana" w:cs="Verdana"/>
          <w:sz w:val="20"/>
          <w:szCs w:val="20"/>
        </w:rP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F6CD804" w14:textId="4BD988C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[4] </w:t>
      </w:r>
      <w:hyperlink r:id="rId21">
        <w:r w:rsidR="00CB3150">
          <w:rPr>
            <w:rFonts w:ascii="Verdana" w:hAnsi="Verdana" w:eastAsia="Verdana" w:cs="Verdana"/>
            <w:sz w:val="20"/>
            <w:szCs w:val="20"/>
          </w:rPr>
          <w:t>sports/scripts/pd21_draft_bernoulli_mle.py</w:t>
        </w:r>
      </w:hyperlink>
      <w:r>
        <w:rPr>
          <w:rFonts w:ascii="Verdana" w:hAnsi="Verdana" w:eastAsia="Verdana" w:cs="Verdana"/>
          <w:sz w:val="20"/>
          <w:szCs w:val="20"/>
        </w:rP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2DA7C3BB" w14:textId="7644322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[5] </w:t>
      </w:r>
      <w:hyperlink r:id="rId22">
        <w:r w:rsidR="00CB3150">
          <w:rPr>
            <w:rFonts w:ascii="Verdana" w:hAnsi="Verdana" w:eastAsia="Verdana" w:cs="Verdana"/>
            <w:sz w:val="20"/>
            <w:szCs w:val="20"/>
          </w:rPr>
          <w:t>ASSORT_20260927_SCOUT_response_selection_population_and_reigning_alignment.md</w:t>
        </w:r>
      </w:hyperlink>
      <w:r>
        <w:rPr>
          <w:rFonts w:ascii="Verdana" w:hAnsi="Verdana" w:eastAsia="Verdana" w:cs="Verdana"/>
          <w:sz w:val="20"/>
          <w:szCs w:val="20"/>
        </w:rPr>
        <w:t xml:space="preserve">, lines 94–115, documents all-player-season rows and repeated ever-drafted labels. The loader is </w:t>
      </w:r>
      <w:hyperlink r:id="rId23">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xml:space="preserve">, lines 89–122. It sets within-season standardized points per minute and fixes the initial panel bounds from FULL_PANEL_SEASON_MIN = 2011 and FULL_PANEL_SEASON_MAX = 2021 at lines </w:t>
      </w:r>
      <w:r>
        <w:rPr>
          <w:rFonts w:ascii="Verdana" w:hAnsi="Verdana" w:eastAsia="Verdana" w:cs="Verdana"/>
          <w:sz w:val="20"/>
          <w:szCs w:val="20"/>
        </w:rPr>
        <w:lastRenderedPageBreak/>
        <w:t>46–47. The later requested-window filter cannot restore excluded 2009–2010 rows. Historical input-season provenance remains to be confirmed rather than inferred solely from a filename.</w:t>
      </w:r>
    </w:p>
    <w:p w14:paraId="180CB234" w14:textId="4929A85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[6] </w:t>
      </w:r>
      <w:hyperlink r:id="rId24">
        <w:r w:rsidR="00CB3150">
          <w:rPr>
            <w:rFonts w:ascii="Verdana" w:hAnsi="Verdana" w:eastAsia="Verdana" w:cs="Verdana"/>
            <w:sz w:val="20"/>
            <w:szCs w:val="20"/>
          </w:rPr>
          <w:t>sports/tier1_pool_assignment.py</w:t>
        </w:r>
      </w:hyperlink>
      <w:r>
        <w:rPr>
          <w:rFonts w:ascii="Verdana" w:hAnsi="Verdana" w:eastAsia="Verdana" w:cs="Verdana"/>
          <w:sz w:val="20"/>
          <w:szCs w:val="20"/>
        </w:rPr>
        <w:t xml:space="preserve">, lines 772–781 and 870–912, implements logistic viability and full-team mean congestion. It clips the logistic argument to -500, 500 for numerical stability. The distinction from the leave-one-out HERO axis also appears in </w:t>
      </w:r>
      <w:hyperlink r:id="rId25">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464–471.</w:t>
      </w:r>
    </w:p>
    <w:p w14:paraId="3A1D437E" w14:textId="2DE70A6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[7] </w:t>
      </w:r>
      <w:hyperlink r:id="rId26">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lines 139–158, specifies the season threshold, positive-outcome count, and max(1, count) guard. The MLE script invokes this routine before attaching congestion. This is a preprocessing rule, not a free threshold estimated by the optimizer.</w:t>
      </w:r>
    </w:p>
    <w:p w14:paraId="0FB30102" w14:textId="2E0F5DF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[8] </w:t>
      </w:r>
      <w:hyperlink r:id="rId27">
        <w:r w:rsidR="00CB3150">
          <w:rPr>
            <w:rFonts w:ascii="Verdana" w:hAnsi="Verdana" w:eastAsia="Verdana" w:cs="Verdana"/>
            <w:sz w:val="20"/>
            <w:szCs w:val="20"/>
          </w:rPr>
          <w:t>REIGNING_PD21_rho_hsort_calibrate_2009_2021_mg10_min20_09_21_fit_bracket.json</w:t>
        </w:r>
      </w:hyperlink>
      <w:r>
        <w:rPr>
          <w:rFonts w:ascii="Verdana" w:hAnsi="Verdana" w:eastAsia="Verdana" w:cs="Verdana"/>
          <w:sz w:val="20"/>
          <w:szCs w:val="20"/>
        </w:rPr>
        <w:t xml:space="preserve">, lines 332–345, reports longitudinal rho = 0, simulated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0.0823114512, and empirical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0.0644102092. These are assignment-calibration results, not output-likelihood estimates.</w:t>
      </w:r>
    </w:p>
    <w:p w14:paraId="613A6119" w14:textId="54D9E56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[9] </w:t>
      </w:r>
      <w:hyperlink r:id="rId28">
        <w:r w:rsidR="00CB3150">
          <w:rPr>
            <w:rFonts w:ascii="Verdana" w:hAnsi="Verdana" w:eastAsia="Verdana" w:cs="Verdana"/>
            <w:sz w:val="20"/>
            <w:szCs w:val="20"/>
          </w:rPr>
          <w:t>REIGNING_PD21_draft_bernoulli_mle_2009_2021_mg10_min20_09_21.json</w:t>
        </w:r>
      </w:hyperlink>
      <w:r>
        <w:rPr>
          <w:rFonts w:ascii="Verdana" w:hAnsi="Verdana" w:eastAsia="Verdana" w:cs="Verdana"/>
          <w:sz w:val="20"/>
          <w:szCs w:val="20"/>
        </w:rP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rPr>
            <w:rFonts w:ascii="Verdana" w:hAnsi="Verdana" w:eastAsia="Verdana" w:cs="Verdana"/>
            <w:sz w:val="20"/>
            <w:szCs w:val="20"/>
          </w:rPr>
          <w:t>calibration/</w:t>
        </w:r>
        <w:proofErr w:type="spellStart"/>
        <w:r w:rsidR="00CB3150">
          <w:rPr>
            <w:rFonts w:ascii="Verdana" w:hAnsi="Verdana" w:eastAsia="Verdana" w:cs="Verdana"/>
            <w:sz w:val="20"/>
            <w:szCs w:val="20"/>
          </w:rPr>
          <w:t>manifest.json</w:t>
        </w:r>
        <w:proofErr w:type="spellEnd"/>
      </w:hyperlink>
      <w:r>
        <w:rPr>
          <w:rFonts w:ascii="Verdana" w:hAnsi="Verdana" w:eastAsia="Verdana" w:cs="Verdana"/>
          <w:sz w:val="20"/>
          <w:szCs w:val="20"/>
        </w:rPr>
        <w:t xml:space="preserve">. </w:t>
      </w:r>
      <w:hyperlink r:id="rId30">
        <w:r w:rsidR="00CB3150">
          <w:rPr>
            <w:rFonts w:ascii="Verdana" w:hAnsi="Verdana" w:eastAsia="Verdana" w:cs="Verdana"/>
            <w:sz w:val="20"/>
            <w:szCs w:val="20"/>
          </w:rPr>
          <w:t>sports/scripts/reigning_hero_calibration.py</w:t>
        </w:r>
      </w:hyperlink>
      <w:r>
        <w:rPr>
          <w:rFonts w:ascii="Verdana" w:hAnsi="Verdana" w:eastAsia="Verdana" w:cs="Verdana"/>
          <w:sz w:val="20"/>
          <w:szCs w:val="20"/>
        </w:rPr>
        <w:t>, lines 40–41 and 82–99, requests the 2009–2021 window. Read these alongside note [5] when describing the effective sample.</w:t>
      </w:r>
    </w:p>
    <w:p w14:paraId="17ABDED7" w14:textId="05D8D35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[10] </w:t>
      </w:r>
      <w:hyperlink r:id="rId31">
        <w:r w:rsidR="00CB3150">
          <w:rPr>
            <w:rFonts w:ascii="Verdana" w:hAnsi="Verdana" w:eastAsia="Verdana" w:cs="Verdana"/>
            <w:sz w:val="20"/>
            <w:szCs w:val="20"/>
          </w:rPr>
          <w:t>PD21_draft_bernoulli_mle_2013_2021.json</w:t>
        </w:r>
      </w:hyperlink>
      <w:r>
        <w:rPr>
          <w:rFonts w:ascii="Verdana" w:hAnsi="Verdana" w:eastAsia="Verdana" w:cs="Verdana"/>
          <w:sz w:val="20"/>
          <w:szCs w:val="20"/>
        </w:rPr>
        <w:t xml:space="preserve">, lines 2–21, records the fixed-gamma fit: gamma = 18, lambda = 2.571500648851351, t = 1.065561586816066, 38,123 rows, 882 positive flags, and nine seasons. The older </w:t>
      </w:r>
      <w:hyperlink r:id="rId32">
        <w:r w:rsidR="00CB3150">
          <w:rPr>
            <w:rFonts w:ascii="Verdana" w:hAnsi="Verdana" w:eastAsia="Verdana" w:cs="Verdana"/>
            <w:sz w:val="20"/>
            <w:szCs w:val="20"/>
          </w:rPr>
          <w:t>PD21_draft_bernoulli_mle_2011_2021.json</w:t>
        </w:r>
      </w:hyperlink>
      <w:r>
        <w:rPr>
          <w:rFonts w:ascii="Verdana" w:hAnsi="Verdana" w:eastAsia="Verdana" w:cs="Verdana"/>
          <w:sz w:val="20"/>
          <w:szCs w:val="20"/>
        </w:rPr>
        <w:t xml:space="preserve"> records a grid-best point with gamma = 10 fixed, lambda = 2, t = 1, and </w:t>
      </w:r>
      <w:proofErr w:type="spellStart"/>
      <w:r>
        <w:rPr>
          <w:rFonts w:ascii="Verdana" w:hAnsi="Verdana" w:eastAsia="Verdana" w:cs="Verdana"/>
          <w:sz w:val="20"/>
          <w:szCs w:val="20"/>
        </w:rPr>
        <w:t>bfgs</w:t>
      </w:r>
      <w:proofErr w:type="spellEnd"/>
      <w:r>
        <w:rPr>
          <w:rFonts w:ascii="Verdana" w:hAnsi="Verdana" w:eastAsia="Verdana" w:cs="Verdana"/>
          <w:sz w:val="20"/>
          <w:szCs w:val="20"/>
        </w:rPr>
        <w:t xml:space="preserve"> = null; it must not be substituted for the later joint estimate.</w:t>
      </w:r>
    </w:p>
    <w:p w14:paraId="3790A104" w14:textId="344CA5A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[11] </w:t>
      </w:r>
      <w:hyperlink r:id="rId33">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374–387, explicitly distinguishes A/t - lambda L_C from the Gibbs weight exp(S/t). The coefficient identity in the chapter explains that mismatch algebraically; no equivalence of Bernoulli and exact-</w:t>
      </w:r>
      <m:oMath>
        <m:r>
          <w:rPr>
            <w:rFonts w:ascii="Cambria Math" w:hAnsi="Cambria Math"/>
          </w:rPr>
          <m:t>K</m:t>
        </m:r>
      </m:oMath>
      <w:r>
        <w:rPr>
          <w:rFonts w:ascii="Verdana" w:hAnsi="Verdana" w:eastAsia="Verdana" w:cs="Verdana"/>
          <w:sz w:val="20"/>
          <w:szCs w:val="20"/>
        </w:rPr>
        <w:t xml:space="preserve"> likelihoods is asserted.</w:t>
      </w:r>
    </w:p>
    <w:p w14:paraId="427DF829" w14:textId="6F317043"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[12] </w:t>
      </w:r>
      <w:hyperlink r:id="rId34">
        <w:r w:rsidR="00CB3150">
          <w:rPr>
            <w:rFonts w:ascii="Verdana" w:hAnsi="Verdana" w:eastAsia="Verdana" w:cs="Verdana"/>
            <w:sz w:val="20"/>
            <w:szCs w:val="20"/>
          </w:rPr>
          <w:t>MLE_basics.md</w:t>
        </w:r>
      </w:hyperlink>
      <w:r>
        <w:rPr>
          <w:rFonts w:ascii="Verdana" w:hAnsi="Verdana" w:eastAsia="Verdana" w:cs="Verdana"/>
          <w:sz w:val="20"/>
          <w:szCs w:val="20"/>
        </w:rPr>
        <w:t>, lines 208, 244–250, and 420–426, states that empirical fitting ended with the Bernoulli optimization, with no Phase B re-estimation, while describing exact-</w:t>
      </w:r>
      <m:oMath>
        <m:r>
          <w:rPr>
            <w:rFonts w:ascii="Cambria Math" w:hAnsi="Cambria Math"/>
          </w:rPr>
          <m:t>K</m:t>
        </m:r>
      </m:oMath>
      <w:r>
        <w:rPr>
          <w:rFonts w:ascii="Verdana" w:hAnsi="Verdana" w:eastAsia="Verdana" w:cs="Verdana"/>
          <w:sz w:val="20"/>
          <w:szCs w:val="20"/>
        </w:rPr>
        <w:t xml:space="preserve"> estimation as an alternative. The later replay lock in note [1] kept that fitting procedure unchanged.</w:t>
      </w:r>
    </w:p>
    <w:p w14:paraId="75A61156" w14:textId="37B763B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[13] </w:t>
      </w:r>
      <w:hyperlink r:id="rId35">
        <w:r w:rsidR="00CB3150">
          <w:rPr>
            <w:rFonts w:ascii="Verdana" w:hAnsi="Verdana" w:eastAsia="Verdana" w:cs="Verdana"/>
            <w:sz w:val="20"/>
            <w:szCs w:val="20"/>
          </w:rPr>
          <w:t>VECTOR_PD44_Dissertation_Work_Map_and_Model_Chapter_Outline.md</w:t>
        </w:r>
      </w:hyperlink>
      <w:r>
        <w:rPr>
          <w:rFonts w:ascii="Verdana" w:hAnsi="Verdana" w:eastAsia="Verdana" w:cs="Verdana"/>
          <w:sz w:val="20"/>
          <w:szCs w:val="20"/>
        </w:rP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EF40547"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[14] ASSORT_20260927_three_season_mechanism_v1_report.md and ASSORT_20260927_selection_rate_comparison_v1_report.md,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/docs/briefings. These are deterministic mechanism simulations.</w:t>
      </w:r>
    </w:p>
    <w:p w14:paraId="727B6A5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[15] ASSORT_20260927_penalty_magnitude_v1_report.md documents the raw penalty scale relative to standardized individual performance. Numerical values quoted in Section 4.7 are taken from the completed report.</w:t>
      </w:r>
    </w:p>
    <w:p w14:paraId="03ABFEC0" w14:textId="7651789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[16] ASSORT_20260927_penalty_bars_v1_report.md records the </w:t>
      </w:r>
      <m:oMath>
        <m:r>
          <w:rPr>
            <w:rFonts w:ascii="Cambria Math" w:hAnsi="Cambria Math"/>
          </w:rPr>
          <m:t>λ</m:t>
        </m:r>
      </m:oMath>
      <w:r>
        <w:rPr>
          <w:rFonts w:ascii="Verdana" w:hAnsi="Verdana" w:eastAsia="Verdana" w:cs="Verdana"/>
          <w:sz w:val="20"/>
          <w:szCs w:val="20"/>
        </w:rPr>
        <w:t xml:space="preserve"> = 0, 1, 2, 4 comparison and the bin-support qualification.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2015_penalty_bars.png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/outputs/penalty_bars_v1. The report identifies its specification, code, bin summaries, and execution record.</w:t>
      </w:r>
    </w:p>
    <w:p w14:paraId="7858CF8F" w14:textId="0D513C1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[17] ASSORT_20260927_rho_scarcity_v1_report.md records the paired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versus 0.05 comparison at 50% and 1% selection, including changed-winner counts and their denominators.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2015_relative.png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/outputs/rho_scarcity_v1. The report links the saved rates, population support, identity summaries, and run record.</w:t>
      </w:r>
      <w:bookmarkEnd w:id="49"/>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21241C" w14:textId="77777777" w:rsidR="00A93256" w:rsidRDefault="00A93256">
      <w:pPr>
        <w:spacing w:after="0" w:line="240" w:lineRule="auto"/>
      </w:pPr>
      <w:r>
        <w:separator/>
      </w:r>
    </w:p>
  </w:endnote>
  <w:endnote w:type="continuationSeparator" w:id="0">
    <w:p w14:paraId="290559C9" w14:textId="77777777" w:rsidR="00A93256" w:rsidRDefault="00A93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D371C"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041CEB" w14:textId="77777777" w:rsidR="00A93256" w:rsidRDefault="00A93256">
      <w:pPr>
        <w:spacing w:after="0" w:line="240" w:lineRule="auto"/>
      </w:pPr>
      <w:r>
        <w:separator/>
      </w:r>
    </w:p>
  </w:footnote>
  <w:footnote w:type="continuationSeparator" w:id="0">
    <w:p w14:paraId="168CE296" w14:textId="77777777" w:rsidR="00A93256" w:rsidRDefault="00A93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01378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82A54"/>
    <w:rsid w:val="0018609E"/>
    <w:rsid w:val="0019481C"/>
    <w:rsid w:val="001B5580"/>
    <w:rsid w:val="001C123B"/>
    <w:rsid w:val="001C5821"/>
    <w:rsid w:val="001D3E6A"/>
    <w:rsid w:val="001F6217"/>
    <w:rsid w:val="00203D06"/>
    <w:rsid w:val="00205937"/>
    <w:rsid w:val="002271F4"/>
    <w:rsid w:val="0023452C"/>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A30D3"/>
    <w:rsid w:val="008C5B2D"/>
    <w:rsid w:val="008D4320"/>
    <w:rsid w:val="00912BB1"/>
    <w:rsid w:val="00921496"/>
    <w:rsid w:val="00927B5E"/>
    <w:rsid w:val="00933B73"/>
    <w:rsid w:val="00944396"/>
    <w:rsid w:val="00950606"/>
    <w:rsid w:val="009701B6"/>
    <w:rsid w:val="00981AD6"/>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256"/>
    <w:rsid w:val="00A939F3"/>
    <w:rsid w:val="00A967C4"/>
    <w:rsid w:val="00AA1D8D"/>
    <w:rsid w:val="00AA2BD3"/>
    <w:rsid w:val="00AB7FFC"/>
    <w:rsid w:val="00AC0AA7"/>
    <w:rsid w:val="00AD3153"/>
    <w:rsid w:val="00AF7AC1"/>
    <w:rsid w:val="00B17DFA"/>
    <w:rsid w:val="00B21393"/>
    <w:rsid w:val="00B329C0"/>
    <w:rsid w:val="00B35FFE"/>
    <w:rsid w:val="00B4506E"/>
    <w:rsid w:val="00B47730"/>
    <w:rsid w:val="00B563C3"/>
    <w:rsid w:val="00B654E4"/>
    <w:rsid w:val="00BA4016"/>
    <w:rsid w:val="00BA6187"/>
    <w:rsid w:val="00BC36B4"/>
    <w:rsid w:val="00BD0C74"/>
    <w:rsid w:val="00C03B62"/>
    <w:rsid w:val="00C17F93"/>
    <w:rsid w:val="00C253FE"/>
    <w:rsid w:val="00C460A3"/>
    <w:rsid w:val="00C5104C"/>
    <w:rsid w:val="00C5784C"/>
    <w:rsid w:val="00C73E7B"/>
    <w:rsid w:val="00C74980"/>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389BA"/>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hAnsi="Verdana" w:eastAsia="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rFonts w:ascii="Verdana" w:hAnsi="Verdana" w:eastAsia="Verdana" w:cs="Verdana"/>
      <w:b w:val="1"/>
      <w:bCs w:val="1"/>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rFonts w:ascii="Verdana" w:hAnsi="Verdana" w:eastAsia="Verdana" w:cs="Verdana"/>
      <w:b w:val="1"/>
      <w:bCs w:val="1"/>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rFonts w:ascii="Verdana" w:hAnsi="Verdana" w:eastAsia="Verdana" w:cs="Verdana"/>
      <w:b w:val="1"/>
      <w:bCs w:val="1"/>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rFonts w:ascii="Verdana" w:hAnsi="Verdana" w:eastAsia="Verdana" w:cs="Verdana"/>
      <w:b w:val="1"/>
      <w:bCs w:val="1"/>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rFonts w:ascii="Verdana" w:hAnsi="Verdana" w:eastAsia="Verdana" w:cs="Verdana"/>
      <w:color w:val="243F60" w:themeColor="accent1" w:themeShade="7F"/>
      <w:sz w:val="21"/>
      <w:szCs w:val="21"/>
      <w:b w:val="1"/>
      <w:bCs w:val="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rFonts w:ascii="Verdana" w:hAnsi="Verdana" w:eastAsia="Verdana" w:cs="Verdana"/>
      <w:i/>
      <w:iCs/>
      <w:color w:val="243F60" w:themeColor="accent1" w:themeShade="7F"/>
      <w:sz w:val="21"/>
      <w:szCs w:val="21"/>
      <w:b w:val="1"/>
      <w:bCs w:val="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rFonts w:ascii="Verdana" w:hAnsi="Verdana" w:eastAsia="Verdana" w:cs="Verdana"/>
      <w:i/>
      <w:iCs/>
      <w:color w:val="404040" w:themeColor="text1" w:themeTint="BF"/>
      <w:sz w:val="21"/>
      <w:szCs w:val="21"/>
      <w:b w:val="1"/>
      <w:bCs w:val="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rFonts w:ascii="Verdana" w:hAnsi="Verdana" w:eastAsia="Verdana" w:cs="Verdana"/>
      <w:color w:val="4F81BD" w:themeColor="accent1"/>
      <w:sz w:val="21"/>
      <w:szCs w:val="21"/>
      <w:b w:val="1"/>
      <w:bCs w:val="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rFonts w:ascii="Verdana" w:hAnsi="Verdana" w:eastAsia="Verdana" w:cs="Verdana"/>
      <w:i/>
      <w:iCs/>
      <w:color w:val="404040" w:themeColor="text1" w:themeTint="BF"/>
      <w:sz w:val="21"/>
      <w:szCs w:val="21"/>
      <w:b w:val="1"/>
      <w:bCs w:val="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rFonts w:ascii="Verdana" w:hAnsi="Verdana" w:eastAsia="Verdana" w:cs="Verdana"/>
      <w:b w:val="1"/>
      <w:spacing w:val="5"/>
      <w:kern w:val="28"/>
      <w:sz w:val="28"/>
      <w:szCs w:val="28"/>
      <w:bCs w:val="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rPr>
      <w:rFonts w:ascii="Verdana" w:hAnsi="Verdana" w:eastAsia="Verdana" w:cs="Verdana"/>
      <w:sz w:val="20"/>
      <w:szCs w:val="20"/>
    </w:rPr>
    <w:pPr>
      <w:spacing w:line="48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bCs w:val="0"/>
      <w:sz w:val="18"/>
      <w:szCs w:val="18"/>
      <w:rFonts w:ascii="Trebuchet MS" w:hAnsi="Trebuchet MS" w:eastAsia="Trebuchet MS" w:cs="Trebuchet MS"/>
      <w:b w:val="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ascii="Verdana" w:hAnsi="Verdana" w:eastAsia="Verdana" w:cs="Verdana"/>
      <w:szCs w:val="20"/>
      <w:sz w:val="20"/>
    </w:rPr>
    <w:pPr>
      <w:spacing w:line="480" w:lineRule="auto"/>
    </w:p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Illustration">
    <w:name w:val="Illustration"/>
    <w:qFormat/>
    <w:basedOn w:val="Normal"/>
    <w:next w:val="Caption"/>
    <w:pPr>
      <w:jc w:val="center"/>
      <w:spacing w:line="240" w:lineRule="auto"/>
      <w:ind w:left="0" w:right="0" w:firstLine="0"/>
    </w:pPr>
  </w:style>
  <w:style w:type="character" w:styleId="CaptionTitle">
    <w:name w:val="Caption Title"/>
    <w:qFormat/>
    <w:rPr>
      <w:b w:val="1"/>
      <w:b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openxmlformats.org/officeDocument/2006/relationships/theme" Target="theme/theme1.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50</Pages>
  <Words>15557</Words>
  <Characters>88680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104029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66</cp:revision>
  <cp:lastPrinted>2026-10-13T22:22:00Z</cp:lastPrinted>
  <dcterms:created xsi:type="dcterms:W3CDTF">2026-10-12T00:06:00Z</dcterms:created>
  <dcterms:modified xsi:type="dcterms:W3CDTF">2026-10-14T15:22:00Z</dcterms:modified>
</cp:coreProperties>
</file>