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361B34F4" w:id="T_361B34F4"/>
      <w:r>
        <w:rPr/>
        <w:t>Fundamental Theorem of Calculus</w:t>
      </w:r>
      <w:bookmarkEnd w:id="T_361B34F4"/>
    </w:p>
    <w:p>
      <w:pPr>
        <w:pStyle w:val="text"/>
        <w:jc w:val="left"/>
      </w:pPr>
      <w:r>
        <w:rPr/>
        <w:t>One profound connection between differential and integral calculus is the relationship between </w:t>
      </w:r>
      <w:hyperlink r:id="rId1">
        <w:r>
          <w:rPr>
            <w:rStyle w:val="Hyperlink"/>
          </w:rPr>
          <w:t>accumulation functions</w:t>
        </w:r>
      </w:hyperlink>
      <w:r>
        <w:rPr/>
        <w:t> and </w:t>
      </w:r>
      <w:hyperlink r:id="rId2">
        <w:r>
          <w:rPr>
            <w:rStyle w:val="Hyperlink"/>
          </w:rPr>
          <w:t>derivative functions</w:t>
        </w:r>
      </w:hyperlink>
      <w:r>
        <w:rPr/>
        <w:t>. </w:t>
      </w:r>
    </w:p>
    <w:p>
      <w:pPr>
        <w:pStyle w:val="text"/>
        <w:jc w:val="center"/>
      </w:pPr>
      <w:r>
        <w:rPr>
          <w:position w:val="NaN"/>
        </w:rPr>
        <w:drawing>
          <wp:inline xmlns:wp="http://schemas.openxmlformats.org/drawingml/2006/wordprocessingDrawing" distB="0" distL="0" distR="0" distT="0">
            <wp:extent cx="3810000" cy="2381250"/>
            <wp:docPr id="1" name="The area between a velocity as a function of time curve and the time axis tracks the positive and negative distances travelled by a skier from their starting location"/>
            <a:graphic xmlns:a="http://schemas.openxmlformats.org/drawingml/2006/main">
              <a:graphicData uri="http://schemas.openxmlformats.org/drawingml/2006/picture">
                <pic:pic xmlns:pic="http://schemas.openxmlformats.org/drawingml/2006/picture">
                  <pic:nvPicPr>
                    <pic:cNvPr id="1" name="The area between a velocity as a function of time curve and the time axis tracks the positive and negative distances travelled by a skier from their starting location"/>
                    <pic:cNvPicPr/>
                  </pic:nvPicPr>
                  <pic:blipFill>
                    <a:blip r:embed="rId3"/>
                    <a:stretch>
                      <a:fillRect/>
                    </a:stretch>
                  </pic:blipFill>
                  <pic:spPr>
                    <a:xfrm>
                      <a:off x="0" y="0"/>
                      <a:ext cx="3810000" cy="2381250"/>
                    </a:xfrm>
                    <a:prstGeom prst="rect">
                      <a:avLst/>
                    </a:prstGeom>
                  </pic:spPr>
                </pic:pic>
              </a:graphicData>
            </a:graphic>
          </wp:inline>
        </w:drawing>
        <w:rPr>
          <w:position w:val="0"/>
        </w:rPr>
      </w:r>
    </w:p>
    <w:p>
      <w:pPr>
        <w:pStyle w:val="text"/>
        <w:jc w:val="left"/>
      </w:pPr>
      <w:r>
        <w:rPr/>
        <w:t>The geometric area under a curve corresponds to the total accumulation of the product of the values tracked along each axis. In this image velocity times time is distance. </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277A71EB">
            <w:r>
              <w:rPr>
                <w:rStyle w:val="Hyperlink"/>
              </w:rPr>
              <w:t>Practice Randomized Definite Integrals
</w:t>
            </w:r>
          </w:hyperlink>
          <w:br/>
          <w:r>
            <w:rPr/>
            <w:t>    </w:t>
          </w:r>
          <w:hyperlink w:anchor="MW_H_A6960D98">
            <w:r>
              <w:rPr>
                <w:rStyle w:val="Hyperlink"/>
              </w:rPr>
              <w:t>Practice App
</w:t>
            </w:r>
          </w:hyperlink>
          <w:br/>
          <w:hyperlink w:anchor="MW_H_0AAABA39">
            <w:r>
              <w:rPr>
                <w:rStyle w:val="Hyperlink"/>
              </w:rPr>
              <w:t>Helper Functions</w:t>
            </w:r>
          </w:hyperlink>
          <w:r>
            <w:fldChar w:fldCharType="end"/>
          </w:r>
        </w:p>
      </w:sdtContent>
    </w:sdt>
    <w:p>
      <w:pPr>
        <w:pStyle w:val="text"/>
        <w:jc w:val="left"/>
      </w:pPr>
      <w:r>
        <w:rPr/>
        <w:t/>
      </w:r>
    </w:p>
    <w:p>
      <w:pPr>
        <w:pStyle w:val="text"/>
        <w:jc w:val="left"/>
      </w:pPr>
      <w:bookmarkStart w:name="MW_H_51183E7B" w:id="H_51183E7B"/>
      <w:r>
        <w:rPr>
          <w:b/>
        </w:rPr>
        <w:t>Before you get started:</w:t>
      </w:r>
      <w:bookmarkEnd w:id="H_51183E7B"/>
    </w:p>
    <w:p>
      <w:pPr>
        <w:pStyle w:val="text"/>
        <w:jc w:val="left"/>
      </w:pPr>
      <w:bookmarkStart w:name="MW_H_BF646A47" w:id="H_BF646A47"/>
      <w:r>
        <w:rPr/>
        <w:t>This live script is intended to be used with the code hidden. On the </w:t>
      </w:r>
      <w:r>
        <w:rPr>
          <w:b/>
        </w:rPr>
        <w:t>View </w:t>
      </w:r>
      <w:r>
        <w:rPr/>
        <w:t>tab of the MATLAB toolstrip, in the </w:t>
      </w:r>
      <w:r>
        <w:rPr>
          <w:b/>
        </w:rPr>
        <w:t>View</w:t>
      </w:r>
      <w:r>
        <w:rPr/>
        <w:t> section, select </w:t>
      </w:r>
      <w:r>
        <w:rPr>
          <w:b/>
        </w:rPr>
        <w:t>Hide Code</w:t>
      </w:r>
      <w:r>
        <w:rPr/>
        <w:t>.  Alternately, select </w:t>
      </w:r>
      <w:r>
        <w:rPr>
          <w:b/>
        </w:rPr>
        <w:t>Hide Code </w:t>
      </w:r>
      <w:r>
        <w:rPr/>
        <w:t>using the icon </w:t>
      </w:r>
      <w:r>
        <w:rPr>
          <w:position w:val="NaN"/>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80975" cy="180975"/>
                    </a:xfrm>
                    <a:prstGeom prst="rect">
                      <a:avLst/>
                    </a:prstGeom>
                  </pic:spPr>
                </pic:pic>
              </a:graphicData>
            </a:graphic>
          </wp:inline>
        </w:drawing>
        <w:rPr>
          <w:position w:val="0"/>
        </w:rPr>
      </w:r>
      <w:r>
        <w:rPr/>
        <w:t> at the top right of the Live Editor pane.</w:t>
      </w:r>
      <w:bookmarkEnd w:id="H_BF646A47"/>
    </w:p>
    <w:p>
      <w:pPr>
        <w:pStyle w:val="text"/>
        <w:jc w:val="left"/>
      </w:pPr>
      <w:r>
        <w:rPr>
          <w:position w:val="NaN"/>
        </w:rPr>
        <w:drawing>
          <wp:inline xmlns:wp="http://schemas.openxmlformats.org/drawingml/2006/wordprocessingDrawing" distB="0" distL="0" distR="0" distT="0">
            <wp:extent cx="209550" cy="228600"/>
            <wp:docPr id="1" name="brightbulb.png"/>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5"/>
                    <a:stretch>
                      <a:fillRect/>
                    </a:stretch>
                  </pic:blipFill>
                  <pic:spPr>
                    <a:xfrm>
                      <a:off x="0" y="0"/>
                      <a:ext cx="209550" cy="228600"/>
                    </a:xfrm>
                    <a:prstGeom prst="rect">
                      <a:avLst/>
                    </a:prstGeom>
                  </pic:spPr>
                </pic:pic>
              </a:graphicData>
            </a:graphic>
          </wp:inline>
        </w:drawing>
        <w:rPr>
          <w:position w:val="0"/>
        </w:rPr>
      </w:r>
      <w:r>
        <w:rPr/>
        <w:t> Although the code is hidden, some interactivity requires familiarity with MATLAB. If you need more instruction, consider taking </w:t>
      </w:r>
      <w:hyperlink r:id="rId6">
        <w:r>
          <w:rPr>
            <w:rStyle w:val="Hyperlink"/>
          </w:rPr>
          <w:t>MATLAB Onramp</w:t>
        </w:r>
      </w:hyperlink>
      <w:r>
        <w:rPr/>
        <w:t>, a free 2-hour online tutorial that teaches the essentials of MATLAB.</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7"/>
                    <a:stretch>
                      <a:fillRect/>
                    </a:stretch>
                  </pic:blipFill>
                  <pic:spPr>
                    <a:xfrm>
                      <a:off x="0" y="0"/>
                      <a:ext cx="219075" cy="219075"/>
                    </a:xfrm>
                    <a:prstGeom prst="rect">
                      <a:avLst/>
                    </a:prstGeom>
                  </pic:spPr>
                </pic:pic>
              </a:graphicData>
            </a:graphic>
          </wp:inline>
        </w:drawing>
        <w:rPr>
          <w:position w:val="0"/>
        </w:rPr>
      </w:r>
      <w:r>
        <w:rPr/>
        <w:t>   For an optimal experience, follow the instructions and steps in the given sequence. Proceed to a new section only after completing the preceding one.</w:t>
      </w:r>
    </w:p>
    <w:p>
      <w:pPr>
        <w:pStyle w:val="heading"/>
        <w:jc w:val="left"/>
      </w:pPr>
      <w:bookmarkStart w:name="MW_H_277A71EB" w:id="H_277A71EB"/>
      <w:r>
        <w:rPr/>
        <w:t>Practice Randomized Definite Integrals</w:t>
      </w:r>
      <w:bookmarkEnd w:id="H_277A71EB"/>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8"/>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text"/>
        <w:jc w:val="left"/>
      </w:pPr>
      <w:r>
        <w:rPr/>
        <w:t>Once you have completed sufficient practice, track the overall results of your practice here:</w:t>
      </w:r>
    </w:p>
    <w:p>
      <w:pPr>
        <w:pStyle w:val="heading2"/>
        <w:jc w:val="left"/>
      </w:pPr>
      <w:bookmarkStart w:name="MW_H_A6960D98" w:id="H_A6960D98"/>
      <w:r>
        <w:rPr/>
        <w:t>Practice App</w:t>
      </w:r>
      <w:bookmarkEnd w:id="H_A6960D98"/>
    </w:p>
    <w:p>
      <w:pPr>
        <w:pStyle w:val="text"/>
        <w:jc w:val="left"/>
      </w:pPr>
      <w:r>
        <w:rPr/>
        <w:t>You can practice in the Calculus Flashcards app. You can start the app by clicking on the image below. You should set the problem type to be "Definite Integrals" in the Integrals section. The app will open in a new window.</w:t>
      </w:r>
    </w:p>
    <w:p>
      <w:pPr>
        <w:pStyle w:val="text"/>
        <w:jc w:val="center"/>
      </w:pPr>
      <w:hyperlink r:id="rId10">
        <w:r>
          <w:rPr>
            <w:position w:val="NaN"/>
            <w:rStyle w:val="Hyperlink"/>
          </w:rPr>
          <w:drawing>
            <wp:inline xmlns:wp="http://schemas.openxmlformats.org/drawingml/2006/wordprocessingDrawing" distB="0" distL="0" distR="0" distT="0">
              <wp:extent cx="4038600" cy="3105150"/>
              <wp:docPr id="1" name="CalcFlashcardsSettings.png"/>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11"/>
                      <a:stretch>
                        <a:fillRect/>
                      </a:stretch>
                    </pic:blipFill>
                    <pic:spPr>
                      <a:xfrm>
                        <a:off x="0" y="0"/>
                        <a:ext cx="4038600" cy="3105150"/>
                      </a:xfrm>
                      <a:prstGeom prst="rect">
                        <a:avLst/>
                      </a:prstGeom>
                    </pic:spPr>
                  </pic:pic>
                </a:graphicData>
              </a:graphic>
            </wp:inline>
          </w:drawing>
          <w:rPr>
            <w:position w:val="0"/>
          </w:rPr>
        </w:r>
      </w:hyperlink>
    </w:p>
    <w:p>
      <w:pPr>
        <w:pStyle w:val="text"/>
        <w:jc w:val="center"/>
      </w:pPr>
      <w:hyperlink r:id="rId12">
        <w:r>
          <w:rPr>
            <w:rStyle w:val="Hyperlink"/>
          </w:rPr>
          <w:t>Calculus Flashcards App</w:t>
        </w:r>
      </w:hyperlink>
    </w:p>
    <w:p>
      <w:pPr>
        <w:pStyle w:val="heading"/>
        <w:jc w:val="left"/>
      </w:pPr>
      <w:bookmarkStart w:name="MW_H_0AAABA39" w:id="H_0AAABA39"/>
      <w:r>
        <w:rPr/>
        <w:t>Helper Functions</w:t>
      </w:r>
      <w:bookmarkEnd w:id="H_0AAABA39"/>
    </w:p>
    <w:p>
      <w:pPr>
        <w:pStyle w:val="text"/>
        <w:jc w:val="left"/>
      </w:pPr>
      <w:r>
        <w:rPr/>
        <w:t>If you wish to see the details of the code, select the </w:t>
      </w:r>
      <w:r>
        <w:rPr>
          <w:b/>
        </w:rPr>
        <w:t>View</w:t>
      </w:r>
      <w:r>
        <w:rPr/>
        <w:t> tab and switch to </w:t>
      </w:r>
      <w:r>
        <w:rPr>
          <w:b/>
        </w:rPr>
        <w:t>Output Inline</w:t>
      </w:r>
      <w:r>
        <w:rPr/>
        <w:t>. Alternately, select </w:t>
      </w:r>
      <w:r>
        <w:rPr>
          <w:b/>
        </w:rPr>
        <w:t>Output Inline </w:t>
      </w:r>
      <w:r>
        <w:rPr/>
        <w:t>using the icon </w:t>
      </w:r>
      <w:r>
        <w:rPr>
          <w:position w:val="NaN"/>
        </w:rPr>
        <w:drawing>
          <wp:inline xmlns:wp="http://schemas.openxmlformats.org/drawingml/2006/wordprocessingDrawing" distB="0" distL="0" distR="0" distT="0">
            <wp:extent cx="228600" cy="228600"/>
            <wp:docPr id="1" name="liveScriptOutputInline_24.png"/>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13"/>
                    <a:stretch>
                      <a:fillRect/>
                    </a:stretch>
                  </pic:blipFill>
                  <pic:spPr>
                    <a:xfrm>
                      <a:off x="0" y="0"/>
                      <a:ext cx="228600" cy="228600"/>
                    </a:xfrm>
                    <a:prstGeom prst="rect">
                      <a:avLst/>
                    </a:prstGeom>
                  </pic:spPr>
                </pic:pic>
              </a:graphicData>
            </a:graphic>
          </wp:inline>
        </w:drawing>
        <w:rPr>
          <w:position w:val="0"/>
        </w:rPr>
      </w:r>
      <w:r>
        <w:rPr/>
        <w:t> at the top right of the Live Editor pane.</w:t>
      </w:r>
    </w:p>
    <w:p>
      <w:pPr>
        <w:pStyle w:val="text"/>
        <w:jc w:val="left"/>
      </w:pPr>
      <w:r>
        <w:rPr>
          <w:b/>
        </w:rPr>
        <w:t>Practice Problem Generating Functions</w:t>
      </w:r>
    </w:p>
    <w:p>
      <w:pPr>
        <w:pStyle w:val="text"/>
        <w:jc w:val="left"/>
      </w:pPr>
      <w:r>
        <w:rPr/>
        <w:t>Construct a problem to display</w:t>
      </w:r>
    </w:p>
    <w:p>
      <w:pPr>
        <w:pStyle w:val="text"/>
        <w:jc w:val="left"/>
      </w:pPr>
      <w:r>
        <w:rPr/>
        <w:t>Generate appropriate randomized functions</w:t>
      </w:r>
    </w:p>
    <w:p>
      <w:pPr>
        <w:pStyle w:val="text"/>
        <w:jc w:val="left"/>
      </w:pPr>
      <w:r>
        <w:rPr/>
        <w:t>Handle submissions</w:t>
      </w:r>
    </w:p>
    <w:p>
      <w:pPr>
        <w:pStyle w:val="text"/>
        <w:jc w:val="left"/>
      </w:pPr>
      <w:r>
        <w:rPr/>
        <w:t>Check the submitted solution for correctness</w:t>
      </w:r>
    </w:p>
    <w:p>
      <w:pPr>
        <w:pStyle w:val="text"/>
        <w:jc w:val="left"/>
      </w:pPr>
      <w:r>
        <w:rPr/>
        <w:t>Analyze the results and give feedback</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integralRiemann.docx" TargetMode="External" Type="http://schemas.openxmlformats.org/officeDocument/2006/relationships/hyperlink"/>
  <Relationship Id="rId10" Target="matlab:%20CalculusFlashcards" TargetMode="External" Type="http://schemas.openxmlformats.org/officeDocument/2006/relationships/hyperlink"/>
  <Relationship Id="rId11" Target="../media/image7.png" Type="http://schemas.openxmlformats.org/officeDocument/2006/relationships/image"/>
  <Relationship Id="rId12" Target="matlab:%20CalculusFlashcards" TargetMode="External" Type="http://schemas.openxmlformats.org/officeDocument/2006/relationships/hyperlink"/>
  <Relationship Id="rId13" Target="../media/image8.png" Type="http://schemas.openxmlformats.org/officeDocument/2006/relationships/image"/>
  <Relationship Id="rId14" Target="styles.xml" Type="http://schemas.openxmlformats.org/officeDocument/2006/relationships/styles"/>
  <Relationship Id="rId15" Target="numbering.xml" Type="http://schemas.openxmlformats.org/officeDocument/2006/relationships/numbering"/>
  <Relationship Id="rId2" Target="https://github.com/MathWorks-Teaching-Resources/Calculus-Derivatives" TargetMode="External" Type="http://schemas.openxmlformats.org/officeDocument/2006/relationships/hyperlink"/>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https://www.mathworks.com/learn/tutorials/matlab-onramp.html" TargetMode="External" Type="http://schemas.openxmlformats.org/officeDocument/2006/relationships/hyperlink"/>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2022-01-24T15:02:31Z</dcterms:created>
  <dcterms:modified xsi:type="dcterms:W3CDTF">2022-01-24T15:02:31Z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aa10d85d-557d-495d-8177-bc0ac1ade348</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