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sz w:val="22"/>
          <w:szCs w:val="22"/>
        </w:rPr>
        <w:t xml:space="preserve">PARTIE II. ANALYSE ET CONCEPTION</w:t>
      </w:r>
    </w:p>
    <w:p>
      <w:pPr>
        <w:spacing w:after="300"/>
      </w:pPr>
      <w:r>
        <w:rPr>
          <w:b/>
          <w:bCs/>
          <w:sz w:val="30"/>
          <w:szCs w:val="30"/>
        </w:rPr>
        <w:t xml:space="preserve">CHAPITRE 5. Analyse conceptuelle</w:t>
      </w:r>
    </w:p>
    <w:p>
      <w:pPr>
        <w:spacing w:after="160"/>
      </w:pPr>
      <w:r>
        <w:t xml:space="preserve">Le présent chapitre applique, au thème « Conception et réalisation d'un système de gestion des coûts, de la fabrication et du contrôle du prix de revient » retenu pour le stage à l'Imprimerie Nationale de Madagascar (INM), une démarche d'analyse conceptuelle combinant le cadre Agile/Scrum pour l'élaboration du besoin et une approche par domaines fonctionnels (bounded contexts) pour la modélisation orientée objet. Le système à concevoir est désigné ci-après le SGCE-INM. Il couvre le circuit complet allant de l'enregistrement du devis, au sein du Service des Devis et de l'Ordonnancement (SDO), jusqu'au contrôle du prix de revient réel à la clôture du dossier de fabrication, en passant par la planification de la production dans les ateliers SPA et SPB, la gestion du stock de matières premières, la facturation, et un système de notifications transverses.</w:t>
      </w:r>
    </w:p>
    <w:p>
      <w:pPr>
        <w:spacing w:after="160"/>
      </w:pPr>
      <w:r>
        <w:rPr>
          <w:i/>
          <w:iCs/>
        </w:rPr>
        <w:t xml:space="preserve">Mise à jour STI — le modèle Catalogue : à la suite d'un échange de clarification avec le Service Technique de l'Innovation (STI), portant sur le principe général de gestion des coûts de fabrication en imprimerie, il est apparu que l'estimation du prix de revient ne doit pas reposer uniquement sur une comparaison statistique à des dossiers historiques similaires (module IA), mais d'abord sur une structure de coût explicite et réutilisable : un Catalogue de produits, décomposés en composants, chacun porteur de sa propre nomenclature de matières premières et de sa propre gamme d'opérations. Cette clarification irrigue l'ensemble du présent chapitre et y est signalée explicitement à chaque occurrence par la mention « NOUVEAU — STI ».</w:t>
      </w:r>
    </w:p>
    <w:p>
      <w:pPr>
        <w:pStyle w:val="Heading1"/>
        <w:spacing w:after="200" w:before="400"/>
      </w:pPr>
      <w:r>
        <w:rPr>
          <w:b/>
          <w:bCs/>
        </w:rPr>
        <w:t xml:space="preserve">5.1  Cadre Scrum adapté au contexte du stage</w:t>
      </w:r>
    </w:p>
    <w:p>
      <w:pPr>
        <w:spacing w:after="160"/>
      </w:pPr>
      <w:r>
        <w:t xml:space="preserve">Une équipe Scrum est un ensemble organisé de personnes qui participent à la réalisation d'un projet suivant les principes du cadre de travail Scrum. Même en répartissant les rôles, la méthode Scrum exclut toute hiérarchisation stricte : il n'y a pas de chef au sens classique, mais un ensemble de responsabilités réparties qui permet à l'équipe de s'auto-organiser et de s'adapter au fil des sprints. Dans le cadre de ce stage, le mémorant assume successivement les trois rôles Scrum ci-dessous, en concertation avec le maître de stage à l'INM, qui joue le rôle de client représentant le Service des Devis et de l'Ordonnancement (SDO) ainsi que le Service Technique de l'Innovation (STI).</w:t>
      </w:r>
    </w:p>
    <w:p>
      <w:pPr>
        <w:pStyle w:val="Heading2"/>
        <w:spacing w:after="150" w:before="300"/>
      </w:pPr>
      <w:r>
        <w:rPr>
          <w:b/>
          <w:bCs/>
        </w:rPr>
        <w:t xml:space="preserve">5.1.1  Le Product Owner</w:t>
      </w:r>
    </w:p>
    <w:p>
      <w:pPr>
        <w:spacing w:after="160"/>
      </w:pPr>
      <w:r>
        <w:t xml:space="preserve">Le Product Owner élabore les besoins et porte la vision métier du produit final. Il priorise les user stories, en donnant la priorité aux fonctionnalités cœur de métier du SDO, et arbitre les choix fonctionnels en cas de doute — notamment sur le périmètre de l'estimation automatisée par rapport à l'expertise humaine existante, sur le degré de granularité du contrôle du prix de revient, et sur l'articulation avec le stock de matières premières et la facturation.</w:t>
      </w:r>
    </w:p>
    <w:p>
      <w:pPr>
        <w:pStyle w:val="Heading2"/>
        <w:spacing w:after="150" w:before="300"/>
      </w:pPr>
      <w:r>
        <w:rPr>
          <w:b/>
          <w:bCs/>
        </w:rPr>
        <w:t xml:space="preserve">5.1.2  Le Scrum Master</w:t>
      </w:r>
    </w:p>
    <w:p>
      <w:pPr>
        <w:spacing w:after="160"/>
      </w:pPr>
      <w:r>
        <w:t xml:space="preserve">Le Scrum Master veille à ce que la méthode Scrum soit correctement appliquée tout au long du projet, organise les sprints, et fait le lien entre les contraintes de terrain de l'INM (disponibilité des interlocuteurs du SDO et des ateliers de production) et l'avancement technique du développement.</w:t>
      </w:r>
    </w:p>
    <w:p>
      <w:pPr>
        <w:pStyle w:val="Heading2"/>
        <w:spacing w:after="150" w:before="300"/>
      </w:pPr>
      <w:r>
        <w:rPr>
          <w:b/>
          <w:bCs/>
        </w:rPr>
        <w:t xml:space="preserve">5.1.3  L'équipe de développement</w:t>
      </w:r>
    </w:p>
    <w:p>
      <w:pPr>
        <w:spacing w:after="160"/>
      </w:pPr>
      <w:r>
        <w:t xml:space="preserve">L'équipe de développement met en œuvre le modèle de données, l'API Django REST Framework sécurisée par rôle, l'interface React/Redux Toolkit, et le module d'estimation XGBoost. Elle travaille de façon incrémentale, sprint après sprint, en organisant le code par domaine fonctionnel (bounded context) plutôt que par couche technique isolée, afin de limiter le couplage entre le Catalogue, les Devis, la Production, le Contrôle et la Sécurité (section 5.8).</w:t>
      </w:r>
    </w:p>
    <w:p>
      <w:pPr>
        <w:pStyle w:val="Heading1"/>
        <w:spacing w:after="200" w:before="400"/>
      </w:pPr>
      <w:r>
        <w:rPr>
          <w:b/>
          <w:bCs/>
        </w:rPr>
        <w:t xml:space="preserve">5.2  Élaboration du Product Backlog</w:t>
      </w:r>
    </w:p>
    <w:p>
      <w:pPr>
        <w:spacing w:after="160"/>
      </w:pPr>
      <w:r>
        <w:t xml:space="preserve">Le Product Backlog constitue la colonne vertébrale du projet mené selon la méthode agile. Son élaboration s'articule autour de quatre étapes clés : l'établissement de la vision du projet, la liste des acteurs, les thèmes et domaines fonctionnels, et enfin les user stories — complétées, pour ce projet, par une cinquième étape propre à la présente itération : l'intégration de la clarification du STI sur le principe du Catalogue.</w:t>
      </w:r>
    </w:p>
    <w:p>
      <w:pPr>
        <w:pStyle w:val="Heading2"/>
        <w:spacing w:after="150" w:before="300"/>
      </w:pPr>
      <w:r>
        <w:rPr>
          <w:b/>
          <w:bCs/>
        </w:rPr>
        <w:t xml:space="preserve">5.2.1  Vision du projet</w:t>
      </w:r>
    </w:p>
    <w:p>
      <w:pPr>
        <w:spacing w:after="160"/>
      </w:pPr>
      <w:r>
        <w:t xml:space="preserve">Le projet vise à développer un système de gestion des coûts et de la fabrication pour l'Imprimerie Nationale de Madagascar, couvrant cinq domaines fonctionnels (bounded contexts, section 5.8) : un référentiel et catalogue de produits structuré en familles, composants et nomenclatures (matières premières et opérations), qui sert de base de calcul unique ; l'enregistrement des commandes et des devis comme instanciation de ce catalogue pour une quantité donnée, affinée par une estimation intelligente ; la planification et le suivi de la production entre les ateliers SPA et SPB, avec la gestion du stock de matières premières ; le contrôle systématique du prix de revient réel à la clôture, composant par composant, et la facturation associée ; et la gestion transverse des utilisateurs, des rôles et des notifications. La plateforme est hébergée localement à l'INM, sans dépendance à une connexion Internet externe (contrainte institutionnelle, chapitre 4).</w:t>
      </w:r>
    </w:p>
    <w:p>
      <w:pPr>
        <w:pStyle w:val="Heading2"/>
        <w:spacing w:after="150" w:before="300"/>
      </w:pPr>
      <w:r>
        <w:rPr>
          <w:b/>
          <w:bCs/>
        </w:rPr>
        <w:t xml:space="preserve">5.2.2  Liste des acteurs</w:t>
      </w:r>
    </w:p>
    <w:p>
      <w:pPr>
        <w:spacing w:after="160"/>
      </w:pPr>
      <w:r>
        <w:t xml:space="preserve">Le tableau 5.1 présente les acteurs humains qui interviennent dans le fonctionnement de la plateforme. Contrairement à une liste détaillée par fiche (rôle, critère de satisfaction, fréquence d'utilisation, niveau de connaissance technique et métier pour chacun), l'information structurante retenue ici est le rôle synthétique de chaque acteur ; le détail des permissions par rôle est formalisé dans les règles de gestion RG14 à RG17 (section 5.6) et dans le diagramme de cas d'utilisation (section 5.3).</w:t>
      </w:r>
    </w:p>
    <w:p>
      <w:pPr>
        <w:spacing w:after="300" w:before="100"/>
        <w:jc w:val="center"/>
      </w:pPr>
      <w:r>
        <w:rPr>
          <w:b/>
          <w:bCs/>
          <w:i/>
          <w:iCs/>
          <w:sz w:val="20"/>
          <w:szCs w:val="20"/>
        </w:rPr>
        <w:t xml:space="preserve">Tableau 5.1 : Acteurs de la plateforme</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600"/>
      </w:tblGrid>
      <w:tr>
        <w:trPr>
          <w:tblHeader/>
        </w:trPr>
        <w:tc>
          <w:tcPr>
            <w:tcW w:type="dxa" w:w="2400"/>
            <w:shd w:fill="dfe6f5" w:val="clear"/>
            <w:tcMar>
              <w:top w:type="dxa" w:w="60"/>
              <w:left w:type="dxa" w:w="100"/>
              <w:bottom w:type="dxa" w:w="60"/>
              <w:right w:type="dxa" w:w="100"/>
            </w:tcMar>
          </w:tcPr>
          <w:p>
            <w:pPr>
              <w:jc w:val="left"/>
            </w:pPr>
            <w:r>
              <w:rPr>
                <w:b/>
                <w:bCs/>
              </w:rPr>
              <w:t xml:space="preserve">Acteur</w:t>
            </w:r>
          </w:p>
        </w:tc>
        <w:tc>
          <w:tcPr>
            <w:tcW w:type="dxa" w:w="1800"/>
            <w:shd w:fill="dfe6f5" w:val="clear"/>
            <w:tcMar>
              <w:top w:type="dxa" w:w="60"/>
              <w:left w:type="dxa" w:w="100"/>
              <w:bottom w:type="dxa" w:w="60"/>
              <w:right w:type="dxa" w:w="100"/>
            </w:tcMar>
          </w:tcPr>
          <w:p>
            <w:pPr>
              <w:jc w:val="left"/>
            </w:pPr>
            <w:r>
              <w:rPr>
                <w:b/>
                <w:bCs/>
              </w:rPr>
              <w:t xml:space="preserve">Nature</w:t>
            </w:r>
          </w:p>
        </w:tc>
        <w:tc>
          <w:tcPr>
            <w:tcW w:type="dxa" w:w="5600"/>
            <w:shd w:fill="dfe6f5" w:val="clear"/>
            <w:tcMar>
              <w:top w:type="dxa" w:w="60"/>
              <w:left w:type="dxa" w:w="100"/>
              <w:bottom w:type="dxa" w:w="60"/>
              <w:right w:type="dxa" w:w="100"/>
            </w:tcMar>
          </w:tcPr>
          <w:p>
            <w:pPr>
              <w:jc w:val="left"/>
            </w:pPr>
            <w:r>
              <w:rPr>
                <w:b/>
                <w:bCs/>
              </w:rPr>
              <w:t xml:space="preserve">Rôle synthétique</w:t>
            </w:r>
          </w:p>
        </w:tc>
      </w:tr>
      <w:tr>
        <w:tc>
          <w:tcPr>
            <w:tcW w:type="dxa" w:w="2400"/>
            <w:tcMar>
              <w:top w:type="dxa" w:w="60"/>
              <w:left w:type="dxa" w:w="100"/>
              <w:bottom w:type="dxa" w:w="60"/>
              <w:right w:type="dxa" w:w="100"/>
            </w:tcMar>
          </w:tcPr>
          <w:p>
            <w:pPr>
              <w:jc w:val="left"/>
            </w:pPr>
            <w:r>
              <w:rPr>
                <w:b w:val="false"/>
                <w:bCs w:val="false"/>
              </w:rPr>
              <w:t xml:space="preserve">Agent SDO</w:t>
            </w:r>
          </w:p>
        </w:tc>
        <w:tc>
          <w:tcPr>
            <w:tcW w:type="dxa" w:w="1800"/>
            <w:tcMar>
              <w:top w:type="dxa" w:w="60"/>
              <w:left w:type="dxa" w:w="100"/>
              <w:bottom w:type="dxa" w:w="60"/>
              <w:right w:type="dxa" w:w="100"/>
            </w:tcMar>
          </w:tcPr>
          <w:p>
            <w:pPr>
              <w:jc w:val="left"/>
            </w:pPr>
            <w:r>
              <w:rPr>
                <w:b w:val="false"/>
                <w:bCs w:val="false"/>
              </w:rPr>
              <w:t xml:space="preserve">Humain (RBAC)</w:t>
            </w:r>
          </w:p>
        </w:tc>
        <w:tc>
          <w:tcPr>
            <w:tcW w:type="dxa" w:w="5600"/>
            <w:tcMar>
              <w:top w:type="dxa" w:w="60"/>
              <w:left w:type="dxa" w:w="100"/>
              <w:bottom w:type="dxa" w:w="60"/>
              <w:right w:type="dxa" w:w="100"/>
            </w:tcMar>
          </w:tcPr>
          <w:p>
            <w:pPr>
              <w:jc w:val="left"/>
            </w:pPr>
            <w:r>
              <w:rPr>
                <w:b w:val="0"/>
              </w:rPr>
              <w:t>Enregistre les commandes et les organismes clients, crée et valide les devis à partir du catalogue (y compris les options sur-mesure), modifie un devis tant qu'il n'est pas validé, transmet le dossier à l'atelier, consulte l'historique de ses devis et commandes, et consulte le contrôle du prix de revient à la clôture.</w:t>
            </w:r>
          </w:p>
        </w:tc>
      </w:tr>
      <w:tr>
        <w:tc>
          <w:tcPr>
            <w:tcW w:type="dxa" w:w="2400"/>
            <w:shd w:fill="f4f7fc" w:val="clear"/>
            <w:tcMar>
              <w:top w:type="dxa" w:w="60"/>
              <w:left w:type="dxa" w:w="100"/>
              <w:bottom w:type="dxa" w:w="60"/>
              <w:right w:type="dxa" w:w="100"/>
            </w:tcMar>
          </w:tcPr>
          <w:p>
            <w:pPr>
              <w:jc w:val="left"/>
            </w:pPr>
            <w:r>
              <w:rPr>
                <w:b w:val="false"/>
                <w:bCs w:val="false"/>
              </w:rPr>
              <w:t xml:space="preserve">Chef d'atelier</w:t>
            </w:r>
          </w:p>
        </w:tc>
        <w:tc>
          <w:tcPr>
            <w:tcW w:type="dxa" w:w="1800"/>
            <w:shd w:fill="f4f7fc" w:val="clear"/>
            <w:tcMar>
              <w:top w:type="dxa" w:w="60"/>
              <w:left w:type="dxa" w:w="100"/>
              <w:bottom w:type="dxa" w:w="60"/>
              <w:right w:type="dxa" w:w="100"/>
            </w:tcMar>
          </w:tcPr>
          <w:p>
            <w:pPr>
              <w:jc w:val="left"/>
            </w:pPr>
            <w:r>
              <w:rPr>
                <w:b w:val="false"/>
                <w:bCs w:val="false"/>
              </w:rPr>
              <w:t xml:space="preserve">Humain (RBAC)</w:t>
            </w:r>
          </w:p>
        </w:tc>
        <w:tc>
          <w:tcPr>
            <w:tcW w:type="dxa" w:w="5600"/>
            <w:shd w:fill="f4f7fc" w:val="clear"/>
            <w:tcMar>
              <w:top w:type="dxa" w:w="60"/>
              <w:left w:type="dxa" w:w="100"/>
              <w:bottom w:type="dxa" w:w="60"/>
              <w:right w:type="dxa" w:w="100"/>
            </w:tcMar>
          </w:tcPr>
          <w:p>
            <w:pPr>
              <w:jc w:val="left"/>
            </w:pPr>
            <w:r>
              <w:rPr>
                <w:b w:val="0"/>
              </w:rPr>
              <w:t>Consulte uniquement les dossiers affectés à son atelier (SPA ou SPB), fait évoluer les étapes de production, demande une sortie de matière en vérifiant le stock disponible, saisit les consommations réelles (matière et temps par opération), et déclenche le contrôle du prix de revient composant par composant à la clôture.</w:t>
            </w:r>
          </w:p>
        </w:tc>
      </w:tr>
      <w:tr>
        <w:tc>
          <w:tcPr>
            <w:tcW w:type="dxa" w:w="2400"/>
            <w:tcMar>
              <w:top w:type="dxa" w:w="60"/>
              <w:left w:type="dxa" w:w="100"/>
              <w:bottom w:type="dxa" w:w="60"/>
              <w:right w:type="dxa" w:w="100"/>
            </w:tcMar>
          </w:tcPr>
          <w:p>
            <w:pPr>
              <w:jc w:val="left"/>
            </w:pPr>
            <w:r>
              <w:rPr>
                <w:b w:val="false"/>
                <w:bCs w:val="false"/>
              </w:rPr>
              <w:t xml:space="preserve">Magasinier</w:t>
            </w:r>
          </w:p>
        </w:tc>
        <w:tc>
          <w:tcPr>
            <w:tcW w:type="dxa" w:w="1800"/>
            <w:tcMar>
              <w:top w:type="dxa" w:w="60"/>
              <w:left w:type="dxa" w:w="100"/>
              <w:bottom w:type="dxa" w:w="60"/>
              <w:right w:type="dxa" w:w="100"/>
            </w:tcMar>
          </w:tcPr>
          <w:p>
            <w:pPr>
              <w:jc w:val="left"/>
            </w:pPr>
            <w:r>
              <w:rPr>
                <w:b w:val="false"/>
                <w:bCs w:val="false"/>
              </w:rPr>
              <w:t xml:space="preserve">Humain (RBAC)</w:t>
            </w:r>
          </w:p>
        </w:tc>
        <w:tc>
          <w:tcPr>
            <w:tcW w:type="dxa" w:w="5600"/>
            <w:tcMar>
              <w:top w:type="dxa" w:w="60"/>
              <w:left w:type="dxa" w:w="100"/>
              <w:bottom w:type="dxa" w:w="60"/>
              <w:right w:type="dxa" w:w="100"/>
            </w:tcMar>
          </w:tcPr>
          <w:p>
            <w:pPr>
              <w:jc w:val="left"/>
            </w:pPr>
            <w:r>
              <w:rPr>
                <w:b w:val="0"/>
              </w:rPr>
              <w:t>Gère les articles de stock (fiche, emplacement, seuil de sécurité) et confirme les mouvements d'entrée, de réservation et de sortie, en particulier ceux rattachés à un dossier de fabrication ; consulte la liste des articles en alerte de stock.</w:t>
            </w:r>
          </w:p>
        </w:tc>
      </w:tr>
      <w:tr>
        <w:tc>
          <w:tcPr>
            <w:tcW w:type="dxa" w:w="2400"/>
            <w:shd w:fill="f4f7fc" w:val="clear"/>
            <w:tcMar>
              <w:top w:type="dxa" w:w="60"/>
              <w:left w:type="dxa" w:w="100"/>
              <w:bottom w:type="dxa" w:w="60"/>
              <w:right w:type="dxa" w:w="100"/>
            </w:tcMar>
          </w:tcPr>
          <w:p>
            <w:pPr>
              <w:jc w:val="left"/>
            </w:pPr>
            <w:r>
              <w:rPr>
                <w:b w:val="false"/>
                <w:bCs w:val="false"/>
              </w:rPr>
              <w:t xml:space="preserve">Administrateur / Direction</w:t>
            </w:r>
          </w:p>
        </w:tc>
        <w:tc>
          <w:tcPr>
            <w:tcW w:type="dxa" w:w="1800"/>
            <w:shd w:fill="f4f7fc" w:val="clear"/>
            <w:tcMar>
              <w:top w:type="dxa" w:w="60"/>
              <w:left w:type="dxa" w:w="100"/>
              <w:bottom w:type="dxa" w:w="60"/>
              <w:right w:type="dxa" w:w="100"/>
            </w:tcMar>
          </w:tcPr>
          <w:p>
            <w:pPr>
              <w:jc w:val="left"/>
            </w:pPr>
            <w:r>
              <w:rPr>
                <w:b w:val="false"/>
                <w:bCs w:val="false"/>
              </w:rPr>
              <w:t xml:space="preserve">Humain (RBAC)</w:t>
            </w:r>
          </w:p>
        </w:tc>
        <w:tc>
          <w:tcPr>
            <w:tcW w:type="dxa" w:w="5600"/>
            <w:shd w:fill="f4f7fc" w:val="clear"/>
            <w:tcMar>
              <w:top w:type="dxa" w:w="60"/>
              <w:left w:type="dxa" w:w="100"/>
              <w:bottom w:type="dxa" w:w="60"/>
              <w:right w:type="dxa" w:w="100"/>
            </w:tcMar>
          </w:tcPr>
          <w:p>
            <w:pPr>
              <w:jc w:val="left"/>
            </w:pPr>
            <w:r>
              <w:rPr>
                <w:b w:val="0"/>
              </w:rPr>
              <w:t>Gère le catalogue de produits (familles, produits, composants, nomenclature), les comptes utilisateurs et les rôles ; consulte le tableau de bord de rentabilité global ; révise les valeurs standards du catalogue en cas d'écart significatif et récurrent (RG37) ; supervise l'ensemble du système.</w:t>
            </w:r>
          </w:p>
        </w:tc>
      </w:tr>
    </w:tbl>
    <w:p>
      <w:pPr>
        <w:pStyle w:val="Heading2"/>
        <w:spacing w:after="150" w:before="300"/>
      </w:pPr>
      <w:r>
        <w:rPr>
          <w:b/>
          <w:bCs/>
        </w:rPr>
        <w:t xml:space="preserve">5.2.3  Thèmes et domaines fonctionnels</w:t>
      </w:r>
    </w:p>
    <w:p>
      <w:pPr>
        <w:spacing w:after="160"/>
      </w:pPr>
      <w:r>
        <w:t xml:space="preserve">À partir de la vision du projet, les thèmes suivants constituent les grands domaines fonctionnels du système. Chaque thème correspond, à quelques regroupements près, à l'un des cinq bounded contexts détaillés en section 5.8 :</w:t>
      </w:r>
    </w:p>
    <w:p>
      <w:pPr>
        <w:pStyle w:val="ListParagraph"/>
        <w:numPr>
          <w:ilvl w:val="0"/>
          <w:numId w:val="1"/>
        </w:numPr>
        <w:spacing w:after="80"/>
      </w:pPr>
      <w:r>
        <w:t xml:space="preserve">Référentiel &amp; Catalogue de produits : utilisateurs, organismes clients, articles, familles, produits, composants, nomenclature (mise à jour STI) ;</w:t>
      </w:r>
    </w:p>
    <w:p>
      <w:pPr>
        <w:pStyle w:val="ListParagraph"/>
        <w:numPr>
          <w:ilvl w:val="0"/>
          <w:numId w:val="1"/>
        </w:numPr>
        <w:spacing w:after="80"/>
      </w:pPr>
      <w:r>
        <w:t xml:space="preserve">Devis &amp; Estimation : commandes, devis instanciés à partir du catalogue, estimation intelligente (IA) ;</w:t>
      </w:r>
    </w:p>
    <w:p>
      <w:pPr>
        <w:pStyle w:val="ListParagraph"/>
        <w:numPr>
          <w:ilvl w:val="0"/>
          <w:numId w:val="1"/>
        </w:numPr>
        <w:spacing w:after="80"/>
      </w:pPr>
      <w:r>
        <w:t xml:space="preserve">Production &amp; Stock : ateliers, dossiers de fabrication, étapes de production, mouvements de stock ;</w:t>
      </w:r>
    </w:p>
    <w:p>
      <w:pPr>
        <w:pStyle w:val="ListParagraph"/>
        <w:numPr>
          <w:ilvl w:val="0"/>
          <w:numId w:val="1"/>
        </w:numPr>
        <w:spacing w:after="80"/>
      </w:pPr>
      <w:r>
        <w:t xml:space="preserve">Contrôle &amp; Facturation : contrôle du prix de revient composant par composant, factures proforma et définitive ;</w:t>
      </w:r>
    </w:p>
    <w:p>
      <w:pPr>
        <w:pStyle w:val="ListParagraph"/>
        <w:numPr>
          <w:ilvl w:val="0"/>
          <w:numId w:val="1"/>
        </w:numPr>
        <w:spacing w:after="80"/>
      </w:pPr>
      <w:r>
        <w:t xml:space="preserve">Sécurité &amp; Notifications : rôles et permissions, notifications transverses.</w:t>
      </w:r>
    </w:p>
    <w:p>
      <w:pPr>
        <w:pStyle w:val="Heading2"/>
        <w:spacing w:after="150" w:before="300"/>
      </w:pPr>
      <w:r>
        <w:rPr>
          <w:b/>
          <w:bCs/>
        </w:rPr>
        <w:t xml:space="preserve">5.2.4  User stories</w:t>
      </w:r>
    </w:p>
    <w:p>
      <w:pPr>
        <w:spacing w:after="160"/>
      </w:pPr>
      <w:r>
        <w:t xml:space="preserve">Une user story est une phrase simple décrivant une fonctionnalité logicielle, rédigée du point de vue de l'utilisateur final, selon le format « En tant que &lt;qui&gt;, je veux &lt;quoi&gt;, afin de &lt;pourquoi&gt; ».</w:t>
      </w:r>
    </w:p>
    <w:p>
      <w:pPr>
        <w:spacing w:after="300" w:before="100"/>
        <w:jc w:val="center"/>
      </w:pPr>
      <w:r>
        <w:rPr>
          <w:b/>
          <w:bCs/>
          <w:i/>
          <w:iCs/>
          <w:sz w:val="20"/>
          <w:szCs w:val="20"/>
        </w:rPr>
        <w:t xml:space="preserve">Tableau 5.2 : User stories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900"/>
        <w:gridCol w:w="3900"/>
        <w:gridCol w:w="3700"/>
      </w:tblGrid>
      <w:tr>
        <w:trPr>
          <w:tblHeader/>
        </w:trPr>
        <w:tc>
          <w:tcPr>
            <w:tcW w:type="dxa" w:w="1900"/>
            <w:shd w:fill="dfe6f5" w:val="clear"/>
            <w:tcMar>
              <w:top w:type="dxa" w:w="60"/>
              <w:left w:type="dxa" w:w="100"/>
              <w:bottom w:type="dxa" w:w="60"/>
              <w:right w:type="dxa" w:w="100"/>
            </w:tcMar>
          </w:tcPr>
          <w:p>
            <w:pPr>
              <w:jc w:val="left"/>
            </w:pPr>
            <w:r>
              <w:rPr>
                <w:b/>
                <w:bCs/>
              </w:rPr>
              <w:t xml:space="preserve">En tant que…</w:t>
            </w:r>
          </w:p>
        </w:tc>
        <w:tc>
          <w:tcPr>
            <w:tcW w:type="dxa" w:w="3900"/>
            <w:shd w:fill="dfe6f5" w:val="clear"/>
            <w:tcMar>
              <w:top w:type="dxa" w:w="60"/>
              <w:left w:type="dxa" w:w="100"/>
              <w:bottom w:type="dxa" w:w="60"/>
              <w:right w:type="dxa" w:w="100"/>
            </w:tcMar>
          </w:tcPr>
          <w:p>
            <w:pPr>
              <w:jc w:val="left"/>
            </w:pPr>
            <w:r>
              <w:rPr>
                <w:b/>
                <w:bCs/>
              </w:rPr>
              <w:t xml:space="preserve">Je veux…</w:t>
            </w:r>
          </w:p>
        </w:tc>
        <w:tc>
          <w:tcPr>
            <w:tcW w:type="dxa" w:w="3700"/>
            <w:shd w:fill="dfe6f5" w:val="clear"/>
            <w:tcMar>
              <w:top w:type="dxa" w:w="60"/>
              <w:left w:type="dxa" w:w="100"/>
              <w:bottom w:type="dxa" w:w="60"/>
              <w:right w:type="dxa" w:w="100"/>
            </w:tcMar>
          </w:tcPr>
          <w:p>
            <w:pPr>
              <w:jc w:val="left"/>
            </w:pPr>
            <w:r>
              <w:rPr>
                <w:b/>
                <w:bCs/>
              </w:rPr>
              <w:t xml:space="preserve">Afin de…</w:t>
            </w:r>
          </w:p>
        </w:tc>
      </w:tr>
      <w:tr>
        <w:tc>
          <w:tcPr>
            <w:tcW w:type="dxa" w:w="1900"/>
            <w:tcMar>
              <w:top w:type="dxa" w:w="60"/>
              <w:left w:type="dxa" w:w="100"/>
              <w:bottom w:type="dxa" w:w="60"/>
              <w:right w:type="dxa" w:w="100"/>
            </w:tcMar>
          </w:tcPr>
          <w:p>
            <w:pPr>
              <w:jc w:val="left"/>
            </w:pPr>
            <w:r>
              <w:rPr>
                <w:b w:val="false"/>
                <w:bCs w:val="false"/>
              </w:rPr>
              <w:t xml:space="preserve">Administrateur</w:t>
            </w:r>
          </w:p>
        </w:tc>
        <w:tc>
          <w:tcPr>
            <w:tcW w:type="dxa" w:w="3900"/>
            <w:tcMar>
              <w:top w:type="dxa" w:w="60"/>
              <w:left w:type="dxa" w:w="100"/>
              <w:bottom w:type="dxa" w:w="60"/>
              <w:right w:type="dxa" w:w="100"/>
            </w:tcMar>
          </w:tcPr>
          <w:p>
            <w:pPr>
              <w:jc w:val="left"/>
            </w:pPr>
            <w:r>
              <w:rPr>
                <w:b w:val="false"/>
                <w:bCs w:val="false"/>
              </w:rPr>
              <w:t xml:space="preserve">Créer une famille de produits (feuilles volantes, brochures, magazines/livres/agendas, carnets/registres)</w:t>
            </w:r>
          </w:p>
        </w:tc>
        <w:tc>
          <w:tcPr>
            <w:tcW w:type="dxa" w:w="3700"/>
            <w:tcMar>
              <w:top w:type="dxa" w:w="60"/>
              <w:left w:type="dxa" w:w="100"/>
              <w:bottom w:type="dxa" w:w="60"/>
              <w:right w:type="dxa" w:w="100"/>
            </w:tcMar>
          </w:tcPr>
          <w:p>
            <w:pPr>
              <w:jc w:val="left"/>
            </w:pPr>
            <w:r>
              <w:rPr>
                <w:b w:val="0"/>
              </w:rPr>
              <w:t>Structurer le catalogue par mode de calcul de coût.</w:t>
            </w:r>
          </w:p>
        </w:tc>
      </w:tr>
      <w:tr>
        <w:tc>
          <w:tcPr>
            <w:tcW w:type="dxa" w:w="1900"/>
            <w:shd w:fill="f4f7fc" w:val="clear"/>
            <w:tcMar>
              <w:top w:type="dxa" w:w="60"/>
              <w:left w:type="dxa" w:w="100"/>
              <w:bottom w:type="dxa" w:w="60"/>
              <w:right w:type="dxa" w:w="100"/>
            </w:tcMar>
          </w:tcPr>
          <w:p>
            <w:pPr>
              <w:jc w:val="left"/>
            </w:pPr>
            <w:r>
              <w:rPr>
                <w:b w:val="false"/>
                <w:bCs w:val="false"/>
              </w:rPr>
              <w:t xml:space="preserve"/>
            </w:r>
          </w:p>
        </w:tc>
        <w:tc>
          <w:tcPr>
            <w:tcW w:type="dxa" w:w="3900"/>
            <w:shd w:fill="f4f7fc" w:val="clear"/>
            <w:tcMar>
              <w:top w:type="dxa" w:w="60"/>
              <w:left w:type="dxa" w:w="100"/>
              <w:bottom w:type="dxa" w:w="60"/>
              <w:right w:type="dxa" w:w="100"/>
            </w:tcMar>
          </w:tcPr>
          <w:p>
            <w:pPr>
              <w:jc w:val="left"/>
            </w:pPr>
            <w:r>
              <w:rPr>
                <w:b w:val="false"/>
                <w:bCs w:val="false"/>
              </w:rPr>
              <w:t xml:space="preserve">Créer un produit du catalogue et le décomposer en composants numérotés (1..N)</w:t>
            </w:r>
          </w:p>
        </w:tc>
        <w:tc>
          <w:tcPr>
            <w:tcW w:type="dxa" w:w="3700"/>
            <w:shd w:fill="f4f7fc" w:val="clear"/>
            <w:tcMar>
              <w:top w:type="dxa" w:w="60"/>
              <w:left w:type="dxa" w:w="100"/>
              <w:bottom w:type="dxa" w:w="60"/>
              <w:right w:type="dxa" w:w="100"/>
            </w:tcMar>
          </w:tcPr>
          <w:p>
            <w:pPr>
              <w:jc w:val="left"/>
            </w:pPr>
            <w:r>
              <w:rPr>
                <w:b w:val="0"/>
              </w:rPr>
              <w:t>Réutiliser cette structure à chaque devis basé sur ce produit.</w:t>
            </w:r>
          </w:p>
        </w:tc>
      </w:tr>
      <w:tr>
        <w:tc>
          <w:tcPr>
            <w:tcW w:type="dxa" w:w="1900"/>
            <w:tcMar>
              <w:top w:type="dxa" w:w="60"/>
              <w:left w:type="dxa" w:w="100"/>
              <w:bottom w:type="dxa" w:w="60"/>
              <w:right w:type="dxa" w:w="100"/>
            </w:tcMar>
          </w:tcPr>
          <w:p>
            <w:pPr>
              <w:jc w:val="left"/>
            </w:pPr>
            <w:r>
              <w:rPr>
                <w:b w:val="false"/>
                <w:bCs w:val="false"/>
              </w:rPr>
              <w:t xml:space="preserve"/>
            </w:r>
          </w:p>
        </w:tc>
        <w:tc>
          <w:tcPr>
            <w:tcW w:type="dxa" w:w="3900"/>
            <w:tcMar>
              <w:top w:type="dxa" w:w="60"/>
              <w:left w:type="dxa" w:w="100"/>
              <w:bottom w:type="dxa" w:w="60"/>
              <w:right w:type="dxa" w:w="100"/>
            </w:tcMar>
          </w:tcPr>
          <w:p>
            <w:pPr>
              <w:jc w:val="left"/>
            </w:pPr>
            <w:r>
              <w:rPr>
                <w:b w:val="false"/>
                <w:bCs w:val="false"/>
              </w:rPr>
              <w:t xml:space="preserve">Définir, pour chaque composant, sa nomenclature de matières premières et sa gamme d'opérations</w:t>
            </w:r>
          </w:p>
        </w:tc>
        <w:tc>
          <w:tcPr>
            <w:tcW w:type="dxa" w:w="3700"/>
            <w:tcMar>
              <w:top w:type="dxa" w:w="60"/>
              <w:left w:type="dxa" w:w="100"/>
              <w:bottom w:type="dxa" w:w="60"/>
              <w:right w:type="dxa" w:w="100"/>
            </w:tcMar>
          </w:tcPr>
          <w:p>
            <w:pPr>
              <w:jc w:val="left"/>
            </w:pPr>
            <w:r>
              <w:rPr>
                <w:b w:val="0"/>
              </w:rPr>
              <w:t>Fiabiliser le calcul automatique du prix de revient, composant par composant.</w:t>
            </w:r>
          </w:p>
        </w:tc>
      </w:tr>
      <w:tr>
        <w:tc>
          <w:tcPr>
            <w:tcW w:type="dxa" w:w="1900"/>
            <w:shd w:fill="f4f7fc" w:val="clear"/>
            <w:tcMar>
              <w:top w:type="dxa" w:w="60"/>
              <w:left w:type="dxa" w:w="100"/>
              <w:bottom w:type="dxa" w:w="60"/>
              <w:right w:type="dxa" w:w="100"/>
            </w:tcMar>
          </w:tcPr>
          <w:p>
            <w:pPr>
              <w:jc w:val="left"/>
            </w:pPr>
            <w:r>
              <w:rPr>
                <w:b w:val="false"/>
                <w:bCs w:val="false"/>
              </w:rPr>
              <w:t xml:space="preserve">Agent SDO</w:t>
            </w:r>
          </w:p>
        </w:tc>
        <w:tc>
          <w:tcPr>
            <w:tcW w:type="dxa" w:w="3900"/>
            <w:shd w:fill="f4f7fc" w:val="clear"/>
            <w:tcMar>
              <w:top w:type="dxa" w:w="60"/>
              <w:left w:type="dxa" w:w="100"/>
              <w:bottom w:type="dxa" w:w="60"/>
              <w:right w:type="dxa" w:w="100"/>
            </w:tcMar>
          </w:tcPr>
          <w:p>
            <w:pPr>
              <w:jc w:val="left"/>
            </w:pPr>
            <w:r>
              <w:rPr>
                <w:b w:val="false"/>
                <w:bCs w:val="false"/>
              </w:rPr>
              <w:t xml:space="preserve">M'authentifier sur la plateforme</w:t>
            </w:r>
          </w:p>
        </w:tc>
        <w:tc>
          <w:tcPr>
            <w:tcW w:type="dxa" w:w="3700"/>
            <w:shd w:fill="f4f7fc" w:val="clear"/>
            <w:tcMar>
              <w:top w:type="dxa" w:w="60"/>
              <w:left w:type="dxa" w:w="100"/>
              <w:bottom w:type="dxa" w:w="60"/>
              <w:right w:type="dxa" w:w="100"/>
            </w:tcMar>
          </w:tcPr>
          <w:p>
            <w:pPr>
              <w:jc w:val="left"/>
            </w:pPr>
            <w:r>
              <w:rPr>
                <w:b w:val="false"/>
                <w:bCs w:val="false"/>
              </w:rPr>
              <w:t xml:space="preserve">Accéder à mon espace de gestion des devis.</w:t>
            </w:r>
          </w:p>
        </w:tc>
      </w:tr>
      <w:tr>
        <w:tc>
          <w:tcPr>
            <w:tcW w:type="dxa" w:w="1900"/>
            <w:tcMar>
              <w:top w:type="dxa" w:w="60"/>
              <w:left w:type="dxa" w:w="100"/>
              <w:bottom w:type="dxa" w:w="60"/>
              <w:right w:type="dxa" w:w="100"/>
            </w:tcMar>
          </w:tcPr>
          <w:p>
            <w:pPr>
              <w:jc w:val="left"/>
            </w:pPr>
            <w:r>
              <w:rPr>
                <w:b w:val="false"/>
                <w:bCs w:val="false"/>
              </w:rPr>
              <w:t xml:space="preserve"/>
            </w:r>
          </w:p>
        </w:tc>
        <w:tc>
          <w:tcPr>
            <w:tcW w:type="dxa" w:w="3900"/>
            <w:tcMar>
              <w:top w:type="dxa" w:w="60"/>
              <w:left w:type="dxa" w:w="100"/>
              <w:bottom w:type="dxa" w:w="60"/>
              <w:right w:type="dxa" w:w="100"/>
            </w:tcMar>
          </w:tcPr>
          <w:p>
            <w:pPr>
              <w:jc w:val="left"/>
            </w:pPr>
            <w:r>
              <w:rPr>
                <w:b w:val="false"/>
                <w:bCs w:val="false"/>
              </w:rPr>
              <w:t xml:space="preserve">Enregistrer un nouvel organisme client</w:t>
            </w:r>
          </w:p>
        </w:tc>
        <w:tc>
          <w:tcPr>
            <w:tcW w:type="dxa" w:w="3700"/>
            <w:tcMar>
              <w:top w:type="dxa" w:w="60"/>
              <w:left w:type="dxa" w:w="100"/>
              <w:bottom w:type="dxa" w:w="60"/>
              <w:right w:type="dxa" w:w="100"/>
            </w:tcMar>
          </w:tcPr>
          <w:p>
            <w:pPr>
              <w:jc w:val="left"/>
            </w:pPr>
            <w:r>
              <w:rPr>
                <w:b w:val="false"/>
                <w:bCs w:val="false"/>
              </w:rPr>
              <w:t xml:space="preserve">Rattacher la commande au bon client.</w:t>
            </w:r>
          </w:p>
        </w:tc>
      </w:tr>
      <w:tr>
        <w:tc>
          <w:tcPr>
            <w:tcW w:type="dxa" w:w="1900"/>
            <w:shd w:fill="f4f7fc" w:val="clear"/>
            <w:tcMar>
              <w:top w:type="dxa" w:w="60"/>
              <w:left w:type="dxa" w:w="100"/>
              <w:bottom w:type="dxa" w:w="60"/>
              <w:right w:type="dxa" w:w="100"/>
            </w:tcMar>
          </w:tcPr>
          <w:p>
            <w:pPr>
              <w:jc w:val="left"/>
            </w:pPr>
            <w:r>
              <w:rPr>
                <w:b w:val="false"/>
                <w:bCs w:val="false"/>
              </w:rPr>
              <w:t xml:space="preserve"/>
            </w:r>
          </w:p>
        </w:tc>
        <w:tc>
          <w:tcPr>
            <w:tcW w:type="dxa" w:w="3900"/>
            <w:shd w:fill="f4f7fc" w:val="clear"/>
            <w:tcMar>
              <w:top w:type="dxa" w:w="60"/>
              <w:left w:type="dxa" w:w="100"/>
              <w:bottom w:type="dxa" w:w="60"/>
              <w:right w:type="dxa" w:w="100"/>
            </w:tcMar>
          </w:tcPr>
          <w:p>
            <w:pPr>
              <w:jc w:val="left"/>
            </w:pPr>
            <w:r>
              <w:rPr>
                <w:b w:val="false"/>
                <w:bCs w:val="false"/>
              </w:rPr>
              <w:t xml:space="preserve">Sélectionner un produit du catalogue et saisir la quantité commandée</w:t>
            </w:r>
          </w:p>
        </w:tc>
        <w:tc>
          <w:tcPr>
            <w:tcW w:type="dxa" w:w="3700"/>
            <w:shd w:fill="f4f7fc" w:val="clear"/>
            <w:tcMar>
              <w:top w:type="dxa" w:w="60"/>
              <w:left w:type="dxa" w:w="100"/>
              <w:bottom w:type="dxa" w:w="60"/>
              <w:right w:type="dxa" w:w="100"/>
            </w:tcMar>
          </w:tcPr>
          <w:p>
            <w:pPr>
              <w:jc w:val="left"/>
            </w:pPr>
            <w:r>
              <w:rPr>
                <w:b w:val="0"/>
              </w:rPr>
              <w:t>Instancier automatiquement la structure de coût sans la ressaisir.</w:t>
            </w:r>
          </w:p>
        </w:tc>
      </w:tr>
      <w:tr>
        <w:tc>
          <w:tcPr>
            <w:tcW w:type="dxa" w:w="1900"/>
            <w:tcMar>
              <w:top w:type="dxa" w:w="60"/>
              <w:left w:type="dxa" w:w="100"/>
              <w:bottom w:type="dxa" w:w="60"/>
              <w:right w:type="dxa" w:w="100"/>
            </w:tcMar>
          </w:tcPr>
          <w:p>
            <w:pPr>
              <w:jc w:val="left"/>
            </w:pPr>
            <w:r>
              <w:rPr>
                <w:b w:val="false"/>
                <w:bCs w:val="false"/>
              </w:rPr>
              <w:t xml:space="preserve"/>
            </w:r>
          </w:p>
        </w:tc>
        <w:tc>
          <w:tcPr>
            <w:tcW w:type="dxa" w:w="3900"/>
            <w:tcMar>
              <w:top w:type="dxa" w:w="60"/>
              <w:left w:type="dxa" w:w="100"/>
              <w:bottom w:type="dxa" w:w="60"/>
              <w:right w:type="dxa" w:w="100"/>
            </w:tcMar>
          </w:tcPr>
          <w:p>
            <w:pPr>
              <w:jc w:val="left"/>
            </w:pPr>
            <w:r>
              <w:rPr>
                <w:b w:val="false"/>
                <w:bCs w:val="false"/>
              </w:rPr>
              <w:t xml:space="preserve">Consulter l'estimation intelligente proposée et valider le devis</w:t>
            </w:r>
          </w:p>
        </w:tc>
        <w:tc>
          <w:tcPr>
            <w:tcW w:type="dxa" w:w="3700"/>
            <w:tcMar>
              <w:top w:type="dxa" w:w="60"/>
              <w:left w:type="dxa" w:w="100"/>
              <w:bottom w:type="dxa" w:w="60"/>
              <w:right w:type="dxa" w:w="100"/>
            </w:tcMar>
          </w:tcPr>
          <w:p>
            <w:pPr>
              <w:jc w:val="left"/>
            </w:pPr>
            <w:r>
              <w:rPr>
                <w:b w:val="false"/>
                <w:bCs w:val="false"/>
              </w:rPr>
              <w:t xml:space="preserve">Gagner du temps tout en conservant la maîtrise finale du prix de vente.</w:t>
            </w:r>
          </w:p>
        </w:tc>
      </w:tr>
      <w:tr>
        <w:tc>
          <w:tcPr>
            <w:tcW w:type="dxa" w:w="1900"/>
            <w:shd w:fill="f4f7fc" w:val="clear"/>
            <w:tcMar>
              <w:top w:type="dxa" w:w="60"/>
              <w:left w:type="dxa" w:w="100"/>
              <w:bottom w:type="dxa" w:w="60"/>
              <w:right w:type="dxa" w:w="100"/>
            </w:tcMar>
          </w:tcPr>
          <w:p>
            <w:pPr>
              <w:jc w:val="left"/>
            </w:pPr>
            <w:r>
              <w:rPr>
                <w:b w:val="false"/>
                <w:bCs w:val="false"/>
              </w:rPr>
              <w:t xml:space="preserve"/>
            </w:r>
          </w:p>
        </w:tc>
        <w:tc>
          <w:tcPr>
            <w:tcW w:type="dxa" w:w="3900"/>
            <w:shd w:fill="f4f7fc" w:val="clear"/>
            <w:tcMar>
              <w:top w:type="dxa" w:w="60"/>
              <w:left w:type="dxa" w:w="100"/>
              <w:bottom w:type="dxa" w:w="60"/>
              <w:right w:type="dxa" w:w="100"/>
            </w:tcMar>
          </w:tcPr>
          <w:p>
            <w:pPr>
              <w:jc w:val="left"/>
            </w:pPr>
            <w:r>
              <w:rPr>
                <w:b w:val="false"/>
                <w:bCs w:val="false"/>
              </w:rPr>
              <w:t xml:space="preserve">Calculer un devis intelligent pour un marché public pluriannuel</w:t>
            </w:r>
          </w:p>
        </w:tc>
        <w:tc>
          <w:tcPr>
            <w:tcW w:type="dxa" w:w="3700"/>
            <w:shd w:fill="f4f7fc" w:val="clear"/>
            <w:tcMar>
              <w:top w:type="dxa" w:w="60"/>
              <w:left w:type="dxa" w:w="100"/>
              <w:bottom w:type="dxa" w:w="60"/>
              <w:right w:type="dxa" w:w="100"/>
            </w:tcMar>
          </w:tcPr>
          <w:p>
            <w:pPr>
              <w:jc w:val="left"/>
            </w:pPr>
            <w:r>
              <w:rPr>
                <w:b w:val="false"/>
                <w:bCs w:val="false"/>
              </w:rPr>
              <w:t xml:space="preserve">Éviter la sous ou sur-évaluation du prix sur la durée du contrat.</w:t>
            </w:r>
          </w:p>
        </w:tc>
      </w:tr>
      <w:tr>
        <w:tc>
          <w:tcPr>
            <w:tcW w:type="dxa" w:w="1900"/>
            <w:tcMar>
              <w:top w:type="dxa" w:w="60"/>
              <w:left w:type="dxa" w:w="100"/>
              <w:bottom w:type="dxa" w:w="60"/>
              <w:right w:type="dxa" w:w="100"/>
            </w:tcMar>
          </w:tcPr>
          <w:p>
            <w:pPr>
              <w:jc w:val="left"/>
            </w:pPr>
            <w:r>
              <w:rPr>
                <w:b w:val="false"/>
                <w:bCs w:val="false"/>
              </w:rPr>
              <w:t xml:space="preserve">Chef d'atelier</w:t>
            </w:r>
          </w:p>
        </w:tc>
        <w:tc>
          <w:tcPr>
            <w:tcW w:type="dxa" w:w="3900"/>
            <w:tcMar>
              <w:top w:type="dxa" w:w="60"/>
              <w:left w:type="dxa" w:w="100"/>
              <w:bottom w:type="dxa" w:w="60"/>
              <w:right w:type="dxa" w:w="100"/>
            </w:tcMar>
          </w:tcPr>
          <w:p>
            <w:pPr>
              <w:jc w:val="left"/>
            </w:pPr>
            <w:r>
              <w:rPr>
                <w:b w:val="false"/>
                <w:bCs w:val="false"/>
              </w:rPr>
              <w:t xml:space="preserve">Consulter uniquement les dossiers affectés à mon atelier</w:t>
            </w:r>
          </w:p>
        </w:tc>
        <w:tc>
          <w:tcPr>
            <w:tcW w:type="dxa" w:w="3700"/>
            <w:tcMar>
              <w:top w:type="dxa" w:w="60"/>
              <w:left w:type="dxa" w:w="100"/>
              <w:bottom w:type="dxa" w:w="60"/>
              <w:right w:type="dxa" w:w="100"/>
            </w:tcMar>
          </w:tcPr>
          <w:p>
            <w:pPr>
              <w:jc w:val="left"/>
            </w:pPr>
            <w:r>
              <w:rPr>
                <w:b w:val="false"/>
                <w:bCs w:val="false"/>
              </w:rPr>
              <w:t xml:space="preserve">Planifier la production sans être noyé par les autres ateliers.</w:t>
            </w:r>
          </w:p>
        </w:tc>
      </w:tr>
      <w:tr>
        <w:tc>
          <w:tcPr>
            <w:tcW w:type="dxa" w:w="1900"/>
            <w:shd w:fill="f4f7fc" w:val="clear"/>
            <w:tcMar>
              <w:top w:type="dxa" w:w="60"/>
              <w:left w:type="dxa" w:w="100"/>
              <w:bottom w:type="dxa" w:w="60"/>
              <w:right w:type="dxa" w:w="100"/>
            </w:tcMar>
          </w:tcPr>
          <w:p>
            <w:pPr>
              <w:jc w:val="left"/>
            </w:pPr>
            <w:r>
              <w:rPr>
                <w:b w:val="false"/>
                <w:bCs w:val="false"/>
              </w:rPr>
              <w:t xml:space="preserve"/>
            </w:r>
          </w:p>
        </w:tc>
        <w:tc>
          <w:tcPr>
            <w:tcW w:type="dxa" w:w="3900"/>
            <w:shd w:fill="f4f7fc" w:val="clear"/>
            <w:tcMar>
              <w:top w:type="dxa" w:w="60"/>
              <w:left w:type="dxa" w:w="100"/>
              <w:bottom w:type="dxa" w:w="60"/>
              <w:right w:type="dxa" w:w="100"/>
            </w:tcMar>
          </w:tcPr>
          <w:p>
            <w:pPr>
              <w:jc w:val="left"/>
            </w:pPr>
            <w:r>
              <w:rPr>
                <w:b w:val="false"/>
                <w:bCs w:val="false"/>
              </w:rPr>
              <w:t xml:space="preserve">Faire évoluer les étapes d'un dossier et demander une sortie de matière</w:t>
            </w:r>
          </w:p>
        </w:tc>
        <w:tc>
          <w:tcPr>
            <w:tcW w:type="dxa" w:w="3700"/>
            <w:shd w:fill="f4f7fc" w:val="clear"/>
            <w:tcMar>
              <w:top w:type="dxa" w:w="60"/>
              <w:left w:type="dxa" w:w="100"/>
              <w:bottom w:type="dxa" w:w="60"/>
              <w:right w:type="dxa" w:w="100"/>
            </w:tcMar>
          </w:tcPr>
          <w:p>
            <w:pPr>
              <w:jc w:val="left"/>
            </w:pPr>
            <w:r>
              <w:rPr>
                <w:b w:val="false"/>
                <w:bCs w:val="false"/>
              </w:rPr>
              <w:t xml:space="preserve">Informer les autres acteurs et disposer des ressources nécessaires.</w:t>
            </w:r>
          </w:p>
        </w:tc>
      </w:tr>
      <w:tr>
        <w:tc>
          <w:tcPr>
            <w:tcW w:type="dxa" w:w="1900"/>
            <w:tcMar>
              <w:top w:type="dxa" w:w="60"/>
              <w:left w:type="dxa" w:w="100"/>
              <w:bottom w:type="dxa" w:w="60"/>
              <w:right w:type="dxa" w:w="100"/>
            </w:tcMar>
          </w:tcPr>
          <w:p>
            <w:pPr>
              <w:jc w:val="left"/>
            </w:pPr>
            <w:r>
              <w:rPr>
                <w:b w:val="false"/>
                <w:bCs w:val="false"/>
              </w:rPr>
              <w:t xml:space="preserve"/>
            </w:r>
          </w:p>
        </w:tc>
        <w:tc>
          <w:tcPr>
            <w:tcW w:type="dxa" w:w="3900"/>
            <w:tcMar>
              <w:top w:type="dxa" w:w="60"/>
              <w:left w:type="dxa" w:w="100"/>
              <w:bottom w:type="dxa" w:w="60"/>
              <w:right w:type="dxa" w:w="100"/>
            </w:tcMar>
          </w:tcPr>
          <w:p>
            <w:pPr>
              <w:jc w:val="left"/>
            </w:pPr>
            <w:r>
              <w:rPr>
                <w:b w:val="false"/>
                <w:bCs w:val="false"/>
              </w:rPr>
              <w:t xml:space="preserve">Saisir les consommations réelles, composant par composant, à la clôture</w:t>
            </w:r>
          </w:p>
        </w:tc>
        <w:tc>
          <w:tcPr>
            <w:tcW w:type="dxa" w:w="3700"/>
            <w:tcMar>
              <w:top w:type="dxa" w:w="60"/>
              <w:left w:type="dxa" w:w="100"/>
              <w:bottom w:type="dxa" w:w="60"/>
              <w:right w:type="dxa" w:w="100"/>
            </w:tcMar>
          </w:tcPr>
          <w:p>
            <w:pPr>
              <w:jc w:val="left"/>
            </w:pPr>
            <w:r>
              <w:rPr>
                <w:b w:val="0"/>
              </w:rPr>
              <w:t>Déclencher le contrôle automatique du prix de revient réel.</w:t>
            </w:r>
          </w:p>
        </w:tc>
      </w:tr>
      <w:tr>
        <w:tc>
          <w:tcPr>
            <w:tcW w:type="dxa" w:w="1900"/>
            <w:shd w:fill="f4f7fc" w:val="clear"/>
            <w:tcMar>
              <w:top w:type="dxa" w:w="60"/>
              <w:left w:type="dxa" w:w="100"/>
              <w:bottom w:type="dxa" w:w="60"/>
              <w:right w:type="dxa" w:w="100"/>
            </w:tcMar>
          </w:tcPr>
          <w:p>
            <w:pPr>
              <w:jc w:val="left"/>
            </w:pPr>
            <w:r>
              <w:rPr>
                <w:b w:val="false"/>
                <w:bCs w:val="false"/>
              </w:rPr>
              <w:t xml:space="preserve">Magasinier</w:t>
            </w:r>
          </w:p>
        </w:tc>
        <w:tc>
          <w:tcPr>
            <w:tcW w:type="dxa" w:w="3900"/>
            <w:shd w:fill="f4f7fc" w:val="clear"/>
            <w:tcMar>
              <w:top w:type="dxa" w:w="60"/>
              <w:left w:type="dxa" w:w="100"/>
              <w:bottom w:type="dxa" w:w="60"/>
              <w:right w:type="dxa" w:w="100"/>
            </w:tcMar>
          </w:tcPr>
          <w:p>
            <w:pPr>
              <w:jc w:val="left"/>
            </w:pPr>
            <w:r>
              <w:rPr>
                <w:b w:val="false"/>
                <w:bCs w:val="false"/>
              </w:rPr>
              <w:t xml:space="preserve">Gérer la fiche d'un article et ses mouvements d'entrée/sortie</w:t>
            </w:r>
          </w:p>
        </w:tc>
        <w:tc>
          <w:tcPr>
            <w:tcW w:type="dxa" w:w="3700"/>
            <w:shd w:fill="f4f7fc" w:val="clear"/>
            <w:tcMar>
              <w:top w:type="dxa" w:w="60"/>
              <w:left w:type="dxa" w:w="100"/>
              <w:bottom w:type="dxa" w:w="60"/>
              <w:right w:type="dxa" w:w="100"/>
            </w:tcMar>
          </w:tcPr>
          <w:p>
            <w:pPr>
              <w:jc w:val="left"/>
            </w:pPr>
            <w:r>
              <w:rPr>
                <w:b w:val="false"/>
                <w:bCs w:val="false"/>
              </w:rPr>
              <w:t xml:space="preserve">Tenir un stock cohérent et traçable.</w:t>
            </w:r>
          </w:p>
        </w:tc>
      </w:tr>
      <w:tr>
        <w:tc>
          <w:tcPr>
            <w:tcW w:type="dxa" w:w="1900"/>
            <w:tcMar>
              <w:top w:type="dxa" w:w="60"/>
              <w:left w:type="dxa" w:w="100"/>
              <w:bottom w:type="dxa" w:w="60"/>
              <w:right w:type="dxa" w:w="100"/>
            </w:tcMar>
          </w:tcPr>
          <w:p>
            <w:pPr>
              <w:jc w:val="left"/>
            </w:pPr>
            <w:r>
              <w:rPr>
                <w:b w:val="false"/>
                <w:bCs w:val="false"/>
              </w:rPr>
              <w:t xml:space="preserve"/>
            </w:r>
          </w:p>
        </w:tc>
        <w:tc>
          <w:tcPr>
            <w:tcW w:type="dxa" w:w="3900"/>
            <w:tcMar>
              <w:top w:type="dxa" w:w="60"/>
              <w:left w:type="dxa" w:w="100"/>
              <w:bottom w:type="dxa" w:w="60"/>
              <w:right w:type="dxa" w:w="100"/>
            </w:tcMar>
          </w:tcPr>
          <w:p>
            <w:pPr>
              <w:jc w:val="left"/>
            </w:pPr>
            <w:r>
              <w:rPr>
                <w:b w:val="false"/>
                <w:bCs w:val="false"/>
              </w:rPr>
              <w:t xml:space="preserve">Consulter la liste des articles en alerte de stock</w:t>
            </w:r>
          </w:p>
        </w:tc>
        <w:tc>
          <w:tcPr>
            <w:tcW w:type="dxa" w:w="3700"/>
            <w:tcMar>
              <w:top w:type="dxa" w:w="60"/>
              <w:left w:type="dxa" w:w="100"/>
              <w:bottom w:type="dxa" w:w="60"/>
              <w:right w:type="dxa" w:w="100"/>
            </w:tcMar>
          </w:tcPr>
          <w:p>
            <w:pPr>
              <w:jc w:val="left"/>
            </w:pPr>
            <w:r>
              <w:rPr>
                <w:b w:val="false"/>
                <w:bCs w:val="false"/>
              </w:rPr>
              <w:t xml:space="preserve">Anticiper les réapprovisionnements avant rupture.</w:t>
            </w:r>
          </w:p>
        </w:tc>
      </w:tr>
      <w:tr>
        <w:tc>
          <w:tcPr>
            <w:tcW w:type="dxa" w:w="1900"/>
            <w:shd w:fill="f4f7fc" w:val="clear"/>
            <w:tcMar>
              <w:top w:type="dxa" w:w="60"/>
              <w:left w:type="dxa" w:w="100"/>
              <w:bottom w:type="dxa" w:w="60"/>
              <w:right w:type="dxa" w:w="100"/>
            </w:tcMar>
          </w:tcPr>
          <w:p>
            <w:pPr>
              <w:jc w:val="left"/>
            </w:pPr>
            <w:r>
              <w:rPr>
                <w:b w:val="false"/>
                <w:bCs w:val="false"/>
              </w:rPr>
              <w:t xml:space="preserve">Administrateur</w:t>
            </w:r>
          </w:p>
        </w:tc>
        <w:tc>
          <w:tcPr>
            <w:tcW w:type="dxa" w:w="3900"/>
            <w:shd w:fill="f4f7fc" w:val="clear"/>
            <w:tcMar>
              <w:top w:type="dxa" w:w="60"/>
              <w:left w:type="dxa" w:w="100"/>
              <w:bottom w:type="dxa" w:w="60"/>
              <w:right w:type="dxa" w:w="100"/>
            </w:tcMar>
          </w:tcPr>
          <w:p>
            <w:pPr>
              <w:jc w:val="left"/>
            </w:pPr>
            <w:r>
              <w:rPr>
                <w:b w:val="false"/>
                <w:bCs w:val="false"/>
              </w:rPr>
              <w:t xml:space="preserve">Gérer les comptes utilisateurs et leurs rôles</w:t>
            </w:r>
          </w:p>
        </w:tc>
        <w:tc>
          <w:tcPr>
            <w:tcW w:type="dxa" w:w="3700"/>
            <w:shd w:fill="f4f7fc" w:val="clear"/>
            <w:tcMar>
              <w:top w:type="dxa" w:w="60"/>
              <w:left w:type="dxa" w:w="100"/>
              <w:bottom w:type="dxa" w:w="60"/>
              <w:right w:type="dxa" w:w="100"/>
            </w:tcMar>
          </w:tcPr>
          <w:p>
            <w:pPr>
              <w:jc w:val="left"/>
            </w:pPr>
            <w:r>
              <w:rPr>
                <w:b w:val="false"/>
                <w:bCs w:val="false"/>
              </w:rPr>
              <w:t xml:space="preserve">Maintenir la sécurité et l'organisation du système.</w:t>
            </w:r>
          </w:p>
        </w:tc>
      </w:tr>
      <w:tr>
        <w:tc>
          <w:tcPr>
            <w:tcW w:type="dxa" w:w="1900"/>
            <w:tcMar>
              <w:top w:type="dxa" w:w="60"/>
              <w:left w:type="dxa" w:w="100"/>
              <w:bottom w:type="dxa" w:w="60"/>
              <w:right w:type="dxa" w:w="100"/>
            </w:tcMar>
          </w:tcPr>
          <w:p>
            <w:pPr>
              <w:jc w:val="left"/>
            </w:pPr>
            <w:r>
              <w:rPr>
                <w:b w:val="false"/>
                <w:bCs w:val="false"/>
              </w:rPr>
              <w:t xml:space="preserve"/>
            </w:r>
          </w:p>
        </w:tc>
        <w:tc>
          <w:tcPr>
            <w:tcW w:type="dxa" w:w="3900"/>
            <w:tcMar>
              <w:top w:type="dxa" w:w="60"/>
              <w:left w:type="dxa" w:w="100"/>
              <w:bottom w:type="dxa" w:w="60"/>
              <w:right w:type="dxa" w:w="100"/>
            </w:tcMar>
          </w:tcPr>
          <w:p>
            <w:pPr>
              <w:jc w:val="left"/>
            </w:pPr>
            <w:r>
              <w:rPr>
                <w:b w:val="false"/>
                <w:bCs w:val="false"/>
              </w:rPr>
              <w:t xml:space="preserve">Consulter le tableau de bord de rentabilité global</w:t>
            </w:r>
          </w:p>
        </w:tc>
        <w:tc>
          <w:tcPr>
            <w:tcW w:type="dxa" w:w="3700"/>
            <w:tcMar>
              <w:top w:type="dxa" w:w="60"/>
              <w:left w:type="dxa" w:w="100"/>
              <w:bottom w:type="dxa" w:w="60"/>
              <w:right w:type="dxa" w:w="100"/>
            </w:tcMar>
          </w:tcPr>
          <w:p>
            <w:pPr>
              <w:jc w:val="left"/>
            </w:pPr>
            <w:r>
              <w:rPr>
                <w:b w:val="false"/>
                <w:bCs w:val="false"/>
              </w:rPr>
              <w:t xml:space="preserve">Suivre l'ensemble des coûts et des marges.</w:t>
            </w:r>
          </w:p>
        </w:tc>
      </w:tr>
    </w:tbl>
    <w:p>
      <w:pPr>
        <w:pStyle w:val="Heading2"/>
        <w:spacing w:after="150" w:before="300"/>
      </w:pPr>
      <w:r>
        <w:rPr>
          <w:b/>
          <w:bCs/>
        </w:rPr>
        <w:t xml:space="preserve">5.2.5  Nouveauté du STI : le principe du Catalogue</w:t>
      </w:r>
    </w:p>
    <w:p>
      <w:pPr>
        <w:spacing w:after="160"/>
      </w:pPr>
      <w:r>
        <w:t xml:space="preserve">Cette section documente la clarification apportée par le STI et intégrée à l'analyse. Elle s'appuie sur une transcription d'échange portant sur le principe général de gestion des coûts de fabrication en imprimerie, résumée ci-après en trois étapes.</w:t>
      </w:r>
    </w:p>
    <w:p>
      <w:pPr>
        <w:spacing w:after="160"/>
      </w:pPr>
      <w:r>
        <w:t xml:space="preserve">Le Catalogue. La première étape consiste à structurer la gamme de produits de l'INM en familles homogènes du point de vue de leur mode de calcul de coût : feuilles volantes (feuillets simples), brochures avec couverture, magazines/livres/agendas, carnets de factures et registres. Mélanger les modes de calcul entre familles rendrait la plateforme confuse ; chaque famille regroupe donc les produits qui partagent une même logique de décomposition. Chaque produit du catalogue est ensuite décomposé en composants numérotés (par exemple, pour un agenda ou une brochure : Composant 1 = Couverture, Composant 2 = Intérieur), et chaque composant porte deux types d'éléments de calcul : les matières premières nécessaires (papier, encre, agrafes, reliure), pour lesquelles on définit la quantité requise par exemplaire, et les opérations à réaliser (impression recto/verso, pliage, piquage, assemblage), pour lesquelles on définit le temps machine requis par exemplaire et le poste concerné.</w:t>
      </w:r>
    </w:p>
    <w:p>
      <w:pPr>
        <w:spacing w:after="160"/>
      </w:pPr>
      <w:r>
        <w:t xml:space="preserve">Le Devis. La deuxième étape est l'instanciation du catalogue pour répondre au besoin d'un client précis. Puisque la structure du produit est déjà configurée dans le catalogue, l'Agent SDO n'a pas à la redéfinir à chaque devis : il sélectionne le produit et saisit uniquement la quantité commandée par le client. Le moteur de calcul applique alors automatiquement les formules préexistantes de chaque composant, multipliées par la quantité, pour obtenir le prix de revient estimé — l'utilisateur pouvant ajuster quelques options mineures spécifiques au devis, par exemple une couleur de papier différente entre la couverture et l'intérieur.</w:t>
      </w:r>
    </w:p>
    <w:p>
      <w:pPr>
        <w:spacing w:after="160"/>
      </w:pPr>
      <w:r>
        <w:t xml:space="preserve">La Réalisation et le contrôle du coût de revient. Une fois le devis validé, le dossier entre en phase de fabrication réelle : sortie effective des matières premières, composant par composant, et relevé du temps réel passé sur chaque poste. Le système compare alors systématiquement le prévisionnel du devis (issu du catalogue) et le réel constaté en fabrication, afin de calculer le coût de revient exact, composant par composant, et d'en déduire la marge nette réellement dégagée. Le STI a par ailleurs signalé un besoin non encore couvert par la présente itération — une gestion de scénarios permettant d'adapter facilement les formules de calcul à des cas de figure particuliers (ex. variation saisonnière du prix du papier) — reporté au chronogramme (section 5.4) comme évolution ultérieure plutôt qu'intégré au noyau fonctionnel, faute de spécification suffisamment précise à ce stade.</w:t>
      </w:r>
    </w:p>
    <w:p>
      <w:pPr>
        <w:spacing w:after="160"/>
      </w:pPr>
      <w:r>
        <w:t xml:space="preserve">Cette clarification ne remet pas en cause le module d'estimation intelligente : elle lui donne une base de calcul déterministe et auditable, alimentée par une structure de coût explicite, sur laquelle le modèle XGBoost vient s'appuyer pour affiner l'estimation à partir de l'historique des dossiers similaires et couvrir les cas où un produit n'est pas encore correctement décrit dans le catalogue.</w:t>
      </w:r>
    </w:p>
    <w:p>
      <w:pPr>
        <w:pStyle w:val="Heading1"/>
        <w:spacing w:after="200" w:before="400"/>
      </w:pPr>
      <w:r>
        <w:rPr>
          <w:b/>
          <w:bCs/>
        </w:rPr>
        <w:t xml:space="preserve">5.3  Diagramme de cas d'utilisation et priorisation</w:t>
      </w:r>
    </w:p>
    <w:p>
      <w:pPr>
        <w:spacing w:after="160"/>
      </w:pPr>
      <w:r>
        <w:t xml:space="preserve">La figure 5.1 présente le diagramme de cas d'utilisation du SGCE-INM. Il formalise, sous forme graphique, les user stories du tableau 5.2 : chaque acteur y est relié aux cas d'utilisation qu'il déclenche, et les relations «include»/«extend» explicitent les dépendances entre cas d'utilisation — notamment le fait que la création d'un devis (UC-02) inclut systématiquement une consultation du catalogue (UC-01) et l'appel au moteur d'estimation IA (UC-08), et que la génération du dossier de fabrication (UC-03) étend la validation du devis (UC-02) plutôt que d'en être totalement indépendante.</w:t>
      </w:r>
    </w:p>
    <w:p>
      <w:pPr>
        <w:spacing w:after="80" w:before="200"/>
        <w:jc w:val="center"/>
      </w:pPr>
      <w:r>
        <w:drawing>
          <wp:inline distT="0" distB="0" distL="0" distR="0">
            <wp:extent cx="5733288" cy="7293613"/>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33288" cy="7293613"/>
                    </a:xfrm>
                    <a:prstGeom prst="rect">
                      <a:avLst/>
                    </a:prstGeom>
                  </pic:spPr>
                </pic:pic>
              </a:graphicData>
            </a:graphic>
          </wp:inline>
        </w:drawing>
      </w:r>
    </w:p>
    <w:p>
      <w:pPr>
        <w:spacing w:after="300" w:before="100"/>
        <w:jc w:val="center"/>
      </w:pPr>
      <w:r>
        <w:rPr>
          <w:b/>
          <w:bCs/>
          <w:i/>
          <w:iCs/>
          <w:sz w:val="20"/>
          <w:szCs w:val="20"/>
        </w:rPr>
        <w:t>Figure 5.1 : Diagramme de cas d'utilisation du SGCE-INM (complété — UC-01b, UC-13 à UC-17)</w:t>
      </w:r>
    </w:p>
    <w:p>
      <w:pPr>
        <w:spacing w:before="80" w:after="200"/>
      </w:pPr>
      <w:r>
        <w:rPr>
          <w:i/>
          <w:sz w:val="18"/>
        </w:rPr>
        <w:t>Légende — ✚ cas d'utilisation ajouté à cette révision pour la cohérence fonctionnelle du système (consultation du catalogue par l'Agent SDO distincte de sa gestion par l'Administrateur, édition/consultation d'historique, gestion de profil, gestion du référentiel des articles). Les cas d'utilisation sans marque figuraient déjà au tableau 5.3 initial.</w:t>
      </w:r>
    </w:p>
    <w:p>
      <w:pPr>
        <w:spacing w:after="160"/>
      </w:pPr>
      <w:r>
        <w:t xml:space="preserve">Le tableau 5.3 reprend l'ensemble des cas d'utilisation identifiés et leur priorisation selon la méthode MoSCoW. Le noyau fonctionnel Must have regroupe les huit cas d'utilisation couvrant le circuit complet catalogue → devis → production → contrôle → facturation ; deux cas d'utilisation Should have complètent ce noyau sans en conditionner le fonctionnement ; un dernier cas d'utilisation, Could have, correspond au besoin de gestion des scénarios de calcul signalé par le STI (section 5.2.5) mais non développé dans la présente itération faute de spécification suffisamment précise.</w:t>
      </w:r>
    </w:p>
    <w:p>
      <w:pPr>
        <w:spacing w:after="300" w:before="100"/>
        <w:jc w:val="center"/>
      </w:pPr>
      <w:r>
        <w:rPr>
          <w:b/>
          <w:bCs/>
          <w:i/>
          <w:iCs/>
          <w:sz w:val="20"/>
          <w:szCs w:val="20"/>
        </w:rPr>
        <w:t xml:space="preserve">Tableau 5.3 : Cas d'utilisation et priorisation (MoSCoW)</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00"/>
        <w:gridCol w:w="4400"/>
        <w:gridCol w:w="2400"/>
        <w:gridCol w:w="1800"/>
      </w:tblGrid>
      <w:tr>
        <w:trPr>
          <w:tblHeader/>
        </w:trPr>
        <w:tc>
          <w:tcPr>
            <w:tcW w:type="dxa" w:w="900"/>
            <w:shd w:fill="dfe6f5" w:val="clear"/>
            <w:tcMar>
              <w:top w:type="dxa" w:w="60"/>
              <w:left w:type="dxa" w:w="100"/>
              <w:bottom w:type="dxa" w:w="60"/>
              <w:right w:type="dxa" w:w="100"/>
            </w:tcMar>
          </w:tcPr>
          <w:p>
            <w:pPr>
              <w:jc w:val="left"/>
            </w:pPr>
            <w:r>
              <w:rPr>
                <w:b/>
                <w:bCs/>
              </w:rPr>
              <w:t xml:space="preserve">UC</w:t>
            </w:r>
          </w:p>
        </w:tc>
        <w:tc>
          <w:tcPr>
            <w:tcW w:type="dxa" w:w="4400"/>
            <w:shd w:fill="dfe6f5" w:val="clear"/>
            <w:tcMar>
              <w:top w:type="dxa" w:w="60"/>
              <w:left w:type="dxa" w:w="100"/>
              <w:bottom w:type="dxa" w:w="60"/>
              <w:right w:type="dxa" w:w="100"/>
            </w:tcMar>
          </w:tcPr>
          <w:p>
            <w:pPr>
              <w:jc w:val="left"/>
            </w:pPr>
            <w:r>
              <w:rPr>
                <w:b/>
                <w:bCs/>
              </w:rPr>
              <w:t xml:space="preserve">Intitulé</w:t>
            </w:r>
          </w:p>
        </w:tc>
        <w:tc>
          <w:tcPr>
            <w:tcW w:type="dxa" w:w="2400"/>
            <w:shd w:fill="dfe6f5" w:val="clear"/>
            <w:tcMar>
              <w:top w:type="dxa" w:w="60"/>
              <w:left w:type="dxa" w:w="100"/>
              <w:bottom w:type="dxa" w:w="60"/>
              <w:right w:type="dxa" w:w="100"/>
            </w:tcMar>
          </w:tcPr>
          <w:p>
            <w:pPr>
              <w:jc w:val="left"/>
            </w:pPr>
            <w:r>
              <w:rPr>
                <w:b/>
                <w:bCs/>
              </w:rPr>
              <w:t xml:space="preserve">Acteur principal</w:t>
            </w:r>
          </w:p>
        </w:tc>
        <w:tc>
          <w:tcPr>
            <w:tcW w:type="dxa" w:w="1800"/>
            <w:shd w:fill="dfe6f5" w:val="clear"/>
            <w:tcMar>
              <w:top w:type="dxa" w:w="60"/>
              <w:left w:type="dxa" w:w="100"/>
              <w:bottom w:type="dxa" w:w="60"/>
              <w:right w:type="dxa" w:w="100"/>
            </w:tcMar>
          </w:tcPr>
          <w:p>
            <w:pPr>
              <w:jc w:val="left"/>
            </w:pPr>
            <w:r>
              <w:rPr>
                <w:b/>
                <w:bCs/>
              </w:rPr>
              <w:t xml:space="preserve">Priorité / statut</w:t>
            </w:r>
          </w:p>
        </w:tc>
      </w:tr>
      <w:tr>
        <w:tc>
          <w:tcPr>
            <w:tcW w:type="dxa" w:w="900"/>
            <w:tcMar>
              <w:top w:type="dxa" w:w="60"/>
              <w:left w:type="dxa" w:w="100"/>
              <w:bottom w:type="dxa" w:w="60"/>
              <w:right w:type="dxa" w:w="100"/>
            </w:tcMar>
          </w:tcPr>
          <w:p>
            <w:pPr>
              <w:jc w:val="left"/>
            </w:pPr>
            <w:r>
              <w:rPr>
                <w:b w:val="false"/>
                <w:bCs w:val="false"/>
              </w:rPr>
              <w:t xml:space="preserve">UC-01</w:t>
            </w:r>
          </w:p>
        </w:tc>
        <w:tc>
          <w:tcPr>
            <w:tcW w:type="dxa" w:w="4400"/>
            <w:tcMar>
              <w:top w:type="dxa" w:w="60"/>
              <w:left w:type="dxa" w:w="100"/>
              <w:bottom w:type="dxa" w:w="60"/>
              <w:right w:type="dxa" w:w="100"/>
            </w:tcMar>
          </w:tcPr>
          <w:p>
            <w:pPr>
              <w:jc w:val="left"/>
            </w:pPr>
            <w:r>
              <w:rPr>
                <w:b w:val="false"/>
                <w:bCs w:val="false"/>
              </w:rPr>
              <w:t xml:space="preserve">Gérer le catalogue de produits (familles, produits, composants, nomenclature)</w:t>
            </w:r>
          </w:p>
        </w:tc>
        <w:tc>
          <w:tcPr>
            <w:tcW w:type="dxa" w:w="2400"/>
            <w:tcMar>
              <w:top w:type="dxa" w:w="60"/>
              <w:left w:type="dxa" w:w="100"/>
              <w:bottom w:type="dxa" w:w="60"/>
              <w:right w:type="dxa" w:w="100"/>
            </w:tcMar>
          </w:tcPr>
          <w:p>
            <w:pPr>
              <w:jc w:val="left"/>
            </w:pPr>
            <w:r>
              <w:rPr>
                <w:b w:val="false"/>
                <w:bCs w:val="false"/>
              </w:rPr>
              <w:t xml:space="preserve">Administrateur</w:t>
            </w:r>
          </w:p>
        </w:tc>
        <w:tc>
          <w:tcPr>
            <w:tcW w:type="dxa" w:w="1800"/>
            <w:tcMar>
              <w:top w:type="dxa" w:w="60"/>
              <w:left w:type="dxa" w:w="100"/>
              <w:bottom w:type="dxa" w:w="60"/>
              <w:right w:type="dxa" w:w="100"/>
            </w:tcMar>
          </w:tcPr>
          <w:p>
            <w:pPr>
              <w:jc w:val="left"/>
            </w:pPr>
            <w:r>
              <w:rPr>
                <w:b w:val="false"/>
                <w:bCs w:val="false"/>
              </w:rPr>
              <w:t xml:space="preserve">Must have</w:t>
            </w:r>
          </w:p>
        </w:tc>
      </w:tr>
      <w:tr>
        <w:tc>
          <w:tcPr>
            <w:tcW w:type="dxa" w:w="900"/>
            <w:shd w:fill="f4f7fc" w:val="clear"/>
            <w:tcMar>
              <w:top w:type="dxa" w:w="60"/>
              <w:left w:type="dxa" w:w="100"/>
              <w:bottom w:type="dxa" w:w="60"/>
              <w:right w:type="dxa" w:w="100"/>
            </w:tcMar>
          </w:tcPr>
          <w:p>
            <w:pPr>
              <w:jc w:val="left"/>
            </w:pPr>
            <w:r>
              <w:rPr>
                <w:b w:val="false"/>
                <w:bCs w:val="false"/>
              </w:rPr>
              <w:t xml:space="preserve">UC-02</w:t>
            </w:r>
          </w:p>
        </w:tc>
        <w:tc>
          <w:tcPr>
            <w:tcW w:type="dxa" w:w="4400"/>
            <w:shd w:fill="f4f7fc" w:val="clear"/>
            <w:tcMar>
              <w:top w:type="dxa" w:w="60"/>
              <w:left w:type="dxa" w:w="100"/>
              <w:bottom w:type="dxa" w:w="60"/>
              <w:right w:type="dxa" w:w="100"/>
            </w:tcMar>
          </w:tcPr>
          <w:p>
            <w:pPr>
              <w:jc w:val="left"/>
            </w:pPr>
            <w:r>
              <w:rPr>
                <w:b w:val="false"/>
                <w:bCs w:val="false"/>
              </w:rPr>
              <w:t xml:space="preserve">Créer et valider un devis (instanciation du catalogue)</w:t>
            </w:r>
          </w:p>
        </w:tc>
        <w:tc>
          <w:tcPr>
            <w:tcW w:type="dxa" w:w="2400"/>
            <w:shd w:fill="f4f7fc" w:val="clear"/>
            <w:tcMar>
              <w:top w:type="dxa" w:w="60"/>
              <w:left w:type="dxa" w:w="100"/>
              <w:bottom w:type="dxa" w:w="60"/>
              <w:right w:type="dxa" w:w="100"/>
            </w:tcMar>
          </w:tcPr>
          <w:p>
            <w:pPr>
              <w:jc w:val="left"/>
            </w:pPr>
            <w:r>
              <w:rPr>
                <w:b w:val="false"/>
                <w:bCs w:val="false"/>
              </w:rPr>
              <w:t xml:space="preserve">Agent SDO</w:t>
            </w:r>
          </w:p>
        </w:tc>
        <w:tc>
          <w:tcPr>
            <w:tcW w:type="dxa" w:w="1800"/>
            <w:shd w:fill="f4f7fc" w:val="clear"/>
            <w:tcMar>
              <w:top w:type="dxa" w:w="60"/>
              <w:left w:type="dxa" w:w="100"/>
              <w:bottom w:type="dxa" w:w="60"/>
              <w:right w:type="dxa" w:w="100"/>
            </w:tcMar>
          </w:tcPr>
          <w:p>
            <w:pPr>
              <w:jc w:val="left"/>
            </w:pPr>
            <w:r>
              <w:rPr>
                <w:b w:val="false"/>
                <w:bCs w:val="false"/>
              </w:rPr>
              <w:t xml:space="preserve">Must have</w:t>
            </w:r>
          </w:p>
        </w:tc>
      </w:tr>
      <w:tr>
        <w:tc>
          <w:tcPr>
            <w:tcW w:type="dxa" w:w="900"/>
            <w:tcMar>
              <w:top w:type="dxa" w:w="60"/>
              <w:left w:type="dxa" w:w="100"/>
              <w:bottom w:type="dxa" w:w="60"/>
              <w:right w:type="dxa" w:w="100"/>
            </w:tcMar>
          </w:tcPr>
          <w:p>
            <w:pPr>
              <w:jc w:val="left"/>
            </w:pPr>
            <w:r>
              <w:rPr>
                <w:b w:val="false"/>
                <w:bCs w:val="false"/>
              </w:rPr>
              <w:t xml:space="preserve">UC-08</w:t>
            </w:r>
          </w:p>
        </w:tc>
        <w:tc>
          <w:tcPr>
            <w:tcW w:type="dxa" w:w="4400"/>
            <w:tcMar>
              <w:top w:type="dxa" w:w="60"/>
              <w:left w:type="dxa" w:w="100"/>
              <w:bottom w:type="dxa" w:w="60"/>
              <w:right w:type="dxa" w:w="100"/>
            </w:tcMar>
          </w:tcPr>
          <w:p>
            <w:pPr>
              <w:jc w:val="left"/>
            </w:pPr>
            <w:r>
              <w:rPr>
                <w:b w:val="false"/>
                <w:bCs w:val="false"/>
              </w:rPr>
              <w:t xml:space="preserve">Estimer le prix de revient par IA</w:t>
            </w:r>
          </w:p>
        </w:tc>
        <w:tc>
          <w:tcPr>
            <w:tcW w:type="dxa" w:w="2400"/>
            <w:tcMar>
              <w:top w:type="dxa" w:w="60"/>
              <w:left w:type="dxa" w:w="100"/>
              <w:bottom w:type="dxa" w:w="60"/>
              <w:right w:type="dxa" w:w="100"/>
            </w:tcMar>
          </w:tcPr>
          <w:p>
            <w:pPr>
              <w:jc w:val="left"/>
            </w:pPr>
            <w:r>
              <w:rPr>
                <w:b w:val="false"/>
                <w:bCs w:val="false"/>
              </w:rPr>
              <w:t xml:space="preserve">Système (inclus dans UC-02)</w:t>
            </w:r>
          </w:p>
        </w:tc>
        <w:tc>
          <w:tcPr>
            <w:tcW w:type="dxa" w:w="1800"/>
            <w:tcMar>
              <w:top w:type="dxa" w:w="60"/>
              <w:left w:type="dxa" w:w="100"/>
              <w:bottom w:type="dxa" w:w="60"/>
              <w:right w:type="dxa" w:w="100"/>
            </w:tcMar>
          </w:tcPr>
          <w:p>
            <w:pPr>
              <w:jc w:val="left"/>
            </w:pPr>
            <w:r>
              <w:rPr>
                <w:b w:val="false"/>
                <w:bCs w:val="false"/>
              </w:rPr>
              <w:t xml:space="preserve">Must have</w:t>
            </w:r>
          </w:p>
        </w:tc>
      </w:tr>
      <w:tr>
        <w:tc>
          <w:tcPr>
            <w:tcW w:type="dxa" w:w="900"/>
            <w:shd w:fill="f4f7fc" w:val="clear"/>
            <w:tcMar>
              <w:top w:type="dxa" w:w="60"/>
              <w:left w:type="dxa" w:w="100"/>
              <w:bottom w:type="dxa" w:w="60"/>
              <w:right w:type="dxa" w:w="100"/>
            </w:tcMar>
          </w:tcPr>
          <w:p>
            <w:pPr>
              <w:jc w:val="left"/>
            </w:pPr>
            <w:r>
              <w:rPr>
                <w:b w:val="false"/>
                <w:bCs w:val="false"/>
              </w:rPr>
              <w:t xml:space="preserve">UC-03</w:t>
            </w:r>
          </w:p>
        </w:tc>
        <w:tc>
          <w:tcPr>
            <w:tcW w:type="dxa" w:w="4400"/>
            <w:shd w:fill="f4f7fc" w:val="clear"/>
            <w:tcMar>
              <w:top w:type="dxa" w:w="60"/>
              <w:left w:type="dxa" w:w="100"/>
              <w:bottom w:type="dxa" w:w="60"/>
              <w:right w:type="dxa" w:w="100"/>
            </w:tcMar>
          </w:tcPr>
          <w:p>
            <w:pPr>
              <w:jc w:val="left"/>
            </w:pPr>
            <w:r>
              <w:rPr>
                <w:b w:val="false"/>
                <w:bCs w:val="false"/>
              </w:rPr>
              <w:t xml:space="preserve">Générer et ordonnancer le dossier de fabrication</w:t>
            </w:r>
          </w:p>
        </w:tc>
        <w:tc>
          <w:tcPr>
            <w:tcW w:type="dxa" w:w="2400"/>
            <w:shd w:fill="f4f7fc" w:val="clear"/>
            <w:tcMar>
              <w:top w:type="dxa" w:w="60"/>
              <w:left w:type="dxa" w:w="100"/>
              <w:bottom w:type="dxa" w:w="60"/>
              <w:right w:type="dxa" w:w="100"/>
            </w:tcMar>
          </w:tcPr>
          <w:p>
            <w:pPr>
              <w:jc w:val="left"/>
            </w:pPr>
            <w:r>
              <w:rPr>
                <w:b w:val="false"/>
                <w:bCs w:val="false"/>
              </w:rPr>
              <w:t xml:space="preserve">Système (étend UC-02)</w:t>
            </w:r>
          </w:p>
        </w:tc>
        <w:tc>
          <w:tcPr>
            <w:tcW w:type="dxa" w:w="1800"/>
            <w:shd w:fill="f4f7fc" w:val="clear"/>
            <w:tcMar>
              <w:top w:type="dxa" w:w="60"/>
              <w:left w:type="dxa" w:w="100"/>
              <w:bottom w:type="dxa" w:w="60"/>
              <w:right w:type="dxa" w:w="100"/>
            </w:tcMar>
          </w:tcPr>
          <w:p>
            <w:pPr>
              <w:jc w:val="left"/>
            </w:pPr>
            <w:r>
              <w:rPr>
                <w:b w:val="false"/>
                <w:bCs w:val="false"/>
              </w:rPr>
              <w:t xml:space="preserve">Must have</w:t>
            </w:r>
          </w:p>
        </w:tc>
      </w:tr>
      <w:tr>
        <w:tc>
          <w:tcPr>
            <w:tcW w:type="dxa" w:w="900"/>
            <w:tcMar>
              <w:top w:type="dxa" w:w="60"/>
              <w:left w:type="dxa" w:w="100"/>
              <w:bottom w:type="dxa" w:w="60"/>
              <w:right w:type="dxa" w:w="100"/>
            </w:tcMar>
          </w:tcPr>
          <w:p>
            <w:pPr>
              <w:jc w:val="left"/>
            </w:pPr>
            <w:r>
              <w:rPr>
                <w:b w:val="false"/>
                <w:bCs w:val="false"/>
              </w:rPr>
              <w:t xml:space="preserve">UC-04</w:t>
            </w:r>
          </w:p>
        </w:tc>
        <w:tc>
          <w:tcPr>
            <w:tcW w:type="dxa" w:w="4400"/>
            <w:tcMar>
              <w:top w:type="dxa" w:w="60"/>
              <w:left w:type="dxa" w:w="100"/>
              <w:bottom w:type="dxa" w:w="60"/>
              <w:right w:type="dxa" w:w="100"/>
            </w:tcMar>
          </w:tcPr>
          <w:p>
            <w:pPr>
              <w:jc w:val="left"/>
            </w:pPr>
            <w:r>
              <w:rPr>
                <w:b w:val="false"/>
                <w:bCs w:val="false"/>
              </w:rPr>
              <w:t xml:space="preserve">Suivre la fabrication étape par étape</w:t>
            </w:r>
          </w:p>
        </w:tc>
        <w:tc>
          <w:tcPr>
            <w:tcW w:type="dxa" w:w="2400"/>
            <w:tcMar>
              <w:top w:type="dxa" w:w="60"/>
              <w:left w:type="dxa" w:w="100"/>
              <w:bottom w:type="dxa" w:w="60"/>
              <w:right w:type="dxa" w:w="100"/>
            </w:tcMar>
          </w:tcPr>
          <w:p>
            <w:pPr>
              <w:jc w:val="left"/>
            </w:pPr>
            <w:r>
              <w:rPr>
                <w:b w:val="false"/>
                <w:bCs w:val="false"/>
              </w:rPr>
              <w:t xml:space="preserve">Chef d'atelier</w:t>
            </w:r>
          </w:p>
        </w:tc>
        <w:tc>
          <w:tcPr>
            <w:tcW w:type="dxa" w:w="1800"/>
            <w:tcMar>
              <w:top w:type="dxa" w:w="60"/>
              <w:left w:type="dxa" w:w="100"/>
              <w:bottom w:type="dxa" w:w="60"/>
              <w:right w:type="dxa" w:w="100"/>
            </w:tcMar>
          </w:tcPr>
          <w:p>
            <w:pPr>
              <w:jc w:val="left"/>
            </w:pPr>
            <w:r>
              <w:rPr>
                <w:b w:val="false"/>
                <w:bCs w:val="false"/>
              </w:rPr>
              <w:t xml:space="preserve">Must have</w:t>
            </w:r>
          </w:p>
        </w:tc>
      </w:tr>
      <w:tr>
        <w:tc>
          <w:tcPr>
            <w:tcW w:type="dxa" w:w="900"/>
            <w:shd w:fill="f4f7fc" w:val="clear"/>
            <w:tcMar>
              <w:top w:type="dxa" w:w="60"/>
              <w:left w:type="dxa" w:w="100"/>
              <w:bottom w:type="dxa" w:w="60"/>
              <w:right w:type="dxa" w:w="100"/>
            </w:tcMar>
          </w:tcPr>
          <w:p>
            <w:pPr>
              <w:jc w:val="left"/>
            </w:pPr>
            <w:r>
              <w:rPr>
                <w:b w:val="false"/>
                <w:bCs w:val="false"/>
              </w:rPr>
              <w:t xml:space="preserve">UC-05</w:t>
            </w:r>
          </w:p>
        </w:tc>
        <w:tc>
          <w:tcPr>
            <w:tcW w:type="dxa" w:w="4400"/>
            <w:shd w:fill="f4f7fc" w:val="clear"/>
            <w:tcMar>
              <w:top w:type="dxa" w:w="60"/>
              <w:left w:type="dxa" w:w="100"/>
              <w:bottom w:type="dxa" w:w="60"/>
              <w:right w:type="dxa" w:w="100"/>
            </w:tcMar>
          </w:tcPr>
          <w:p>
            <w:pPr>
              <w:jc w:val="left"/>
            </w:pPr>
            <w:r>
              <w:rPr>
                <w:b w:val="false"/>
                <w:bCs w:val="false"/>
              </w:rPr>
              <w:t xml:space="preserve">Gérer une sortie de matière</w:t>
            </w:r>
          </w:p>
        </w:tc>
        <w:tc>
          <w:tcPr>
            <w:tcW w:type="dxa" w:w="2400"/>
            <w:shd w:fill="f4f7fc" w:val="clear"/>
            <w:tcMar>
              <w:top w:type="dxa" w:w="60"/>
              <w:left w:type="dxa" w:w="100"/>
              <w:bottom w:type="dxa" w:w="60"/>
              <w:right w:type="dxa" w:w="100"/>
            </w:tcMar>
          </w:tcPr>
          <w:p>
            <w:pPr>
              <w:jc w:val="left"/>
            </w:pPr>
            <w:r>
              <w:rPr>
                <w:b w:val="false"/>
                <w:bCs w:val="false"/>
              </w:rPr>
              <w:t xml:space="preserve">Chef d'atelier / Magasinier</w:t>
            </w:r>
          </w:p>
        </w:tc>
        <w:tc>
          <w:tcPr>
            <w:tcW w:type="dxa" w:w="1800"/>
            <w:shd w:fill="f4f7fc" w:val="clear"/>
            <w:tcMar>
              <w:top w:type="dxa" w:w="60"/>
              <w:left w:type="dxa" w:w="100"/>
              <w:bottom w:type="dxa" w:w="60"/>
              <w:right w:type="dxa" w:w="100"/>
            </w:tcMar>
          </w:tcPr>
          <w:p>
            <w:pPr>
              <w:jc w:val="left"/>
            </w:pPr>
            <w:r>
              <w:rPr>
                <w:b w:val="false"/>
                <w:bCs w:val="false"/>
              </w:rPr>
              <w:t xml:space="preserve">Must have</w:t>
            </w:r>
          </w:p>
        </w:tc>
      </w:tr>
      <w:tr>
        <w:tc>
          <w:tcPr>
            <w:tcW w:type="dxa" w:w="900"/>
            <w:tcMar>
              <w:top w:type="dxa" w:w="60"/>
              <w:left w:type="dxa" w:w="100"/>
              <w:bottom w:type="dxa" w:w="60"/>
              <w:right w:type="dxa" w:w="100"/>
            </w:tcMar>
          </w:tcPr>
          <w:p>
            <w:pPr>
              <w:jc w:val="left"/>
            </w:pPr>
            <w:r>
              <w:rPr>
                <w:b w:val="false"/>
                <w:bCs w:val="false"/>
              </w:rPr>
              <w:t xml:space="preserve">UC-06</w:t>
            </w:r>
          </w:p>
        </w:tc>
        <w:tc>
          <w:tcPr>
            <w:tcW w:type="dxa" w:w="4400"/>
            <w:tcMar>
              <w:top w:type="dxa" w:w="60"/>
              <w:left w:type="dxa" w:w="100"/>
              <w:bottom w:type="dxa" w:w="60"/>
              <w:right w:type="dxa" w:w="100"/>
            </w:tcMar>
          </w:tcPr>
          <w:p>
            <w:pPr>
              <w:jc w:val="left"/>
            </w:pPr>
            <w:r>
              <w:rPr>
                <w:b w:val="false"/>
                <w:bCs w:val="false"/>
              </w:rPr>
              <w:t xml:space="preserve">Contrôler le prix de revient à la clôture</w:t>
            </w:r>
          </w:p>
        </w:tc>
        <w:tc>
          <w:tcPr>
            <w:tcW w:type="dxa" w:w="2400"/>
            <w:tcMar>
              <w:top w:type="dxa" w:w="60"/>
              <w:left w:type="dxa" w:w="100"/>
              <w:bottom w:type="dxa" w:w="60"/>
              <w:right w:type="dxa" w:w="100"/>
            </w:tcMar>
          </w:tcPr>
          <w:p>
            <w:pPr>
              <w:jc w:val="left"/>
            </w:pPr>
            <w:r>
              <w:rPr>
                <w:b w:val="false"/>
                <w:bCs w:val="false"/>
              </w:rPr>
              <w:t xml:space="preserve">Chef d'atelier</w:t>
            </w:r>
          </w:p>
        </w:tc>
        <w:tc>
          <w:tcPr>
            <w:tcW w:type="dxa" w:w="1800"/>
            <w:tcMar>
              <w:top w:type="dxa" w:w="60"/>
              <w:left w:type="dxa" w:w="100"/>
              <w:bottom w:type="dxa" w:w="60"/>
              <w:right w:type="dxa" w:w="100"/>
            </w:tcMar>
          </w:tcPr>
          <w:p>
            <w:pPr>
              <w:jc w:val="left"/>
            </w:pPr>
            <w:r>
              <w:rPr>
                <w:b w:val="false"/>
                <w:bCs w:val="false"/>
              </w:rPr>
              <w:t xml:space="preserve">Must have</w:t>
            </w:r>
          </w:p>
        </w:tc>
      </w:tr>
      <w:tr>
        <w:tc>
          <w:tcPr>
            <w:tcW w:type="dxa" w:w="900"/>
            <w:shd w:fill="f4f7fc" w:val="clear"/>
            <w:tcMar>
              <w:top w:type="dxa" w:w="60"/>
              <w:left w:type="dxa" w:w="100"/>
              <w:bottom w:type="dxa" w:w="60"/>
              <w:right w:type="dxa" w:w="100"/>
            </w:tcMar>
          </w:tcPr>
          <w:p>
            <w:pPr>
              <w:jc w:val="left"/>
            </w:pPr>
            <w:r>
              <w:rPr>
                <w:b w:val="false"/>
                <w:bCs w:val="false"/>
              </w:rPr>
              <w:t xml:space="preserve">UC-10</w:t>
            </w:r>
          </w:p>
        </w:tc>
        <w:tc>
          <w:tcPr>
            <w:tcW w:type="dxa" w:w="4400"/>
            <w:shd w:fill="f4f7fc" w:val="clear"/>
            <w:tcMar>
              <w:top w:type="dxa" w:w="60"/>
              <w:left w:type="dxa" w:w="100"/>
              <w:bottom w:type="dxa" w:w="60"/>
              <w:right w:type="dxa" w:w="100"/>
            </w:tcMar>
          </w:tcPr>
          <w:p>
            <w:pPr>
              <w:jc w:val="left"/>
            </w:pPr>
            <w:r>
              <w:rPr>
                <w:b w:val="false"/>
                <w:bCs w:val="false"/>
              </w:rPr>
              <w:t xml:space="preserve">Gérer les utilisateurs et les rôles</w:t>
            </w:r>
          </w:p>
        </w:tc>
        <w:tc>
          <w:tcPr>
            <w:tcW w:type="dxa" w:w="2400"/>
            <w:shd w:fill="f4f7fc" w:val="clear"/>
            <w:tcMar>
              <w:top w:type="dxa" w:w="60"/>
              <w:left w:type="dxa" w:w="100"/>
              <w:bottom w:type="dxa" w:w="60"/>
              <w:right w:type="dxa" w:w="100"/>
            </w:tcMar>
          </w:tcPr>
          <w:p>
            <w:pPr>
              <w:jc w:val="left"/>
            </w:pPr>
            <w:r>
              <w:rPr>
                <w:b w:val="false"/>
                <w:bCs w:val="false"/>
              </w:rPr>
              <w:t xml:space="preserve">Administrateur</w:t>
            </w:r>
          </w:p>
        </w:tc>
        <w:tc>
          <w:tcPr>
            <w:tcW w:type="dxa" w:w="1800"/>
            <w:shd w:fill="f4f7fc" w:val="clear"/>
            <w:tcMar>
              <w:top w:type="dxa" w:w="60"/>
              <w:left w:type="dxa" w:w="100"/>
              <w:bottom w:type="dxa" w:w="60"/>
              <w:right w:type="dxa" w:w="100"/>
            </w:tcMar>
          </w:tcPr>
          <w:p>
            <w:pPr>
              <w:jc w:val="left"/>
            </w:pPr>
            <w:r>
              <w:rPr>
                <w:b w:val="false"/>
                <w:bCs w:val="false"/>
              </w:rPr>
              <w:t xml:space="preserve">Must have</w:t>
            </w:r>
          </w:p>
        </w:tc>
      </w:tr>
      <w:tr>
        <w:tc>
          <w:tcPr>
            <w:tcW w:type="dxa" w:w="900"/>
            <w:tcMar>
              <w:top w:type="dxa" w:w="60"/>
              <w:left w:type="dxa" w:w="100"/>
              <w:bottom w:type="dxa" w:w="60"/>
              <w:right w:type="dxa" w:w="100"/>
            </w:tcMar>
          </w:tcPr>
          <w:p>
            <w:pPr>
              <w:jc w:val="left"/>
            </w:pPr>
            <w:r>
              <w:rPr>
                <w:b w:val="false"/>
                <w:bCs w:val="false"/>
              </w:rPr>
              <w:t xml:space="preserve">UC-07</w:t>
            </w:r>
          </w:p>
        </w:tc>
        <w:tc>
          <w:tcPr>
            <w:tcW w:type="dxa" w:w="4400"/>
            <w:tcMar>
              <w:top w:type="dxa" w:w="60"/>
              <w:left w:type="dxa" w:w="100"/>
              <w:bottom w:type="dxa" w:w="60"/>
              <w:right w:type="dxa" w:w="100"/>
            </w:tcMar>
          </w:tcPr>
          <w:p>
            <w:pPr>
              <w:jc w:val="left"/>
            </w:pPr>
            <w:r>
              <w:rPr>
                <w:b w:val="false"/>
                <w:bCs w:val="false"/>
              </w:rPr>
              <w:t xml:space="preserve">Émettre une facture (proforma / définitive)</w:t>
            </w:r>
          </w:p>
        </w:tc>
        <w:tc>
          <w:tcPr>
            <w:tcW w:type="dxa" w:w="2400"/>
            <w:tcMar>
              <w:top w:type="dxa" w:w="60"/>
              <w:left w:type="dxa" w:w="100"/>
              <w:bottom w:type="dxa" w:w="60"/>
              <w:right w:type="dxa" w:w="100"/>
            </w:tcMar>
          </w:tcPr>
          <w:p>
            <w:pPr>
              <w:jc w:val="left"/>
            </w:pPr>
            <w:r>
              <w:rPr>
                <w:b w:val="false"/>
                <w:bCs w:val="false"/>
              </w:rPr>
              <w:t xml:space="preserve">Agent SDO</w:t>
            </w:r>
          </w:p>
        </w:tc>
        <w:tc>
          <w:tcPr>
            <w:tcW w:type="dxa" w:w="1800"/>
            <w:tcMar>
              <w:top w:type="dxa" w:w="60"/>
              <w:left w:type="dxa" w:w="100"/>
              <w:bottom w:type="dxa" w:w="60"/>
              <w:right w:type="dxa" w:w="100"/>
            </w:tcMar>
          </w:tcPr>
          <w:p>
            <w:pPr>
              <w:jc w:val="left"/>
            </w:pPr>
            <w:r>
              <w:rPr>
                <w:b w:val="false"/>
                <w:bCs w:val="false"/>
              </w:rPr>
              <w:t xml:space="preserve">Should have</w:t>
            </w:r>
          </w:p>
        </w:tc>
      </w:tr>
      <w:tr>
        <w:tc>
          <w:tcPr>
            <w:tcW w:type="dxa" w:w="900"/>
            <w:shd w:fill="f4f7fc" w:val="clear"/>
            <w:tcMar>
              <w:top w:type="dxa" w:w="60"/>
              <w:left w:type="dxa" w:w="100"/>
              <w:bottom w:type="dxa" w:w="60"/>
              <w:right w:type="dxa" w:w="100"/>
            </w:tcMar>
          </w:tcPr>
          <w:p>
            <w:pPr>
              <w:jc w:val="left"/>
            </w:pPr>
            <w:r>
              <w:rPr>
                <w:b w:val="false"/>
                <w:bCs w:val="false"/>
              </w:rPr>
              <w:t xml:space="preserve">UC-09</w:t>
            </w:r>
          </w:p>
        </w:tc>
        <w:tc>
          <w:tcPr>
            <w:tcW w:type="dxa" w:w="4400"/>
            <w:shd w:fill="f4f7fc" w:val="clear"/>
            <w:tcMar>
              <w:top w:type="dxa" w:w="60"/>
              <w:left w:type="dxa" w:w="100"/>
              <w:bottom w:type="dxa" w:w="60"/>
              <w:right w:type="dxa" w:w="100"/>
            </w:tcMar>
          </w:tcPr>
          <w:p>
            <w:pPr>
              <w:jc w:val="left"/>
            </w:pPr>
            <w:r>
              <w:rPr>
                <w:b w:val="false"/>
                <w:bCs w:val="false"/>
              </w:rPr>
              <w:t xml:space="preserve">Consulter le tableau de bord de rentabilité</w:t>
            </w:r>
          </w:p>
        </w:tc>
        <w:tc>
          <w:tcPr>
            <w:tcW w:type="dxa" w:w="2400"/>
            <w:shd w:fill="f4f7fc" w:val="clear"/>
            <w:tcMar>
              <w:top w:type="dxa" w:w="60"/>
              <w:left w:type="dxa" w:w="100"/>
              <w:bottom w:type="dxa" w:w="60"/>
              <w:right w:type="dxa" w:w="100"/>
            </w:tcMar>
          </w:tcPr>
          <w:p>
            <w:pPr>
              <w:jc w:val="left"/>
            </w:pPr>
            <w:r>
              <w:rPr>
                <w:b w:val="false"/>
                <w:bCs w:val="false"/>
              </w:rPr>
              <w:t xml:space="preserve">Administrateur</w:t>
            </w:r>
          </w:p>
        </w:tc>
        <w:tc>
          <w:tcPr>
            <w:tcW w:type="dxa" w:w="1800"/>
            <w:shd w:fill="f4f7fc" w:val="clear"/>
            <w:tcMar>
              <w:top w:type="dxa" w:w="60"/>
              <w:left w:type="dxa" w:w="100"/>
              <w:bottom w:type="dxa" w:w="60"/>
              <w:right w:type="dxa" w:w="100"/>
            </w:tcMar>
          </w:tcPr>
          <w:p>
            <w:pPr>
              <w:jc w:val="left"/>
            </w:pPr>
            <w:r>
              <w:rPr>
                <w:b w:val="false"/>
                <w:bCs w:val="false"/>
              </w:rPr>
              <w:t xml:space="preserve">Should have</w:t>
            </w:r>
          </w:p>
        </w:tc>
      </w:tr>
      <w:tr>
        <w:tc>
          <w:tcPr>
            <w:tcW w:type="dxa" w:w="900"/>
            <w:tcMar>
              <w:top w:type="dxa" w:w="60"/>
              <w:left w:type="dxa" w:w="100"/>
              <w:bottom w:type="dxa" w:w="60"/>
              <w:right w:type="dxa" w:w="100"/>
            </w:tcMar>
          </w:tcPr>
          <w:p>
            <w:pPr>
              <w:jc w:val="left"/>
            </w:pPr>
            <w:r>
              <w:rPr>
                <w:b w:val="false"/>
                <w:bCs w:val="false"/>
              </w:rPr>
              <w:t xml:space="preserve">UC-11</w:t>
            </w:r>
          </w:p>
        </w:tc>
        <w:tc>
          <w:tcPr>
            <w:tcW w:type="dxa" w:w="4400"/>
            <w:tcMar>
              <w:top w:type="dxa" w:w="60"/>
              <w:left w:type="dxa" w:w="100"/>
              <w:bottom w:type="dxa" w:w="60"/>
              <w:right w:type="dxa" w:w="100"/>
            </w:tcMar>
          </w:tcPr>
          <w:p>
            <w:pPr>
              <w:jc w:val="left"/>
            </w:pPr>
            <w:r>
              <w:rPr>
                <w:b w:val="false"/>
                <w:bCs w:val="false"/>
              </w:rPr>
              <w:t xml:space="preserve">Recevoir des notifications transverses</w:t>
            </w:r>
          </w:p>
        </w:tc>
        <w:tc>
          <w:tcPr>
            <w:tcW w:type="dxa" w:w="2400"/>
            <w:tcMar>
              <w:top w:type="dxa" w:w="60"/>
              <w:left w:type="dxa" w:w="100"/>
              <w:bottom w:type="dxa" w:w="60"/>
              <w:right w:type="dxa" w:w="100"/>
            </w:tcMar>
          </w:tcPr>
          <w:p>
            <w:pPr>
              <w:jc w:val="left"/>
            </w:pPr>
            <w:r>
              <w:rPr>
                <w:b w:val="false"/>
                <w:bCs w:val="false"/>
              </w:rPr>
              <w:t xml:space="preserve">Tous les rôles</w:t>
            </w:r>
          </w:p>
        </w:tc>
        <w:tc>
          <w:tcPr>
            <w:tcW w:type="dxa" w:w="1800"/>
            <w:tcMar>
              <w:top w:type="dxa" w:w="60"/>
              <w:left w:type="dxa" w:w="100"/>
              <w:bottom w:type="dxa" w:w="60"/>
              <w:right w:type="dxa" w:w="100"/>
            </w:tcMar>
          </w:tcPr>
          <w:p>
            <w:pPr>
              <w:jc w:val="left"/>
            </w:pPr>
            <w:r>
              <w:rPr>
                <w:b w:val="false"/>
                <w:bCs w:val="false"/>
              </w:rPr>
              <w:t xml:space="preserve">Should have</w:t>
            </w:r>
          </w:p>
        </w:tc>
      </w:tr>
      <w:tr>
        <w:tc>
          <w:tcPr>
            <w:tcW w:type="dxa" w:w="900"/>
            <w:shd w:fill="f4f7fc" w:val="clear"/>
            <w:tcMar>
              <w:top w:type="dxa" w:w="60"/>
              <w:left w:type="dxa" w:w="100"/>
              <w:bottom w:type="dxa" w:w="60"/>
              <w:right w:type="dxa" w:w="100"/>
            </w:tcMar>
          </w:tcPr>
          <w:p>
            <w:pPr>
              <w:jc w:val="left"/>
            </w:pPr>
            <w:r>
              <w:rPr>
                <w:b w:val="false"/>
                <w:bCs w:val="false"/>
              </w:rPr>
              <w:t xml:space="preserve">UC-12</w:t>
            </w:r>
          </w:p>
        </w:tc>
        <w:tc>
          <w:tcPr>
            <w:tcW w:type="dxa" w:w="4400"/>
            <w:shd w:fill="f4f7fc" w:val="clear"/>
            <w:tcMar>
              <w:top w:type="dxa" w:w="60"/>
              <w:left w:type="dxa" w:w="100"/>
              <w:bottom w:type="dxa" w:w="60"/>
              <w:right w:type="dxa" w:w="100"/>
            </w:tcMar>
          </w:tcPr>
          <w:p>
            <w:pPr>
              <w:jc w:val="left"/>
            </w:pPr>
            <w:r>
              <w:rPr>
                <w:b w:val="false"/>
                <w:bCs w:val="false"/>
              </w:rPr>
              <w:t xml:space="preserve">Gérer les scénarios de calcul</w:t>
            </w:r>
          </w:p>
        </w:tc>
        <w:tc>
          <w:tcPr>
            <w:tcW w:type="dxa" w:w="2400"/>
            <w:shd w:fill="f4f7fc" w:val="clear"/>
            <w:tcMar>
              <w:top w:type="dxa" w:w="60"/>
              <w:left w:type="dxa" w:w="100"/>
              <w:bottom w:type="dxa" w:w="60"/>
              <w:right w:type="dxa" w:w="100"/>
            </w:tcMar>
          </w:tcPr>
          <w:p>
            <w:pPr>
              <w:jc w:val="left"/>
            </w:pPr>
            <w:r>
              <w:rPr>
                <w:b w:val="false"/>
                <w:bCs w:val="false"/>
              </w:rPr>
              <w:t xml:space="preserve">Administrateur</w:t>
            </w:r>
          </w:p>
        </w:tc>
        <w:tc>
          <w:tcPr>
            <w:tcW w:type="dxa" w:w="1800"/>
            <w:shd w:fill="f4f7fc" w:val="clear"/>
            <w:tcMar>
              <w:top w:type="dxa" w:w="60"/>
              <w:left w:type="dxa" w:w="100"/>
              <w:bottom w:type="dxa" w:w="60"/>
              <w:right w:type="dxa" w:w="100"/>
            </w:tcMar>
          </w:tcPr>
          <w:p>
            <w:pPr>
              <w:jc w:val="left"/>
            </w:pPr>
            <w:r>
              <w:rPr>
                <w:b w:val="false"/>
                <w:bCs w:val="false"/>
              </w:rPr>
              <w:t xml:space="preserve">Could have — non développé</w:t>
            </w:r>
          </w:p>
        </w:tc>
      </w:tr>
      <w:tr>
        <w:tc>
          <w:tcPr>
            <w:tcW w:type="dxa" w:w="900"/>
            <w:tcMar>
              <w:top w:type="dxa" w:w="60"/>
              <w:left w:type="dxa" w:w="100"/>
              <w:bottom w:type="dxa" w:w="60"/>
              <w:right w:type="dxa" w:w="100"/>
            </w:tcMar>
          </w:tcPr>
          <w:p>
            <w:pPr>
              <w:jc w:val="left"/>
            </w:pPr>
            <w:r>
              <w:rPr>
                <w:b w:val="0"/>
              </w:rPr>
              <w:t>UC-13</w:t>
            </w:r>
          </w:p>
        </w:tc>
        <w:tc>
          <w:tcPr>
            <w:tcW w:type="dxa" w:w="4400"/>
            <w:tcMar>
              <w:top w:type="dxa" w:w="60"/>
              <w:left w:type="dxa" w:w="100"/>
              <w:bottom w:type="dxa" w:w="60"/>
              <w:right w:type="dxa" w:w="100"/>
            </w:tcMar>
          </w:tcPr>
          <w:p>
            <w:pPr>
              <w:jc w:val="left"/>
            </w:pPr>
            <w:r>
              <w:rPr>
                <w:b w:val="0"/>
              </w:rPr>
              <w:t>✚ Modifier un devis non validé</w:t>
            </w:r>
          </w:p>
        </w:tc>
        <w:tc>
          <w:tcPr>
            <w:tcW w:type="dxa" w:w="2400"/>
            <w:tcMar>
              <w:top w:type="dxa" w:w="60"/>
              <w:left w:type="dxa" w:w="100"/>
              <w:bottom w:type="dxa" w:w="60"/>
              <w:right w:type="dxa" w:w="100"/>
            </w:tcMar>
          </w:tcPr>
          <w:p>
            <w:pPr>
              <w:jc w:val="left"/>
            </w:pPr>
            <w:r>
              <w:rPr>
                <w:b w:val="0"/>
              </w:rPr>
              <w:t>Agent SDO</w:t>
            </w:r>
          </w:p>
        </w:tc>
        <w:tc>
          <w:tcPr>
            <w:tcW w:type="dxa" w:w="1800"/>
            <w:tcMar>
              <w:top w:type="dxa" w:w="60"/>
              <w:left w:type="dxa" w:w="100"/>
              <w:bottom w:type="dxa" w:w="60"/>
              <w:right w:type="dxa" w:w="100"/>
            </w:tcMar>
          </w:tcPr>
          <w:p>
            <w:pPr>
              <w:jc w:val="left"/>
            </w:pPr>
            <w:r>
              <w:rPr>
                <w:b w:val="0"/>
              </w:rPr>
              <w:t>Should have</w:t>
            </w:r>
          </w:p>
        </w:tc>
      </w:tr>
      <w:tr>
        <w:tc>
          <w:tcPr>
            <w:tcW w:type="dxa" w:w="900"/>
            <w:tcMar>
              <w:top w:type="dxa" w:w="60"/>
              <w:left w:type="dxa" w:w="100"/>
              <w:bottom w:type="dxa" w:w="60"/>
              <w:right w:type="dxa" w:w="100"/>
            </w:tcMar>
          </w:tcPr>
          <w:p>
            <w:pPr>
              <w:jc w:val="left"/>
            </w:pPr>
            <w:r>
              <w:rPr>
                <w:b w:val="0"/>
              </w:rPr>
              <w:t>UC-14</w:t>
            </w:r>
          </w:p>
        </w:tc>
        <w:tc>
          <w:tcPr>
            <w:tcW w:type="dxa" w:w="4400"/>
            <w:tcMar>
              <w:top w:type="dxa" w:w="60"/>
              <w:left w:type="dxa" w:w="100"/>
              <w:bottom w:type="dxa" w:w="60"/>
              <w:right w:type="dxa" w:w="100"/>
            </w:tcMar>
          </w:tcPr>
          <w:p>
            <w:pPr>
              <w:jc w:val="left"/>
            </w:pPr>
            <w:r>
              <w:rPr>
                <w:b w:val="0"/>
              </w:rPr>
              <w:t>✚ Consulter l'historique des commandes et devis d'un client</w:t>
            </w:r>
          </w:p>
        </w:tc>
        <w:tc>
          <w:tcPr>
            <w:tcW w:type="dxa" w:w="2400"/>
            <w:tcMar>
              <w:top w:type="dxa" w:w="60"/>
              <w:left w:type="dxa" w:w="100"/>
              <w:bottom w:type="dxa" w:w="60"/>
              <w:right w:type="dxa" w:w="100"/>
            </w:tcMar>
          </w:tcPr>
          <w:p>
            <w:pPr>
              <w:jc w:val="left"/>
            </w:pPr>
            <w:r>
              <w:rPr>
                <w:b w:val="0"/>
              </w:rPr>
              <w:t>Agent SDO</w:t>
            </w:r>
          </w:p>
        </w:tc>
        <w:tc>
          <w:tcPr>
            <w:tcW w:type="dxa" w:w="1800"/>
            <w:tcMar>
              <w:top w:type="dxa" w:w="60"/>
              <w:left w:type="dxa" w:w="100"/>
              <w:bottom w:type="dxa" w:w="60"/>
              <w:right w:type="dxa" w:w="100"/>
            </w:tcMar>
          </w:tcPr>
          <w:p>
            <w:pPr>
              <w:jc w:val="left"/>
            </w:pPr>
            <w:r>
              <w:rPr>
                <w:b w:val="0"/>
              </w:rPr>
              <w:t>Could have</w:t>
            </w:r>
          </w:p>
        </w:tc>
      </w:tr>
      <w:tr>
        <w:tc>
          <w:tcPr>
            <w:tcW w:type="dxa" w:w="900"/>
            <w:tcMar>
              <w:top w:type="dxa" w:w="60"/>
              <w:left w:type="dxa" w:w="100"/>
              <w:bottom w:type="dxa" w:w="60"/>
              <w:right w:type="dxa" w:w="100"/>
            </w:tcMar>
          </w:tcPr>
          <w:p>
            <w:pPr>
              <w:jc w:val="left"/>
            </w:pPr>
            <w:r>
              <w:rPr>
                <w:b w:val="0"/>
              </w:rPr>
              <w:t>UC-15</w:t>
            </w:r>
          </w:p>
        </w:tc>
        <w:tc>
          <w:tcPr>
            <w:tcW w:type="dxa" w:w="4400"/>
            <w:tcMar>
              <w:top w:type="dxa" w:w="60"/>
              <w:left w:type="dxa" w:w="100"/>
              <w:bottom w:type="dxa" w:w="60"/>
              <w:right w:type="dxa" w:w="100"/>
            </w:tcMar>
          </w:tcPr>
          <w:p>
            <w:pPr>
              <w:jc w:val="left"/>
            </w:pPr>
            <w:r>
              <w:rPr>
                <w:b w:val="0"/>
              </w:rPr>
              <w:t>✚ Gérer son profil et changer son mot de passe</w:t>
            </w:r>
          </w:p>
        </w:tc>
        <w:tc>
          <w:tcPr>
            <w:tcW w:type="dxa" w:w="2400"/>
            <w:tcMar>
              <w:top w:type="dxa" w:w="60"/>
              <w:left w:type="dxa" w:w="100"/>
              <w:bottom w:type="dxa" w:w="60"/>
              <w:right w:type="dxa" w:w="100"/>
            </w:tcMar>
          </w:tcPr>
          <w:p>
            <w:pPr>
              <w:jc w:val="left"/>
            </w:pPr>
            <w:r>
              <w:rPr>
                <w:b w:val="0"/>
              </w:rPr>
              <w:t>Tous les rôles</w:t>
            </w:r>
          </w:p>
        </w:tc>
        <w:tc>
          <w:tcPr>
            <w:tcW w:type="dxa" w:w="1800"/>
            <w:tcMar>
              <w:top w:type="dxa" w:w="60"/>
              <w:left w:type="dxa" w:w="100"/>
              <w:bottom w:type="dxa" w:w="60"/>
              <w:right w:type="dxa" w:w="100"/>
            </w:tcMar>
          </w:tcPr>
          <w:p>
            <w:pPr>
              <w:jc w:val="left"/>
            </w:pPr>
            <w:r>
              <w:rPr>
                <w:b w:val="0"/>
              </w:rPr>
              <w:t>Should have</w:t>
            </w:r>
          </w:p>
        </w:tc>
      </w:tr>
    </w:tbl>
    <w:p>
      <w:pPr>
        <w:spacing w:before="80" w:after="200"/>
      </w:pPr>
      <w:r>
        <w:rPr>
          <w:i/>
          <w:sz w:val="18"/>
        </w:rPr>
        <w:t>Légende — ✚ cas d'utilisation ajouté à cette itération pour la cohérence fonctionnelle du système (édition/consultation d'historique et gestion de profil, non couverts par le tableau 5.2 initial), en complément du noyau fonctionnel issu des clarifications du STI.</w:t>
      </w:r>
    </w:p>
    <w:p>
      <w:pPr>
        <w:pStyle w:val="Heading1"/>
        <w:spacing w:after="200" w:before="400"/>
      </w:pPr>
      <w:r>
        <w:rPr>
          <w:b/>
          <w:bCs/>
        </w:rPr>
        <w:t xml:space="preserve">5.4  Chronogramme de réalisation</w:t>
      </w:r>
    </w:p>
    <w:p>
      <w:pPr>
        <w:spacing w:after="160"/>
      </w:pPr>
      <w:r>
        <w:t xml:space="preserve">Le tableau 5.4 présente le chronogramme retenu pour la réalisation du SGCE-INM, organisé par domaine fonctionnel (bounded context, section 5.8) plutôt que par sprint isolé, afin de garder une correspondance directe entre le planning et l'architecture du système. Le développement du Référentiel &amp; Catalogue est positionné en amont, puisque les Devis en dépendent directement (RG27) ; le Contrôle &amp; Facturation ne peut être développé qu'après la Production, dont il consomme les données de clôture.</w:t>
      </w:r>
    </w:p>
    <w:p>
      <w:pPr>
        <w:spacing w:after="300" w:before="100"/>
        <w:jc w:val="center"/>
      </w:pPr>
      <w:r>
        <w:rPr>
          <w:b/>
          <w:bCs/>
          <w:i/>
          <w:iCs/>
          <w:sz w:val="20"/>
          <w:szCs w:val="20"/>
        </w:rPr>
        <w:t xml:space="preserve">Tableau 5.4 : Chronogramme de réalisation par domaine fonctionnel</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5200"/>
        <w:gridCol w:w="1700"/>
      </w:tblGrid>
      <w:tr>
        <w:trPr>
          <w:tblHeader/>
        </w:trPr>
        <w:tc>
          <w:tcPr>
            <w:tcW w:type="dxa" w:w="2600"/>
            <w:shd w:fill="dfe6f5" w:val="clear"/>
            <w:tcMar>
              <w:top w:type="dxa" w:w="60"/>
              <w:left w:type="dxa" w:w="100"/>
              <w:bottom w:type="dxa" w:w="60"/>
              <w:right w:type="dxa" w:w="100"/>
            </w:tcMar>
          </w:tcPr>
          <w:p>
            <w:pPr>
              <w:jc w:val="left"/>
            </w:pPr>
            <w:r>
              <w:rPr>
                <w:b/>
                <w:bCs/>
              </w:rPr>
              <w:t xml:space="preserve">Domaine fonctionnel</w:t>
            </w:r>
          </w:p>
        </w:tc>
        <w:tc>
          <w:tcPr>
            <w:tcW w:type="dxa" w:w="5200"/>
            <w:shd w:fill="dfe6f5" w:val="clear"/>
            <w:tcMar>
              <w:top w:type="dxa" w:w="60"/>
              <w:left w:type="dxa" w:w="100"/>
              <w:bottom w:type="dxa" w:w="60"/>
              <w:right w:type="dxa" w:w="100"/>
            </w:tcMar>
          </w:tcPr>
          <w:p>
            <w:pPr>
              <w:jc w:val="left"/>
            </w:pPr>
            <w:r>
              <w:rPr>
                <w:b/>
                <w:bCs/>
              </w:rPr>
              <w:t xml:space="preserve">Contenu</w:t>
            </w:r>
          </w:p>
        </w:tc>
        <w:tc>
          <w:tcPr>
            <w:tcW w:type="dxa" w:w="1700"/>
            <w:shd w:fill="dfe6f5" w:val="clear"/>
            <w:tcMar>
              <w:top w:type="dxa" w:w="60"/>
              <w:left w:type="dxa" w:w="100"/>
              <w:bottom w:type="dxa" w:w="60"/>
              <w:right w:type="dxa" w:w="100"/>
            </w:tcMar>
          </w:tcPr>
          <w:p>
            <w:pPr>
              <w:jc w:val="left"/>
            </w:pPr>
            <w:r>
              <w:rPr>
                <w:b/>
                <w:bCs/>
              </w:rPr>
              <w:t xml:space="preserve">Période</w:t>
            </w:r>
          </w:p>
        </w:tc>
      </w:tr>
      <w:tr>
        <w:tc>
          <w:tcPr>
            <w:tcW w:type="dxa" w:w="2600"/>
            <w:tcMar>
              <w:top w:type="dxa" w:w="60"/>
              <w:left w:type="dxa" w:w="100"/>
              <w:bottom w:type="dxa" w:w="60"/>
              <w:right w:type="dxa" w:w="100"/>
            </w:tcMar>
          </w:tcPr>
          <w:p>
            <w:pPr>
              <w:jc w:val="left"/>
            </w:pPr>
            <w:r>
              <w:rPr>
                <w:b w:val="false"/>
                <w:bCs w:val="false"/>
              </w:rPr>
              <w:t xml:space="preserve">Sécurité &amp; Notifications (socle)</w:t>
            </w:r>
          </w:p>
        </w:tc>
        <w:tc>
          <w:tcPr>
            <w:tcW w:type="dxa" w:w="5200"/>
            <w:tcMar>
              <w:top w:type="dxa" w:w="60"/>
              <w:left w:type="dxa" w:w="100"/>
              <w:bottom w:type="dxa" w:w="60"/>
              <w:right w:type="dxa" w:w="100"/>
            </w:tcMar>
          </w:tcPr>
          <w:p>
            <w:pPr>
              <w:jc w:val="left"/>
            </w:pPr>
            <w:r>
              <w:rPr>
                <w:b w:val="false"/>
                <w:bCs w:val="false"/>
              </w:rPr>
              <w:t xml:space="preserve">Authentification JWT, rôles, notifications transverses</w:t>
            </w:r>
          </w:p>
        </w:tc>
        <w:tc>
          <w:tcPr>
            <w:tcW w:type="dxa" w:w="1700"/>
            <w:tcMar>
              <w:top w:type="dxa" w:w="60"/>
              <w:left w:type="dxa" w:w="100"/>
              <w:bottom w:type="dxa" w:w="60"/>
              <w:right w:type="dxa" w:w="100"/>
            </w:tcMar>
          </w:tcPr>
          <w:p>
            <w:pPr>
              <w:jc w:val="left"/>
            </w:pPr>
            <w:r>
              <w:rPr>
                <w:b w:val="false"/>
                <w:bCs w:val="false"/>
              </w:rPr>
              <w:t xml:space="preserve">Semaine 1</w:t>
            </w:r>
          </w:p>
        </w:tc>
      </w:tr>
      <w:tr>
        <w:tc>
          <w:tcPr>
            <w:tcW w:type="dxa" w:w="2600"/>
            <w:shd w:fill="f4f7fc" w:val="clear"/>
            <w:tcMar>
              <w:top w:type="dxa" w:w="60"/>
              <w:left w:type="dxa" w:w="100"/>
              <w:bottom w:type="dxa" w:w="60"/>
              <w:right w:type="dxa" w:w="100"/>
            </w:tcMar>
          </w:tcPr>
          <w:p>
            <w:pPr>
              <w:jc w:val="left"/>
            </w:pPr>
            <w:r>
              <w:rPr>
                <w:b w:val="false"/>
                <w:bCs w:val="false"/>
              </w:rPr>
              <w:t xml:space="preserve">Référentiel &amp; Catalogue</w:t>
            </w:r>
          </w:p>
        </w:tc>
        <w:tc>
          <w:tcPr>
            <w:tcW w:type="dxa" w:w="5200"/>
            <w:shd w:fill="f4f7fc" w:val="clear"/>
            <w:tcMar>
              <w:top w:type="dxa" w:w="60"/>
              <w:left w:type="dxa" w:w="100"/>
              <w:bottom w:type="dxa" w:w="60"/>
              <w:right w:type="dxa" w:w="100"/>
            </w:tcMar>
          </w:tcPr>
          <w:p>
            <w:pPr>
              <w:jc w:val="left"/>
            </w:pPr>
            <w:r>
              <w:rPr>
                <w:b w:val="0"/>
              </w:rPr>
              <w:t>Utilisateurs, organismes, articles, familles/produits/composants/nomenclature</w:t>
            </w:r>
          </w:p>
        </w:tc>
        <w:tc>
          <w:tcPr>
            <w:tcW w:type="dxa" w:w="1700"/>
            <w:shd w:fill="f4f7fc" w:val="clear"/>
            <w:tcMar>
              <w:top w:type="dxa" w:w="60"/>
              <w:left w:type="dxa" w:w="100"/>
              <w:bottom w:type="dxa" w:w="60"/>
              <w:right w:type="dxa" w:w="100"/>
            </w:tcMar>
          </w:tcPr>
          <w:p>
            <w:pPr>
              <w:jc w:val="left"/>
            </w:pPr>
            <w:r>
              <w:rPr>
                <w:b w:val="false"/>
                <w:bCs w:val="false"/>
              </w:rPr>
              <w:t xml:space="preserve">Semaines 2-3</w:t>
            </w:r>
          </w:p>
        </w:tc>
      </w:tr>
      <w:tr>
        <w:tc>
          <w:tcPr>
            <w:tcW w:type="dxa" w:w="2600"/>
            <w:tcMar>
              <w:top w:type="dxa" w:w="60"/>
              <w:left w:type="dxa" w:w="100"/>
              <w:bottom w:type="dxa" w:w="60"/>
              <w:right w:type="dxa" w:w="100"/>
            </w:tcMar>
          </w:tcPr>
          <w:p>
            <w:pPr>
              <w:jc w:val="left"/>
            </w:pPr>
            <w:r>
              <w:rPr>
                <w:b w:val="false"/>
                <w:bCs w:val="false"/>
              </w:rPr>
              <w:t xml:space="preserve">Devis &amp; Estimation</w:t>
            </w:r>
          </w:p>
        </w:tc>
        <w:tc>
          <w:tcPr>
            <w:tcW w:type="dxa" w:w="5200"/>
            <w:tcMar>
              <w:top w:type="dxa" w:w="60"/>
              <w:left w:type="dxa" w:w="100"/>
              <w:bottom w:type="dxa" w:w="60"/>
              <w:right w:type="dxa" w:w="100"/>
            </w:tcMar>
          </w:tcPr>
          <w:p>
            <w:pPr>
              <w:jc w:val="left"/>
            </w:pPr>
            <w:r>
              <w:rPr>
                <w:b w:val="false"/>
                <w:bCs w:val="false"/>
              </w:rPr>
              <w:t xml:space="preserve">Commandes, devis instanciés du catalogue, estimation IA, devis pluriannuel</w:t>
            </w:r>
          </w:p>
        </w:tc>
        <w:tc>
          <w:tcPr>
            <w:tcW w:type="dxa" w:w="1700"/>
            <w:tcMar>
              <w:top w:type="dxa" w:w="60"/>
              <w:left w:type="dxa" w:w="100"/>
              <w:bottom w:type="dxa" w:w="60"/>
              <w:right w:type="dxa" w:w="100"/>
            </w:tcMar>
          </w:tcPr>
          <w:p>
            <w:pPr>
              <w:jc w:val="left"/>
            </w:pPr>
            <w:r>
              <w:rPr>
                <w:b w:val="false"/>
                <w:bCs w:val="false"/>
              </w:rPr>
              <w:t xml:space="preserve">Semaines 4-5</w:t>
            </w:r>
          </w:p>
        </w:tc>
      </w:tr>
      <w:tr>
        <w:tc>
          <w:tcPr>
            <w:tcW w:type="dxa" w:w="2600"/>
            <w:shd w:fill="f4f7fc" w:val="clear"/>
            <w:tcMar>
              <w:top w:type="dxa" w:w="60"/>
              <w:left w:type="dxa" w:w="100"/>
              <w:bottom w:type="dxa" w:w="60"/>
              <w:right w:type="dxa" w:w="100"/>
            </w:tcMar>
          </w:tcPr>
          <w:p>
            <w:pPr>
              <w:jc w:val="left"/>
            </w:pPr>
            <w:r>
              <w:rPr>
                <w:b w:val="false"/>
                <w:bCs w:val="false"/>
              </w:rPr>
              <w:t xml:space="preserve">Production &amp; Stock</w:t>
            </w:r>
          </w:p>
        </w:tc>
        <w:tc>
          <w:tcPr>
            <w:tcW w:type="dxa" w:w="5200"/>
            <w:shd w:fill="f4f7fc" w:val="clear"/>
            <w:tcMar>
              <w:top w:type="dxa" w:w="60"/>
              <w:left w:type="dxa" w:w="100"/>
              <w:bottom w:type="dxa" w:w="60"/>
              <w:right w:type="dxa" w:w="100"/>
            </w:tcMar>
          </w:tcPr>
          <w:p>
            <w:pPr>
              <w:jc w:val="left"/>
            </w:pPr>
            <w:r>
              <w:rPr>
                <w:b w:val="false"/>
                <w:bCs w:val="false"/>
              </w:rPr>
              <w:t xml:space="preserve">Ateliers, dossiers de fabrication, étapes, mouvements de stock</w:t>
            </w:r>
          </w:p>
        </w:tc>
        <w:tc>
          <w:tcPr>
            <w:tcW w:type="dxa" w:w="1700"/>
            <w:shd w:fill="f4f7fc" w:val="clear"/>
            <w:tcMar>
              <w:top w:type="dxa" w:w="60"/>
              <w:left w:type="dxa" w:w="100"/>
              <w:bottom w:type="dxa" w:w="60"/>
              <w:right w:type="dxa" w:w="100"/>
            </w:tcMar>
          </w:tcPr>
          <w:p>
            <w:pPr>
              <w:jc w:val="left"/>
            </w:pPr>
            <w:r>
              <w:rPr>
                <w:b w:val="false"/>
                <w:bCs w:val="false"/>
              </w:rPr>
              <w:t xml:space="preserve">Semaines 6-7</w:t>
            </w:r>
          </w:p>
        </w:tc>
      </w:tr>
      <w:tr>
        <w:tc>
          <w:tcPr>
            <w:tcW w:type="dxa" w:w="2600"/>
            <w:tcMar>
              <w:top w:type="dxa" w:w="60"/>
              <w:left w:type="dxa" w:w="100"/>
              <w:bottom w:type="dxa" w:w="60"/>
              <w:right w:type="dxa" w:w="100"/>
            </w:tcMar>
          </w:tcPr>
          <w:p>
            <w:pPr>
              <w:jc w:val="left"/>
            </w:pPr>
            <w:r>
              <w:rPr>
                <w:b w:val="false"/>
                <w:bCs w:val="false"/>
              </w:rPr>
              <w:t xml:space="preserve">Contrôle &amp; Facturation</w:t>
            </w:r>
          </w:p>
        </w:tc>
        <w:tc>
          <w:tcPr>
            <w:tcW w:type="dxa" w:w="5200"/>
            <w:tcMar>
              <w:top w:type="dxa" w:w="60"/>
              <w:left w:type="dxa" w:w="100"/>
              <w:bottom w:type="dxa" w:w="60"/>
              <w:right w:type="dxa" w:w="100"/>
            </w:tcMar>
          </w:tcPr>
          <w:p>
            <w:pPr>
              <w:jc w:val="left"/>
            </w:pPr>
            <w:r>
              <w:rPr>
                <w:b w:val="false"/>
                <w:bCs w:val="false"/>
              </w:rPr>
              <w:t xml:space="preserve">Contrôle du prix de revient par composant, factures proforma/définitive</w:t>
            </w:r>
          </w:p>
        </w:tc>
        <w:tc>
          <w:tcPr>
            <w:tcW w:type="dxa" w:w="1700"/>
            <w:tcMar>
              <w:top w:type="dxa" w:w="60"/>
              <w:left w:type="dxa" w:w="100"/>
              <w:bottom w:type="dxa" w:w="60"/>
              <w:right w:type="dxa" w:w="100"/>
            </w:tcMar>
          </w:tcPr>
          <w:p>
            <w:pPr>
              <w:jc w:val="left"/>
            </w:pPr>
            <w:r>
              <w:rPr>
                <w:b w:val="false"/>
                <w:bCs w:val="false"/>
              </w:rPr>
              <w:t xml:space="preserve">Semaine 8</w:t>
            </w:r>
          </w:p>
        </w:tc>
      </w:tr>
      <w:tr>
        <w:tc>
          <w:tcPr>
            <w:tcW w:type="dxa" w:w="2600"/>
            <w:shd w:fill="f4f7fc" w:val="clear"/>
            <w:tcMar>
              <w:top w:type="dxa" w:w="60"/>
              <w:left w:type="dxa" w:w="100"/>
              <w:bottom w:type="dxa" w:w="60"/>
              <w:right w:type="dxa" w:w="100"/>
            </w:tcMar>
          </w:tcPr>
          <w:p>
            <w:pPr>
              <w:jc w:val="left"/>
            </w:pPr>
            <w:r>
              <w:rPr>
                <w:b w:val="false"/>
                <w:bCs w:val="false"/>
              </w:rPr>
              <w:t xml:space="preserve">Tableau de bord &amp; intégration</w:t>
            </w:r>
          </w:p>
        </w:tc>
        <w:tc>
          <w:tcPr>
            <w:tcW w:type="dxa" w:w="5200"/>
            <w:shd w:fill="f4f7fc" w:val="clear"/>
            <w:tcMar>
              <w:top w:type="dxa" w:w="60"/>
              <w:left w:type="dxa" w:w="100"/>
              <w:bottom w:type="dxa" w:w="60"/>
              <w:right w:type="dxa" w:w="100"/>
            </w:tcMar>
          </w:tcPr>
          <w:p>
            <w:pPr>
              <w:jc w:val="left"/>
            </w:pPr>
            <w:r>
              <w:rPr>
                <w:b w:val="false"/>
                <w:bCs w:val="false"/>
              </w:rPr>
              <w:t xml:space="preserve">Vue de rentabilité consolidée, tests d'intégration inter-contextes</w:t>
            </w:r>
          </w:p>
        </w:tc>
        <w:tc>
          <w:tcPr>
            <w:tcW w:type="dxa" w:w="1700"/>
            <w:shd w:fill="f4f7fc" w:val="clear"/>
            <w:tcMar>
              <w:top w:type="dxa" w:w="60"/>
              <w:left w:type="dxa" w:w="100"/>
              <w:bottom w:type="dxa" w:w="60"/>
              <w:right w:type="dxa" w:w="100"/>
            </w:tcMar>
          </w:tcPr>
          <w:p>
            <w:pPr>
              <w:jc w:val="left"/>
            </w:pPr>
            <w:r>
              <w:rPr>
                <w:b w:val="false"/>
                <w:bCs w:val="false"/>
              </w:rPr>
              <w:t xml:space="preserve">Semaines 9-10</w:t>
            </w:r>
          </w:p>
        </w:tc>
      </w:tr>
      <w:tr>
        <w:tc>
          <w:tcPr>
            <w:tcW w:type="dxa" w:w="2600"/>
            <w:tcMar>
              <w:top w:type="dxa" w:w="60"/>
              <w:left w:type="dxa" w:w="100"/>
              <w:bottom w:type="dxa" w:w="60"/>
              <w:right w:type="dxa" w:w="100"/>
            </w:tcMar>
          </w:tcPr>
          <w:p>
            <w:pPr>
              <w:jc w:val="left"/>
            </w:pPr>
            <w:r>
              <w:rPr>
                <w:b w:val="false"/>
                <w:bCs w:val="false"/>
              </w:rPr>
              <w:t xml:space="preserve">Gestion des scénarios de calcul (UC-12)</w:t>
            </w:r>
          </w:p>
        </w:tc>
        <w:tc>
          <w:tcPr>
            <w:tcW w:type="dxa" w:w="5200"/>
            <w:tcMar>
              <w:top w:type="dxa" w:w="60"/>
              <w:left w:type="dxa" w:w="100"/>
              <w:bottom w:type="dxa" w:w="60"/>
              <w:right w:type="dxa" w:w="100"/>
            </w:tcMar>
          </w:tcPr>
          <w:p>
            <w:pPr>
              <w:jc w:val="left"/>
            </w:pPr>
            <w:r>
              <w:rPr>
                <w:b w:val="false"/>
                <w:bCs w:val="false"/>
              </w:rPr>
              <w:t xml:space="preserve">Non planifiée dans cette itération — spécification à approfondir avec le STI</w:t>
            </w:r>
          </w:p>
        </w:tc>
        <w:tc>
          <w:tcPr>
            <w:tcW w:type="dxa" w:w="1700"/>
            <w:tcMar>
              <w:top w:type="dxa" w:w="60"/>
              <w:left w:type="dxa" w:w="100"/>
              <w:bottom w:type="dxa" w:w="60"/>
              <w:right w:type="dxa" w:w="100"/>
            </w:tcMar>
          </w:tcPr>
          <w:p>
            <w:pPr>
              <w:jc w:val="left"/>
            </w:pPr>
            <w:r>
              <w:rPr>
                <w:b w:val="false"/>
                <w:bCs w:val="false"/>
              </w:rPr>
              <w:t xml:space="preserve">Reporté</w:t>
            </w:r>
          </w:p>
        </w:tc>
      </w:tr>
    </w:tbl>
    <w:p>
      <w:pPr>
        <w:pStyle w:val="Heading1"/>
        <w:spacing w:after="200" w:before="400"/>
      </w:pPr>
      <w:r>
        <w:rPr>
          <w:b/>
          <w:bCs/>
        </w:rPr>
        <w:t xml:space="preserve">5.5  Dictionnaire des données</w:t>
      </w:r>
    </w:p>
    <w:p>
      <w:pPr>
        <w:spacing w:after="160"/>
      </w:pPr>
      <w:r>
        <w:t>Le tableau 5.5 présente une synthèse des vingt-quatre entités du domaine, organisées par bounded context (section 5.8) — LigneDevis a été rétablie par rapport à une itération antérieure de ce chapitre, sa disparition ayant privé la RG28 de son support prévisionnel granulaire (section 5.7), OptionDevis / ExecutionOperation ont été ajoutées suite à une seconde clarification du STI sur le processus devis-fabrication-contrôle, et LigneMatiereDevis / LigneOperationDevis complètent LigneDevis par le détail matière/opération que le STI attendait explicitement. Il en reprend désormais l'intégralité des attributs, conformément au modèle conceptuel complet (figure 5.2) et aux diagrammes de classes par contexte borné (section 5.8), ainsi que la règle de gestion principale associée à chaque entité.</w:t>
      </w:r>
    </w:p>
    <w:p>
      <w:pPr>
        <w:spacing w:after="300" w:before="100"/>
        <w:jc w:val="center"/>
      </w:pPr>
      <w:r>
        <w:rPr>
          <w:b/>
          <w:bCs/>
          <w:i/>
          <w:iCs/>
          <w:sz w:val="20"/>
          <w:szCs w:val="20"/>
        </w:rPr>
        <w:t xml:space="preserve">Tableau 5.5 : Dictionnaire des données — synthèse par entité</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4200"/>
      </w:tblGrid>
      <w:tr>
        <w:trPr>
          <w:tblHeader/>
        </w:trPr>
        <w:tc>
          <w:tcPr>
            <w:tcW w:type="dxa" w:w="2400"/>
            <w:shd w:fill="dfe6f5" w:val="clear"/>
            <w:tcMar>
              <w:top w:type="dxa" w:w="60"/>
              <w:left w:type="dxa" w:w="100"/>
              <w:bottom w:type="dxa" w:w="60"/>
              <w:right w:type="dxa" w:w="100"/>
            </w:tcMar>
          </w:tcPr>
          <w:p>
            <w:pPr>
              <w:jc w:val="left"/>
            </w:pPr>
            <w:r>
              <w:rPr>
                <w:b/>
                <w:bCs/>
              </w:rPr>
              <w:t xml:space="preserve">Entité</w:t>
            </w:r>
          </w:p>
        </w:tc>
        <w:tc>
          <w:tcPr>
            <w:tcW w:type="dxa" w:w="3600"/>
            <w:shd w:fill="dfe6f5" w:val="clear"/>
            <w:tcMar>
              <w:top w:type="dxa" w:w="60"/>
              <w:left w:type="dxa" w:w="100"/>
              <w:bottom w:type="dxa" w:w="60"/>
              <w:right w:type="dxa" w:w="100"/>
            </w:tcMar>
          </w:tcPr>
          <w:p>
            <w:pPr>
              <w:jc w:val="left"/>
            </w:pPr>
            <w:r>
              <w:rPr>
                <w:b/>
                <w:bCs/>
              </w:rPr>
              <w:t xml:space="preserve">Attributs clés</w:t>
            </w:r>
          </w:p>
        </w:tc>
        <w:tc>
          <w:tcPr>
            <w:tcW w:type="dxa" w:w="4200"/>
            <w:shd w:fill="dfe6f5" w:val="clear"/>
            <w:tcMar>
              <w:top w:type="dxa" w:w="60"/>
              <w:left w:type="dxa" w:w="100"/>
              <w:bottom w:type="dxa" w:w="60"/>
              <w:right w:type="dxa" w:w="100"/>
            </w:tcMar>
          </w:tcPr>
          <w:p>
            <w:pPr>
              <w:jc w:val="left"/>
            </w:pPr>
            <w:r>
              <w:rPr>
                <w:b/>
                <w:bCs/>
              </w:rPr>
              <w:t xml:space="preserve">Bounded context — règle de gestion principale</w:t>
            </w:r>
          </w:p>
        </w:tc>
      </w:tr>
      <w:tr>
        <w:tc>
          <w:tcPr>
            <w:tcW w:type="dxa" w:w="2400"/>
            <w:tcMar>
              <w:top w:type="dxa" w:w="60"/>
              <w:left w:type="dxa" w:w="100"/>
              <w:bottom w:type="dxa" w:w="60"/>
              <w:right w:type="dxa" w:w="100"/>
            </w:tcMar>
          </w:tcPr>
          <w:p>
            <w:pPr>
              <w:jc w:val="left"/>
            </w:pPr>
            <w:r>
              <w:rPr>
                <w:b w:val="0"/>
              </w:rPr>
              <w:t>Utilisateur</w:t>
            </w:r>
          </w:p>
        </w:tc>
        <w:tc>
          <w:tcPr>
            <w:tcW w:type="dxa" w:w="3600"/>
            <w:tcMar>
              <w:top w:type="dxa" w:w="60"/>
              <w:left w:type="dxa" w:w="100"/>
              <w:bottom w:type="dxa" w:w="60"/>
              <w:right w:type="dxa" w:w="100"/>
            </w:tcMar>
          </w:tcPr>
          <w:p>
            <w:pPr>
              <w:jc w:val="left"/>
            </w:pPr>
            <w:r>
              <w:rPr>
                <w:b w:val="0"/>
              </w:rPr>
              <w:t>id, username, password (hachage), nom, prenom, email, telephone, role, photo, actif, date_creation, derniere_connexion</w:t>
            </w:r>
          </w:p>
        </w:tc>
        <w:tc>
          <w:tcPr>
            <w:tcW w:type="dxa" w:w="4200"/>
            <w:tcMar>
              <w:top w:type="dxa" w:w="60"/>
              <w:left w:type="dxa" w:w="100"/>
              <w:bottom w:type="dxa" w:w="60"/>
              <w:right w:type="dxa" w:w="100"/>
            </w:tcMar>
          </w:tcPr>
          <w:p>
            <w:pPr>
              <w:jc w:val="left"/>
            </w:pPr>
            <w:r>
              <w:rPr>
                <w:b w:val="0"/>
              </w:rPr>
              <w:t>BC1 / BC5 — un seul rôle par utilisateur (RG14)</w:t>
            </w:r>
          </w:p>
        </w:tc>
      </w:tr>
      <w:tr>
        <w:tc>
          <w:tcPr>
            <w:tcW w:type="dxa" w:w="2400"/>
            <w:shd w:fill="f4f7fc" w:val="clear"/>
            <w:tcMar>
              <w:top w:type="dxa" w:w="60"/>
              <w:left w:type="dxa" w:w="100"/>
              <w:bottom w:type="dxa" w:w="60"/>
              <w:right w:type="dxa" w:w="100"/>
            </w:tcMar>
          </w:tcPr>
          <w:p>
            <w:pPr>
              <w:jc w:val="left"/>
            </w:pPr>
            <w:r>
              <w:rPr>
                <w:b w:val="0"/>
              </w:rPr>
              <w:t>OrganismeClient</w:t>
            </w:r>
          </w:p>
        </w:tc>
        <w:tc>
          <w:tcPr>
            <w:tcW w:type="dxa" w:w="3600"/>
            <w:shd w:fill="f4f7fc" w:val="clear"/>
            <w:tcMar>
              <w:top w:type="dxa" w:w="60"/>
              <w:left w:type="dxa" w:w="100"/>
              <w:bottom w:type="dxa" w:w="60"/>
              <w:right w:type="dxa" w:w="100"/>
            </w:tcMar>
          </w:tcPr>
          <w:p>
            <w:pPr>
              <w:jc w:val="left"/>
            </w:pPr>
            <w:r>
              <w:rPr>
                <w:b w:val="0"/>
              </w:rPr>
              <w:t>id, nom, type (PUBLIC/PRIVE/PARTICULIER), nif_stat, adresse, telephone, email, contact_principal, date_creation</w:t>
            </w:r>
          </w:p>
        </w:tc>
        <w:tc>
          <w:tcPr>
            <w:tcW w:type="dxa" w:w="4200"/>
            <w:shd w:fill="f4f7fc" w:val="clear"/>
            <w:tcMar>
              <w:top w:type="dxa" w:w="60"/>
              <w:left w:type="dxa" w:w="100"/>
              <w:bottom w:type="dxa" w:w="60"/>
              <w:right w:type="dxa" w:w="100"/>
            </w:tcMar>
          </w:tcPr>
          <w:p>
            <w:pPr>
              <w:jc w:val="left"/>
            </w:pPr>
            <w:r>
              <w:rPr>
                <w:b w:val="0"/>
              </w:rPr>
              <w:t>BC1 — à l'origine d'une commande (RG1)</w:t>
            </w:r>
          </w:p>
        </w:tc>
      </w:tr>
      <w:tr>
        <w:tc>
          <w:tcPr>
            <w:tcW w:type="dxa" w:w="2400"/>
            <w:tcMar>
              <w:top w:type="dxa" w:w="60"/>
              <w:left w:type="dxa" w:w="100"/>
              <w:bottom w:type="dxa" w:w="60"/>
              <w:right w:type="dxa" w:w="100"/>
            </w:tcMar>
          </w:tcPr>
          <w:p>
            <w:pPr>
              <w:jc w:val="left"/>
            </w:pPr>
            <w:r>
              <w:rPr>
                <w:b w:val="0"/>
              </w:rPr>
              <w:t>Article</w:t>
            </w:r>
          </w:p>
        </w:tc>
        <w:tc>
          <w:tcPr>
            <w:tcW w:type="dxa" w:w="3600"/>
            <w:tcMar>
              <w:top w:type="dxa" w:w="60"/>
              <w:left w:type="dxa" w:w="100"/>
              <w:bottom w:type="dxa" w:w="60"/>
              <w:right w:type="dxa" w:w="100"/>
            </w:tcMar>
          </w:tcPr>
          <w:p>
            <w:pPr>
              <w:jc w:val="left"/>
            </w:pPr>
            <w:r>
              <w:rPr>
                <w:b w:val="0"/>
              </w:rPr>
              <w:t>id, code_article, designation, classe_comptable, unite_mesure, quantite_stock, seuil_securite, emplacement_stock*, prix_unitaire_moyen, actif, date_creation</w:t>
            </w:r>
          </w:p>
        </w:tc>
        <w:tc>
          <w:tcPr>
            <w:tcW w:type="dxa" w:w="4200"/>
            <w:tcMar>
              <w:top w:type="dxa" w:w="60"/>
              <w:left w:type="dxa" w:w="100"/>
              <w:bottom w:type="dxa" w:w="60"/>
              <w:right w:type="dxa" w:w="100"/>
            </w:tcMar>
          </w:tcPr>
          <w:p>
            <w:pPr>
              <w:jc w:val="left"/>
            </w:pPr>
            <w:r>
              <w:rPr>
                <w:b w:val="0"/>
              </w:rPr>
              <w:t>BC1 — référentiel de stock existant (RG32)</w:t>
            </w:r>
          </w:p>
        </w:tc>
      </w:tr>
      <w:tr>
        <w:tc>
          <w:tcPr>
            <w:tcW w:type="dxa" w:w="2400"/>
            <w:shd w:fill="f4f7fc" w:val="clear"/>
            <w:tcMar>
              <w:top w:type="dxa" w:w="60"/>
              <w:left w:type="dxa" w:w="100"/>
              <w:bottom w:type="dxa" w:w="60"/>
              <w:right w:type="dxa" w:w="100"/>
            </w:tcMar>
          </w:tcPr>
          <w:p>
            <w:pPr>
              <w:jc w:val="left"/>
            </w:pPr>
            <w:r>
              <w:rPr>
                <w:b w:val="0"/>
              </w:rPr>
              <w:t>● FamilleProduit</w:t>
            </w:r>
          </w:p>
        </w:tc>
        <w:tc>
          <w:tcPr>
            <w:tcW w:type="dxa" w:w="3600"/>
            <w:shd w:fill="f4f7fc" w:val="clear"/>
            <w:tcMar>
              <w:top w:type="dxa" w:w="60"/>
              <w:left w:type="dxa" w:w="100"/>
              <w:bottom w:type="dxa" w:w="60"/>
              <w:right w:type="dxa" w:w="100"/>
            </w:tcMar>
          </w:tcPr>
          <w:p>
            <w:pPr>
              <w:jc w:val="left"/>
            </w:pPr>
            <w:r>
              <w:rPr>
                <w:b w:val="0"/>
              </w:rPr>
              <w:t>id, nom, structure_type, description, actif, date_creation</w:t>
            </w:r>
          </w:p>
        </w:tc>
        <w:tc>
          <w:tcPr>
            <w:tcW w:type="dxa" w:w="4200"/>
            <w:shd w:fill="f4f7fc" w:val="clear"/>
            <w:tcMar>
              <w:top w:type="dxa" w:w="60"/>
              <w:left w:type="dxa" w:w="100"/>
              <w:bottom w:type="dxa" w:w="60"/>
              <w:right w:type="dxa" w:w="100"/>
            </w:tcMar>
          </w:tcPr>
          <w:p>
            <w:pPr>
              <w:jc w:val="left"/>
            </w:pPr>
            <w:r>
              <w:rPr>
                <w:b w:val="0"/>
              </w:rPr>
              <w:t>BC1 — détermine la décomposition (RG25)</w:t>
            </w:r>
          </w:p>
        </w:tc>
      </w:tr>
      <w:tr>
        <w:tc>
          <w:tcPr>
            <w:tcW w:type="dxa" w:w="2400"/>
            <w:tcMar>
              <w:top w:type="dxa" w:w="60"/>
              <w:left w:type="dxa" w:w="100"/>
              <w:bottom w:type="dxa" w:w="60"/>
              <w:right w:type="dxa" w:w="100"/>
            </w:tcMar>
          </w:tcPr>
          <w:p>
            <w:pPr>
              <w:jc w:val="left"/>
            </w:pPr>
            <w:r>
              <w:rPr>
                <w:b w:val="0"/>
              </w:rPr>
              <w:t>● Produit</w:t>
            </w:r>
          </w:p>
        </w:tc>
        <w:tc>
          <w:tcPr>
            <w:tcW w:type="dxa" w:w="3600"/>
            <w:tcMar>
              <w:top w:type="dxa" w:w="60"/>
              <w:left w:type="dxa" w:w="100"/>
              <w:bottom w:type="dxa" w:w="60"/>
              <w:right w:type="dxa" w:w="100"/>
            </w:tcMar>
          </w:tcPr>
          <w:p>
            <w:pPr>
              <w:jc w:val="left"/>
            </w:pPr>
            <w:r>
              <w:rPr>
                <w:b w:val="0"/>
              </w:rPr>
              <w:t>id, id_famille, reference, nom, description, actif, marge_min, marge_max, date_creation, date_maj</w:t>
            </w:r>
          </w:p>
        </w:tc>
        <w:tc>
          <w:tcPr>
            <w:tcW w:type="dxa" w:w="4200"/>
            <w:tcMar>
              <w:top w:type="dxa" w:w="60"/>
              <w:left w:type="dxa" w:w="100"/>
              <w:bottom w:type="dxa" w:w="60"/>
              <w:right w:type="dxa" w:w="100"/>
            </w:tcMar>
          </w:tcPr>
          <w:p>
            <w:pPr>
              <w:jc w:val="left"/>
            </w:pPr>
            <w:r>
              <w:rPr>
                <w:b w:val="0"/>
              </w:rPr>
              <w:t>BC1 — modèle instancié par un devis (RG27), fourchette de marge acceptable (RG36)</w:t>
            </w:r>
          </w:p>
        </w:tc>
      </w:tr>
      <w:tr>
        <w:tc>
          <w:tcPr>
            <w:tcW w:type="dxa" w:w="2400"/>
            <w:shd w:fill="f4f7fc" w:val="clear"/>
            <w:tcMar>
              <w:top w:type="dxa" w:w="60"/>
              <w:left w:type="dxa" w:w="100"/>
              <w:bottom w:type="dxa" w:w="60"/>
              <w:right w:type="dxa" w:w="100"/>
            </w:tcMar>
          </w:tcPr>
          <w:p>
            <w:pPr>
              <w:jc w:val="left"/>
            </w:pPr>
            <w:r>
              <w:rPr>
                <w:b w:val="0"/>
              </w:rPr>
              <w:t>● Composant</w:t>
            </w:r>
          </w:p>
        </w:tc>
        <w:tc>
          <w:tcPr>
            <w:tcW w:type="dxa" w:w="3600"/>
            <w:shd w:fill="f4f7fc" w:val="clear"/>
            <w:tcMar>
              <w:top w:type="dxa" w:w="60"/>
              <w:left w:type="dxa" w:w="100"/>
              <w:bottom w:type="dxa" w:w="60"/>
              <w:right w:type="dxa" w:w="100"/>
            </w:tcMar>
          </w:tcPr>
          <w:p>
            <w:pPr>
              <w:jc w:val="left"/>
            </w:pPr>
            <w:r>
              <w:rPr>
                <w:b w:val="0"/>
              </w:rPr>
              <w:t>id, id_produit, ordre, designation, description, date_creation</w:t>
            </w:r>
          </w:p>
        </w:tc>
        <w:tc>
          <w:tcPr>
            <w:tcW w:type="dxa" w:w="4200"/>
            <w:shd w:fill="f4f7fc" w:val="clear"/>
            <w:tcMar>
              <w:top w:type="dxa" w:w="60"/>
              <w:left w:type="dxa" w:w="100"/>
              <w:bottom w:type="dxa" w:w="60"/>
              <w:right w:type="dxa" w:w="100"/>
            </w:tcMar>
          </w:tcPr>
          <w:p>
            <w:pPr>
              <w:jc w:val="left"/>
            </w:pPr>
            <w:r>
              <w:rPr>
                <w:b w:val="0"/>
              </w:rPr>
              <w:t>BC1 — numéroté 1..N (RG26)</w:t>
            </w:r>
          </w:p>
        </w:tc>
      </w:tr>
      <w:tr>
        <w:tc>
          <w:tcPr>
            <w:tcW w:type="dxa" w:w="2400"/>
            <w:tcMar>
              <w:top w:type="dxa" w:w="60"/>
              <w:left w:type="dxa" w:w="100"/>
              <w:bottom w:type="dxa" w:w="60"/>
              <w:right w:type="dxa" w:w="100"/>
            </w:tcMar>
          </w:tcPr>
          <w:p>
            <w:pPr>
              <w:jc w:val="left"/>
            </w:pPr>
            <w:r>
              <w:rPr>
                <w:b w:val="0"/>
              </w:rPr>
              <w:t>● LigneMatierePremiere</w:t>
            </w:r>
          </w:p>
        </w:tc>
        <w:tc>
          <w:tcPr>
            <w:tcW w:type="dxa" w:w="3600"/>
            <w:tcMar>
              <w:top w:type="dxa" w:w="60"/>
              <w:left w:type="dxa" w:w="100"/>
              <w:bottom w:type="dxa" w:w="60"/>
              <w:right w:type="dxa" w:w="100"/>
            </w:tcMar>
          </w:tcPr>
          <w:p>
            <w:pPr>
              <w:jc w:val="left"/>
            </w:pPr>
            <w:r>
              <w:rPr>
                <w:b w:val="0"/>
              </w:rPr>
              <w:t>id, id_composant, id_article, quantite_unitaire, unite, type_charge (FIXE/VARIABLE), commentaire</w:t>
            </w:r>
          </w:p>
        </w:tc>
        <w:tc>
          <w:tcPr>
            <w:tcW w:type="dxa" w:w="4200"/>
            <w:tcMar>
              <w:top w:type="dxa" w:w="60"/>
              <w:left w:type="dxa" w:w="100"/>
              <w:bottom w:type="dxa" w:w="60"/>
              <w:right w:type="dxa" w:w="100"/>
            </w:tcMar>
          </w:tcPr>
          <w:p>
            <w:pPr>
              <w:jc w:val="left"/>
            </w:pPr>
            <w:r>
              <w:rPr>
                <w:b w:val="0"/>
              </w:rPr>
              <w:t>BC1 — nomenclature du composant (RG29)</w:t>
            </w:r>
          </w:p>
        </w:tc>
      </w:tr>
      <w:tr>
        <w:tc>
          <w:tcPr>
            <w:tcW w:type="dxa" w:w="2400"/>
            <w:shd w:fill="f4f7fc" w:val="clear"/>
            <w:tcMar>
              <w:top w:type="dxa" w:w="60"/>
              <w:left w:type="dxa" w:w="100"/>
              <w:bottom w:type="dxa" w:w="60"/>
              <w:right w:type="dxa" w:w="100"/>
            </w:tcMar>
          </w:tcPr>
          <w:p>
            <w:pPr>
              <w:jc w:val="left"/>
            </w:pPr>
            <w:r>
              <w:rPr>
                <w:b w:val="0"/>
              </w:rPr>
              <w:t>● LigneOperation</w:t>
            </w:r>
          </w:p>
        </w:tc>
        <w:tc>
          <w:tcPr>
            <w:tcW w:type="dxa" w:w="3600"/>
            <w:shd w:fill="f4f7fc" w:val="clear"/>
            <w:tcMar>
              <w:top w:type="dxa" w:w="60"/>
              <w:left w:type="dxa" w:w="100"/>
              <w:bottom w:type="dxa" w:w="60"/>
              <w:right w:type="dxa" w:w="100"/>
            </w:tcMar>
          </w:tcPr>
          <w:p>
            <w:pPr>
              <w:jc w:val="left"/>
            </w:pPr>
            <w:r>
              <w:rPr>
                <w:b w:val="0"/>
              </w:rPr>
              <w:t>id, id_composant, id_poste, libelle, ordre_execution, temps_unitaire, unite_temps, type_charge (FIXE/VARIABLE), commentaire</w:t>
            </w:r>
          </w:p>
        </w:tc>
        <w:tc>
          <w:tcPr>
            <w:tcW w:type="dxa" w:w="4200"/>
            <w:shd w:fill="f4f7fc" w:val="clear"/>
            <w:tcMar>
              <w:top w:type="dxa" w:w="60"/>
              <w:left w:type="dxa" w:w="100"/>
              <w:bottom w:type="dxa" w:w="60"/>
              <w:right w:type="dxa" w:w="100"/>
            </w:tcMar>
          </w:tcPr>
          <w:p>
            <w:pPr>
              <w:jc w:val="left"/>
            </w:pPr>
            <w:r>
              <w:rPr>
                <w:b w:val="0"/>
              </w:rPr>
              <w:t>BC1 — gamme du composant (RG29)</w:t>
            </w:r>
          </w:p>
        </w:tc>
      </w:tr>
      <w:tr>
        <w:tc>
          <w:tcPr>
            <w:tcW w:type="dxa" w:w="2400"/>
            <w:tcMar>
              <w:top w:type="dxa" w:w="60"/>
              <w:left w:type="dxa" w:w="100"/>
              <w:bottom w:type="dxa" w:w="60"/>
              <w:right w:type="dxa" w:w="100"/>
            </w:tcMar>
          </w:tcPr>
          <w:p>
            <w:pPr>
              <w:jc w:val="left"/>
            </w:pPr>
            <w:r>
              <w:rPr>
                <w:b w:val="0"/>
              </w:rPr>
              <w:t>↻ PosteDeCharge (ex-Machine)</w:t>
            </w:r>
          </w:p>
        </w:tc>
        <w:tc>
          <w:tcPr>
            <w:tcW w:type="dxa" w:w="3600"/>
            <w:tcMar>
              <w:top w:type="dxa" w:w="60"/>
              <w:left w:type="dxa" w:w="100"/>
              <w:bottom w:type="dxa" w:w="60"/>
              <w:right w:type="dxa" w:w="100"/>
            </w:tcMar>
          </w:tcPr>
          <w:p>
            <w:pPr>
              <w:jc w:val="left"/>
            </w:pPr>
            <w:r>
              <w:rPr>
                <w:b w:val="0"/>
              </w:rPr>
              <w:t>id, nom, type_poste (MACHINE/MANUEL), cout_horaire, capacite_horaire, id_atelier, actif</w:t>
            </w:r>
          </w:p>
        </w:tc>
        <w:tc>
          <w:tcPr>
            <w:tcW w:type="dxa" w:w="4200"/>
            <w:tcMar>
              <w:top w:type="dxa" w:w="60"/>
              <w:left w:type="dxa" w:w="100"/>
              <w:bottom w:type="dxa" w:w="60"/>
              <w:right w:type="dxa" w:w="100"/>
            </w:tcMar>
          </w:tcPr>
          <w:p>
            <w:pPr>
              <w:jc w:val="left"/>
            </w:pPr>
            <w:r>
              <w:rPr>
                <w:b w:val="0"/>
              </w:rPr>
              <w:t>BC1 — poste de production automatisé ou manuel (RG31)</w:t>
            </w:r>
          </w:p>
        </w:tc>
      </w:tr>
      <w:tr>
        <w:tc>
          <w:tcPr>
            <w:tcW w:type="dxa" w:w="2400"/>
            <w:shd w:fill="f4f7fc" w:val="clear"/>
            <w:tcMar>
              <w:top w:type="dxa" w:w="60"/>
              <w:left w:type="dxa" w:w="100"/>
              <w:bottom w:type="dxa" w:w="60"/>
              <w:right w:type="dxa" w:w="100"/>
            </w:tcMar>
          </w:tcPr>
          <w:p>
            <w:pPr>
              <w:jc w:val="left"/>
            </w:pPr>
            <w:r>
              <w:rPr>
                <w:b w:val="0"/>
              </w:rPr>
              <w:t>Commande</w:t>
            </w:r>
          </w:p>
        </w:tc>
        <w:tc>
          <w:tcPr>
            <w:tcW w:type="dxa" w:w="3600"/>
            <w:shd w:fill="f4f7fc" w:val="clear"/>
            <w:tcMar>
              <w:top w:type="dxa" w:w="60"/>
              <w:left w:type="dxa" w:w="100"/>
              <w:bottom w:type="dxa" w:w="60"/>
              <w:right w:type="dxa" w:w="100"/>
            </w:tcMar>
          </w:tcPr>
          <w:p>
            <w:pPr>
              <w:jc w:val="left"/>
            </w:pPr>
            <w:r>
              <w:rPr>
                <w:b w:val="0"/>
              </w:rPr>
              <w:t>id, numero, id_organisme_client, id_agent_sdo, statut, nature, quantite, delai_contractuel, date_creation, date_livraison_souhaitee</w:t>
            </w:r>
          </w:p>
        </w:tc>
        <w:tc>
          <w:tcPr>
            <w:tcW w:type="dxa" w:w="4200"/>
            <w:shd w:fill="f4f7fc" w:val="clear"/>
            <w:tcMar>
              <w:top w:type="dxa" w:w="60"/>
              <w:left w:type="dxa" w:w="100"/>
              <w:bottom w:type="dxa" w:w="60"/>
              <w:right w:type="dxa" w:w="100"/>
            </w:tcMar>
          </w:tcPr>
          <w:p>
            <w:pPr>
              <w:jc w:val="left"/>
            </w:pPr>
            <w:r>
              <w:rPr>
                <w:b w:val="0"/>
              </w:rPr>
              <w:t>BC2 — délai obligatoire si non particulier (RG19), rattachée à un seul organisme (RG1)</w:t>
            </w:r>
          </w:p>
        </w:tc>
      </w:tr>
      <w:tr>
        <w:tc>
          <w:tcPr>
            <w:tcW w:type="dxa" w:w="2400"/>
            <w:tcMar>
              <w:top w:type="dxa" w:w="60"/>
              <w:left w:type="dxa" w:w="100"/>
              <w:bottom w:type="dxa" w:w="60"/>
              <w:right w:type="dxa" w:w="100"/>
            </w:tcMar>
          </w:tcPr>
          <w:p>
            <w:pPr>
              <w:jc w:val="left"/>
            </w:pPr>
            <w:r>
              <w:rPr>
                <w:b w:val="0"/>
              </w:rPr>
              <w:t>Devis</w:t>
            </w:r>
          </w:p>
        </w:tc>
        <w:tc>
          <w:tcPr>
            <w:tcW w:type="dxa" w:w="3600"/>
            <w:tcMar>
              <w:top w:type="dxa" w:w="60"/>
              <w:left w:type="dxa" w:w="100"/>
              <w:bottom w:type="dxa" w:w="60"/>
              <w:right w:type="dxa" w:w="100"/>
            </w:tcMar>
          </w:tcPr>
          <w:p>
            <w:pPr>
              <w:jc w:val="left"/>
            </w:pPr>
            <w:r>
              <w:rPr>
                <w:b w:val="0"/>
              </w:rPr>
              <w:t>id, id_commande, id_produit_catalogue, statut (BROUILLON/VALIDE), prix_revient, prix_vente, pluriannuel, duree_contrat, taux_inflation_projete, date_creation, date_validation, id_agent_validateur</w:t>
            </w:r>
          </w:p>
        </w:tc>
        <w:tc>
          <w:tcPr>
            <w:tcW w:type="dxa" w:w="4200"/>
            <w:tcMar>
              <w:top w:type="dxa" w:w="60"/>
              <w:left w:type="dxa" w:w="100"/>
              <w:bottom w:type="dxa" w:w="60"/>
              <w:right w:type="dxa" w:w="100"/>
            </w:tcMar>
          </w:tcPr>
          <w:p>
            <w:pPr>
              <w:jc w:val="left"/>
            </w:pPr>
            <w:r>
              <w:rPr>
                <w:b w:val="0"/>
              </w:rPr>
              <w:t>BC2 — un devis par commande (RG2), instancie un produit (RG27), contrainte durée/taux si pluriannuel (RG22)</w:t>
            </w:r>
          </w:p>
        </w:tc>
      </w:tr>
      <w:tr>
        <w:tc>
          <w:tcPr>
            <w:tcW w:type="dxa" w:w="2400"/>
            <w:tcMar>
              <w:top w:type="dxa" w:w="60"/>
              <w:left w:type="dxa" w:w="100"/>
              <w:bottom w:type="dxa" w:w="60"/>
              <w:right w:type="dxa" w:w="100"/>
            </w:tcMar>
          </w:tcPr>
          <w:p>
            <w:pPr>
              <w:jc w:val="left"/>
            </w:pPr>
            <w:r>
              <w:rPr>
                <w:b w:val="0"/>
              </w:rPr>
              <w:t>↺ LigneDevis</w:t>
            </w:r>
          </w:p>
        </w:tc>
        <w:tc>
          <w:tcPr>
            <w:tcW w:type="dxa" w:w="3600"/>
            <w:tcMar>
              <w:top w:type="dxa" w:w="60"/>
              <w:left w:type="dxa" w:w="100"/>
              <w:bottom w:type="dxa" w:w="60"/>
              <w:right w:type="dxa" w:w="100"/>
            </w:tcMar>
          </w:tcPr>
          <w:p>
            <w:pPr>
              <w:jc w:val="left"/>
            </w:pPr>
            <w:r>
              <w:rPr>
                <w:b w:val="0"/>
              </w:rPr>
              <w:t>id, id_devis, id_composant, ordre, cout_matiere_estime (agrégé, calculé), cout_operation_estime (agrégé, calculé), part_fixe_amortie, part_variable, remarque</w:t>
            </w:r>
          </w:p>
        </w:tc>
        <w:tc>
          <w:tcPr>
            <w:tcW w:type="dxa" w:w="4200"/>
            <w:tcMar>
              <w:top w:type="dxa" w:w="60"/>
              <w:left w:type="dxa" w:w="100"/>
              <w:bottom w:type="dxa" w:w="60"/>
              <w:right w:type="dxa" w:w="100"/>
            </w:tcMar>
          </w:tcPr>
          <w:p>
            <w:pPr>
              <w:jc w:val="left"/>
            </w:pPr>
            <w:r>
              <w:rPr>
                <w:b w:val="0"/>
              </w:rPr>
              <w:t>BC2 — chiffrage prévisionnel par composant, support de comparaison de la RG28 ; la remarque prévaut sur le catalogue en cas d'écart (RG30) ; détaillée par LigneMatiereDevis/LigneOperationDevis (RG39)</w:t>
            </w:r>
          </w:p>
        </w:tc>
      </w:tr>
      <w:tr>
        <w:tc>
          <w:tcPr>
            <w:tcW w:type="dxa" w:w="2400"/>
            <w:tcMar>
              <w:top w:type="dxa" w:w="60"/>
              <w:left w:type="dxa" w:w="100"/>
              <w:bottom w:type="dxa" w:w="60"/>
              <w:right w:type="dxa" w:w="100"/>
            </w:tcMar>
          </w:tcPr>
          <w:p>
            <w:pPr>
              <w:jc w:val="left"/>
            </w:pPr>
            <w:r>
              <w:rPr>
                <w:b w:val="0"/>
              </w:rPr>
              <w:t>● LigneMatiereDevis</w:t>
            </w:r>
          </w:p>
        </w:tc>
        <w:tc>
          <w:tcPr>
            <w:tcW w:type="dxa" w:w="3600"/>
            <w:tcMar>
              <w:top w:type="dxa" w:w="60"/>
              <w:left w:type="dxa" w:w="100"/>
              <w:bottom w:type="dxa" w:w="60"/>
              <w:right w:type="dxa" w:w="100"/>
            </w:tcMar>
          </w:tcPr>
          <w:p>
            <w:pPr>
              <w:jc w:val="left"/>
            </w:pPr>
            <w:r>
              <w:rPr>
                <w:b w:val="0"/>
              </w:rPr>
              <w:t>id, id_ligne_devis, id_article, quantite_estimee, unite, cout_estime</w:t>
            </w:r>
          </w:p>
        </w:tc>
        <w:tc>
          <w:tcPr>
            <w:tcW w:type="dxa" w:w="4200"/>
            <w:tcMar>
              <w:top w:type="dxa" w:w="60"/>
              <w:left w:type="dxa" w:w="100"/>
              <w:bottom w:type="dxa" w:w="60"/>
              <w:right w:type="dxa" w:w="100"/>
            </w:tcMar>
          </w:tcPr>
          <w:p>
            <w:pPr>
              <w:jc w:val="left"/>
            </w:pPr>
            <w:r>
              <w:rPr>
                <w:b w:val="0"/>
              </w:rPr>
              <w:t>BC2 — détail matière du devis, initialisé depuis LigneMatierePremiere du catalogue (RG39)</w:t>
            </w:r>
          </w:p>
        </w:tc>
      </w:tr>
      <w:tr>
        <w:tc>
          <w:tcPr>
            <w:tcW w:type="dxa" w:w="2400"/>
            <w:tcMar>
              <w:top w:type="dxa" w:w="60"/>
              <w:left w:type="dxa" w:w="100"/>
              <w:bottom w:type="dxa" w:w="60"/>
              <w:right w:type="dxa" w:w="100"/>
            </w:tcMar>
          </w:tcPr>
          <w:p>
            <w:pPr>
              <w:jc w:val="left"/>
            </w:pPr>
            <w:r>
              <w:rPr>
                <w:b w:val="0"/>
              </w:rPr>
              <w:t>● LigneOperationDevis</w:t>
            </w:r>
          </w:p>
        </w:tc>
        <w:tc>
          <w:tcPr>
            <w:tcW w:type="dxa" w:w="3600"/>
            <w:tcMar>
              <w:top w:type="dxa" w:w="60"/>
              <w:left w:type="dxa" w:w="100"/>
              <w:bottom w:type="dxa" w:w="60"/>
              <w:right w:type="dxa" w:w="100"/>
            </w:tcMar>
          </w:tcPr>
          <w:p>
            <w:pPr>
              <w:jc w:val="left"/>
            </w:pPr>
            <w:r>
              <w:rPr>
                <w:b w:val="0"/>
              </w:rPr>
              <w:t>id, id_ligne_devis, id_poste, ordre_execution, temps_estime, cout_estime</w:t>
            </w:r>
          </w:p>
        </w:tc>
        <w:tc>
          <w:tcPr>
            <w:tcW w:type="dxa" w:w="4200"/>
            <w:tcMar>
              <w:top w:type="dxa" w:w="60"/>
              <w:left w:type="dxa" w:w="100"/>
              <w:bottom w:type="dxa" w:w="60"/>
              <w:right w:type="dxa" w:w="100"/>
            </w:tcMar>
          </w:tcPr>
          <w:p>
            <w:pPr>
              <w:jc w:val="left"/>
            </w:pPr>
            <w:r>
              <w:rPr>
                <w:b w:val="0"/>
              </w:rPr>
              <w:t>BC2 — détail opération du devis, initialisé depuis LigneOperation du catalogue, référencé par ExecutionOperation (RG39)</w:t>
            </w:r>
          </w:p>
        </w:tc>
      </w:tr>
      <w:tr>
        <w:tc>
          <w:tcPr>
            <w:tcW w:type="dxa" w:w="2400"/>
            <w:tcMar>
              <w:top w:type="dxa" w:w="60"/>
              <w:left w:type="dxa" w:w="100"/>
              <w:bottom w:type="dxa" w:w="60"/>
              <w:right w:type="dxa" w:w="100"/>
            </w:tcMar>
          </w:tcPr>
          <w:p>
            <w:pPr>
              <w:jc w:val="left"/>
            </w:pPr>
            <w:r>
              <w:rPr>
                <w:b w:val="0"/>
              </w:rPr>
              <w:t>● OptionDevis</w:t>
            </w:r>
          </w:p>
        </w:tc>
        <w:tc>
          <w:tcPr>
            <w:tcW w:type="dxa" w:w="3600"/>
            <w:tcMar>
              <w:top w:type="dxa" w:w="60"/>
              <w:left w:type="dxa" w:w="100"/>
              <w:bottom w:type="dxa" w:w="60"/>
              <w:right w:type="dxa" w:w="100"/>
            </w:tcMar>
          </w:tcPr>
          <w:p>
            <w:pPr>
              <w:jc w:val="left"/>
            </w:pPr>
            <w:r>
              <w:rPr>
                <w:b w:val="0"/>
              </w:rPr>
              <w:t>id, id_devis, libelle, description, surcout_matiere [0..1], surcout_operation [0..1], date_ajout</w:t>
            </w:r>
          </w:p>
        </w:tc>
        <w:tc>
          <w:tcPr>
            <w:tcW w:type="dxa" w:w="4200"/>
            <w:tcMar>
              <w:top w:type="dxa" w:w="60"/>
              <w:left w:type="dxa" w:w="100"/>
              <w:bottom w:type="dxa" w:w="60"/>
              <w:right w:type="dxa" w:w="100"/>
            </w:tcMar>
          </w:tcPr>
          <w:p>
            <w:pPr>
              <w:jc w:val="left"/>
            </w:pPr>
            <w:r>
              <w:rPr>
                <w:b w:val="0"/>
              </w:rPr>
              <w:t>BC2 — personnalisation sur-mesure du produit catalogue, une ou plusieurs par devis (RG33)</w:t>
            </w:r>
          </w:p>
        </w:tc>
      </w:tr>
      <w:tr>
        <w:tc>
          <w:tcPr>
            <w:tcW w:type="dxa" w:w="2400"/>
            <w:shd w:fill="f4f7fc" w:val="clear"/>
            <w:tcMar>
              <w:top w:type="dxa" w:w="60"/>
              <w:left w:type="dxa" w:w="100"/>
              <w:bottom w:type="dxa" w:w="60"/>
              <w:right w:type="dxa" w:w="100"/>
            </w:tcMar>
          </w:tcPr>
          <w:p>
            <w:pPr>
              <w:jc w:val="left"/>
            </w:pPr>
            <w:r>
              <w:rPr>
                <w:b w:val="0"/>
              </w:rPr>
              <w:t>EstimationIA</w:t>
            </w:r>
          </w:p>
        </w:tc>
        <w:tc>
          <w:tcPr>
            <w:tcW w:type="dxa" w:w="3600"/>
            <w:shd w:fill="f4f7fc" w:val="clear"/>
            <w:tcMar>
              <w:top w:type="dxa" w:w="60"/>
              <w:left w:type="dxa" w:w="100"/>
              <w:bottom w:type="dxa" w:w="60"/>
              <w:right w:type="dxa" w:w="100"/>
            </w:tcMar>
          </w:tcPr>
          <w:p>
            <w:pPr>
              <w:jc w:val="left"/>
            </w:pPr>
            <w:r>
              <w:rPr>
                <w:b w:val="0"/>
              </w:rPr>
              <w:t>id, id_devis, prix_predit, duree_predite, version_modele, methode (XGBOOST/HEURISTIQUE), score_confiance, date_estimation</w:t>
            </w:r>
          </w:p>
        </w:tc>
        <w:tc>
          <w:tcPr>
            <w:tcW w:type="dxa" w:w="4200"/>
            <w:shd w:fill="f4f7fc" w:val="clear"/>
            <w:tcMar>
              <w:top w:type="dxa" w:w="60"/>
              <w:left w:type="dxa" w:w="100"/>
              <w:bottom w:type="dxa" w:w="60"/>
              <w:right w:type="dxa" w:w="100"/>
            </w:tcMar>
          </w:tcPr>
          <w:p>
            <w:pPr>
              <w:jc w:val="left"/>
            </w:pPr>
            <w:r>
              <w:rPr>
                <w:b w:val="0"/>
              </w:rPr>
              <w:t>BC2 — une estimation par devis (RG3), repli heuristique (RG20)</w:t>
            </w:r>
          </w:p>
        </w:tc>
      </w:tr>
      <w:tr>
        <w:tc>
          <w:tcPr>
            <w:tcW w:type="dxa" w:w="2400"/>
            <w:tcMar>
              <w:top w:type="dxa" w:w="60"/>
              <w:left w:type="dxa" w:w="100"/>
              <w:bottom w:type="dxa" w:w="60"/>
              <w:right w:type="dxa" w:w="100"/>
            </w:tcMar>
          </w:tcPr>
          <w:p>
            <w:pPr>
              <w:jc w:val="left"/>
            </w:pPr>
            <w:r>
              <w:rPr>
                <w:b w:val="0"/>
              </w:rPr>
              <w:t>Atelier</w:t>
            </w:r>
          </w:p>
        </w:tc>
        <w:tc>
          <w:tcPr>
            <w:tcW w:type="dxa" w:w="3600"/>
            <w:tcMar>
              <w:top w:type="dxa" w:w="60"/>
              <w:left w:type="dxa" w:w="100"/>
              <w:bottom w:type="dxa" w:w="60"/>
              <w:right w:type="dxa" w:w="100"/>
            </w:tcMar>
          </w:tcPr>
          <w:p>
            <w:pPr>
              <w:jc w:val="left"/>
            </w:pPr>
            <w:r>
              <w:rPr>
                <w:b w:val="0"/>
              </w:rPr>
              <w:t>id, code (SPA/SPB), nom, id_chef_atelier, capacite</w:t>
            </w:r>
          </w:p>
        </w:tc>
        <w:tc>
          <w:tcPr>
            <w:tcW w:type="dxa" w:w="4200"/>
            <w:tcMar>
              <w:top w:type="dxa" w:w="60"/>
              <w:left w:type="dxa" w:w="100"/>
              <w:bottom w:type="dxa" w:w="60"/>
              <w:right w:type="dxa" w:w="100"/>
            </w:tcMar>
          </w:tcPr>
          <w:p>
            <w:pPr>
              <w:jc w:val="left"/>
            </w:pPr>
            <w:r>
              <w:rPr>
                <w:b w:val="0"/>
              </w:rPr>
              <w:t>BC3 — SPA / SPB (RG6)</w:t>
            </w:r>
          </w:p>
        </w:tc>
      </w:tr>
      <w:tr>
        <w:tc>
          <w:tcPr>
            <w:tcW w:type="dxa" w:w="2400"/>
            <w:shd w:fill="f4f7fc" w:val="clear"/>
            <w:tcMar>
              <w:top w:type="dxa" w:w="60"/>
              <w:left w:type="dxa" w:w="100"/>
              <w:bottom w:type="dxa" w:w="60"/>
              <w:right w:type="dxa" w:w="100"/>
            </w:tcMar>
          </w:tcPr>
          <w:p>
            <w:pPr>
              <w:jc w:val="left"/>
            </w:pPr>
            <w:r>
              <w:rPr>
                <w:b w:val="0"/>
              </w:rPr>
              <w:t>DossierFabrication</w:t>
            </w:r>
          </w:p>
        </w:tc>
        <w:tc>
          <w:tcPr>
            <w:tcW w:type="dxa" w:w="3600"/>
            <w:shd w:fill="f4f7fc" w:val="clear"/>
            <w:tcMar>
              <w:top w:type="dxa" w:w="60"/>
              <w:left w:type="dxa" w:w="100"/>
              <w:bottom w:type="dxa" w:w="60"/>
              <w:right w:type="dxa" w:w="100"/>
            </w:tcMar>
          </w:tcPr>
          <w:p>
            <w:pPr>
              <w:jc w:val="left"/>
            </w:pPr>
            <w:r>
              <w:rPr>
                <w:b w:val="0"/>
              </w:rPr>
              <w:t>id, id_commande, numero_dossier, id_atelier, statut_production, date_creation, date_cloture</w:t>
            </w:r>
          </w:p>
        </w:tc>
        <w:tc>
          <w:tcPr>
            <w:tcW w:type="dxa" w:w="4200"/>
            <w:shd w:fill="f4f7fc" w:val="clear"/>
            <w:tcMar>
              <w:top w:type="dxa" w:w="60"/>
              <w:left w:type="dxa" w:w="100"/>
              <w:bottom w:type="dxa" w:w="60"/>
              <w:right w:type="dxa" w:w="100"/>
            </w:tcMar>
          </w:tcPr>
          <w:p>
            <w:pPr>
              <w:jc w:val="left"/>
            </w:pPr>
            <w:r>
              <w:rPr>
                <w:b w:val="0"/>
              </w:rPr>
              <w:t>BC3 — créé seulement si commande validée (RG5)</w:t>
            </w:r>
          </w:p>
        </w:tc>
      </w:tr>
      <w:tr>
        <w:tc>
          <w:tcPr>
            <w:tcW w:type="dxa" w:w="2400"/>
            <w:tcMar>
              <w:top w:type="dxa" w:w="60"/>
              <w:left w:type="dxa" w:w="100"/>
              <w:bottom w:type="dxa" w:w="60"/>
              <w:right w:type="dxa" w:w="100"/>
            </w:tcMar>
          </w:tcPr>
          <w:p>
            <w:pPr>
              <w:jc w:val="left"/>
            </w:pPr>
            <w:r>
              <w:rPr>
                <w:b w:val="0"/>
              </w:rPr>
              <w:t>EtapeProduction</w:t>
            </w:r>
          </w:p>
        </w:tc>
        <w:tc>
          <w:tcPr>
            <w:tcW w:type="dxa" w:w="3600"/>
            <w:tcMar>
              <w:top w:type="dxa" w:w="60"/>
              <w:left w:type="dxa" w:w="100"/>
              <w:bottom w:type="dxa" w:w="60"/>
              <w:right w:type="dxa" w:w="100"/>
            </w:tcMar>
          </w:tcPr>
          <w:p>
            <w:pPr>
              <w:jc w:val="left"/>
            </w:pPr>
            <w:r>
              <w:rPr>
                <w:b w:val="0"/>
              </w:rPr>
              <w:t>id, id_dossier, ordre, libelle, id_poste, statut, date_debut, date_fin</w:t>
            </w:r>
          </w:p>
        </w:tc>
        <w:tc>
          <w:tcPr>
            <w:tcW w:type="dxa" w:w="4200"/>
            <w:tcMar>
              <w:top w:type="dxa" w:w="60"/>
              <w:left w:type="dxa" w:w="100"/>
              <w:bottom w:type="dxa" w:w="60"/>
              <w:right w:type="dxa" w:w="100"/>
            </w:tcMar>
          </w:tcPr>
          <w:p>
            <w:pPr>
              <w:jc w:val="left"/>
            </w:pPr>
            <w:r>
              <w:rPr>
                <w:b w:val="0"/>
              </w:rPr>
              <w:t>BC3 — une ou plusieurs étapes par dossier (RG7)</w:t>
            </w:r>
          </w:p>
        </w:tc>
      </w:tr>
      <w:tr>
        <w:tc>
          <w:tcPr>
            <w:tcW w:type="dxa" w:w="2400"/>
            <w:shd w:fill="f4f7fc" w:val="clear"/>
            <w:tcMar>
              <w:top w:type="dxa" w:w="60"/>
              <w:left w:type="dxa" w:w="100"/>
              <w:bottom w:type="dxa" w:w="60"/>
              <w:right w:type="dxa" w:w="100"/>
            </w:tcMar>
          </w:tcPr>
          <w:p>
            <w:pPr>
              <w:jc w:val="left"/>
            </w:pPr>
            <w:r>
              <w:rPr>
                <w:b w:val="0"/>
              </w:rPr>
              <w:t>MouvementStock</w:t>
            </w:r>
          </w:p>
        </w:tc>
        <w:tc>
          <w:tcPr>
            <w:tcW w:type="dxa" w:w="3600"/>
            <w:shd w:fill="f4f7fc" w:val="clear"/>
            <w:tcMar>
              <w:top w:type="dxa" w:w="60"/>
              <w:left w:type="dxa" w:w="100"/>
              <w:bottom w:type="dxa" w:w="60"/>
              <w:right w:type="dxa" w:w="100"/>
            </w:tcMar>
          </w:tcPr>
          <w:p>
            <w:pPr>
              <w:jc w:val="left"/>
            </w:pPr>
            <w:r>
              <w:rPr>
                <w:b w:val="0"/>
              </w:rPr>
              <w:t>id, id_article, id_dossier, id_utilisateur, type_mouvement (RESERVATION*/SORTIE/ENTREE), quantite, date_mouvement, commentaire</w:t>
            </w:r>
          </w:p>
        </w:tc>
        <w:tc>
          <w:tcPr>
            <w:tcW w:type="dxa" w:w="4200"/>
            <w:shd w:fill="f4f7fc" w:val="clear"/>
            <w:tcMar>
              <w:top w:type="dxa" w:w="60"/>
              <w:left w:type="dxa" w:w="100"/>
              <w:bottom w:type="dxa" w:w="60"/>
              <w:right w:type="dxa" w:w="100"/>
            </w:tcMar>
          </w:tcPr>
          <w:p>
            <w:pPr>
              <w:jc w:val="left"/>
            </w:pPr>
            <w:r>
              <w:rPr>
                <w:b w:val="0"/>
              </w:rPr>
              <w:t>BC3 — vérification atomique du stock (RG11) ; réservation à la génération du dossier avant sortie réelle (RG34)</w:t>
            </w:r>
          </w:p>
        </w:tc>
      </w:tr>
      <w:tr>
        <w:tc>
          <w:tcPr>
            <w:tcW w:type="dxa" w:w="2400"/>
            <w:tcMar>
              <w:top w:type="dxa" w:w="60"/>
              <w:left w:type="dxa" w:w="100"/>
              <w:bottom w:type="dxa" w:w="60"/>
              <w:right w:type="dxa" w:w="100"/>
            </w:tcMar>
          </w:tcPr>
          <w:p>
            <w:pPr>
              <w:jc w:val="left"/>
            </w:pPr>
            <w:r>
              <w:rPr>
                <w:b w:val="0"/>
              </w:rPr>
              <w:t>● ExecutionOperation</w:t>
            </w:r>
          </w:p>
        </w:tc>
        <w:tc>
          <w:tcPr>
            <w:tcW w:type="dxa" w:w="3600"/>
            <w:tcMar>
              <w:top w:type="dxa" w:w="60"/>
              <w:left w:type="dxa" w:w="100"/>
              <w:bottom w:type="dxa" w:w="60"/>
              <w:right w:type="dxa" w:w="100"/>
            </w:tcMar>
          </w:tcPr>
          <w:p>
            <w:pPr>
              <w:jc w:val="left"/>
            </w:pPr>
            <w:r>
              <w:rPr>
                <w:b w:val="0"/>
              </w:rPr>
              <w:t>id, id_dossier, id_ligne_operation_devis, id_poste, id_utilisateur, temps_reel, statut, date_saisie</w:t>
            </w:r>
          </w:p>
        </w:tc>
        <w:tc>
          <w:tcPr>
            <w:tcW w:type="dxa" w:w="4200"/>
            <w:tcMar>
              <w:top w:type="dxa" w:w="60"/>
              <w:left w:type="dxa" w:w="100"/>
              <w:bottom w:type="dxa" w:w="60"/>
              <w:right w:type="dxa" w:w="100"/>
            </w:tcMar>
          </w:tcPr>
          <w:p>
            <w:pPr>
              <w:jc w:val="left"/>
            </w:pPr>
            <w:r>
              <w:rPr>
                <w:b w:val="0"/>
              </w:rPr>
              <w:t>BC3 — saisie du temps réel par opération/poste, comparée à l'engagement prévisionnel du devis et non du catalogue (RG35, RG39), statut d'exécution explicite (RG38)</w:t>
            </w:r>
          </w:p>
        </w:tc>
      </w:tr>
      <w:tr>
        <w:tc>
          <w:tcPr>
            <w:tcW w:type="dxa" w:w="2400"/>
            <w:tcMar>
              <w:top w:type="dxa" w:w="60"/>
              <w:left w:type="dxa" w:w="100"/>
              <w:bottom w:type="dxa" w:w="60"/>
              <w:right w:type="dxa" w:w="100"/>
            </w:tcMar>
          </w:tcPr>
          <w:p>
            <w:pPr>
              <w:jc w:val="left"/>
            </w:pPr>
            <w:r>
              <w:rPr>
                <w:b w:val="0"/>
              </w:rPr>
              <w:t>ControlePrixRevient</w:t>
            </w:r>
          </w:p>
        </w:tc>
        <w:tc>
          <w:tcPr>
            <w:tcW w:type="dxa" w:w="3600"/>
            <w:tcMar>
              <w:top w:type="dxa" w:w="60"/>
              <w:left w:type="dxa" w:w="100"/>
              <w:bottom w:type="dxa" w:w="60"/>
              <w:right w:type="dxa" w:w="100"/>
            </w:tcMar>
          </w:tcPr>
          <w:p>
            <w:pPr>
              <w:jc w:val="left"/>
            </w:pPr>
            <w:r>
              <w:rPr>
                <w:b w:val="0"/>
              </w:rPr>
              <w:t>id, id_dossier, id_composant, cout_reel, marge_reelle, ecart_prix, ecart_significatif, resultat (SOUS_MARGE/DANS_LA_NORME/SUR_MARGE), date_controle, id_utilisateur_controleur</w:t>
            </w:r>
          </w:p>
        </w:tc>
        <w:tc>
          <w:tcPr>
            <w:tcW w:type="dxa" w:w="4200"/>
            <w:tcMar>
              <w:top w:type="dxa" w:w="60"/>
              <w:left w:type="dxa" w:w="100"/>
              <w:bottom w:type="dxa" w:w="60"/>
              <w:right w:type="dxa" w:w="100"/>
            </w:tcMar>
          </w:tcPr>
          <w:p>
            <w:pPr>
              <w:jc w:val="left"/>
            </w:pPr>
            <w:r>
              <w:rPr>
                <w:b w:val="0"/>
              </w:rPr>
              <w:t>BC4 — établi seulement à la clôture (RG23), calcul automatique (RG24), comparé à LigneDevis composant par composant (RG28), qualifié selon la fourchette marge_min/marge_max du produit (RG36)</w:t>
            </w:r>
          </w:p>
        </w:tc>
      </w:tr>
      <w:tr>
        <w:tc>
          <w:tcPr>
            <w:tcW w:type="dxa" w:w="2400"/>
            <w:shd w:fill="f4f7fc" w:val="clear"/>
            <w:tcMar>
              <w:top w:type="dxa" w:w="60"/>
              <w:left w:type="dxa" w:w="100"/>
              <w:bottom w:type="dxa" w:w="60"/>
              <w:right w:type="dxa" w:w="100"/>
            </w:tcMar>
          </w:tcPr>
          <w:p>
            <w:pPr>
              <w:jc w:val="left"/>
            </w:pPr>
            <w:r>
              <w:rPr>
                <w:b w:val="0"/>
              </w:rPr>
              <w:t>Facture</w:t>
            </w:r>
          </w:p>
        </w:tc>
        <w:tc>
          <w:tcPr>
            <w:tcW w:type="dxa" w:w="3600"/>
            <w:shd w:fill="f4f7fc" w:val="clear"/>
            <w:tcMar>
              <w:top w:type="dxa" w:w="60"/>
              <w:left w:type="dxa" w:w="100"/>
              <w:bottom w:type="dxa" w:w="60"/>
              <w:right w:type="dxa" w:w="100"/>
            </w:tcMar>
          </w:tcPr>
          <w:p>
            <w:pPr>
              <w:jc w:val="left"/>
            </w:pPr>
            <w:r>
              <w:rPr>
                <w:b w:val="0"/>
              </w:rPr>
              <w:t>id, id_dossier, numero_facture, type_facture, montant, date_emission, statut_paiement</w:t>
            </w:r>
          </w:p>
        </w:tc>
        <w:tc>
          <w:tcPr>
            <w:tcW w:type="dxa" w:w="4200"/>
            <w:shd w:fill="f4f7fc" w:val="clear"/>
            <w:tcMar>
              <w:top w:type="dxa" w:w="60"/>
              <w:left w:type="dxa" w:w="100"/>
              <w:bottom w:type="dxa" w:w="60"/>
              <w:right w:type="dxa" w:w="100"/>
            </w:tcMar>
          </w:tcPr>
          <w:p>
            <w:pPr>
              <w:jc w:val="left"/>
            </w:pPr>
            <w:r>
              <w:rPr>
                <w:b w:val="0"/>
              </w:rPr>
              <w:t>BC4 — définitive seulement après clôture (RG13)</w:t>
            </w:r>
          </w:p>
        </w:tc>
      </w:tr>
      <w:tr>
        <w:tc>
          <w:tcPr>
            <w:tcW w:type="dxa" w:w="2400"/>
            <w:tcMar>
              <w:top w:type="dxa" w:w="60"/>
              <w:left w:type="dxa" w:w="100"/>
              <w:bottom w:type="dxa" w:w="60"/>
              <w:right w:type="dxa" w:w="100"/>
            </w:tcMar>
          </w:tcPr>
          <w:p>
            <w:pPr>
              <w:jc w:val="left"/>
            </w:pPr>
            <w:r>
              <w:rPr>
                <w:b w:val="0"/>
              </w:rPr>
              <w:t>Notification</w:t>
            </w:r>
          </w:p>
        </w:tc>
        <w:tc>
          <w:tcPr>
            <w:tcW w:type="dxa" w:w="3600"/>
            <w:tcMar>
              <w:top w:type="dxa" w:w="60"/>
              <w:left w:type="dxa" w:w="100"/>
              <w:bottom w:type="dxa" w:w="60"/>
              <w:right w:type="dxa" w:w="100"/>
            </w:tcMar>
          </w:tcPr>
          <w:p>
            <w:pPr>
              <w:jc w:val="left"/>
            </w:pPr>
            <w:r>
              <w:rPr>
                <w:b w:val="0"/>
              </w:rPr>
              <w:t>id, id_destinataire, categorie, message, lue, lien_objet, date_creation</w:t>
            </w:r>
          </w:p>
        </w:tc>
        <w:tc>
          <w:tcPr>
            <w:tcW w:type="dxa" w:w="4200"/>
            <w:tcMar>
              <w:top w:type="dxa" w:w="60"/>
              <w:left w:type="dxa" w:w="100"/>
              <w:bottom w:type="dxa" w:w="60"/>
              <w:right w:type="dxa" w:w="100"/>
            </w:tcMar>
          </w:tcPr>
          <w:p>
            <w:pPr>
              <w:jc w:val="left"/>
            </w:pPr>
            <w:r>
              <w:rPr>
                <w:b w:val="0"/>
              </w:rPr>
              <w:t>BC5 — émise à chaque changement de statut significatif (RG18)</w:t>
            </w:r>
          </w:p>
        </w:tc>
      </w:tr>
    </w:tbl>
    <w:p>
      <w:pPr>
        <w:spacing w:before="80" w:after="200"/>
      </w:pPr>
      <w:r>
        <w:rPr>
          <w:i/>
          <w:sz w:val="18"/>
        </w:rPr>
        <w:t>Légende — ● entité introduite par la clarification du STI (section 5.2.5) ; ↻ entité renommée (Machine → PosteDeCharge, RG31) ; ↺ entité rétablie après une itération antérieure du chapitre ; * attribut ou valeur ajouté(e) par les clarifications du STI. Les entités sans marque existaient dans le modèle avant les clarifications du STI.</w:t>
      </w:r>
    </w:p>
    <w:p>
      <w:pPr>
        <w:pStyle w:val="Heading1"/>
        <w:spacing w:after="200" w:before="400"/>
      </w:pPr>
      <w:r>
        <w:rPr>
          <w:b/>
          <w:bCs/>
        </w:rPr>
        <w:t xml:space="preserve">5.6  Règles de gestion</w:t>
      </w:r>
    </w:p>
    <w:p>
      <w:pPr>
        <w:spacing w:after="160"/>
      </w:pPr>
      <w:r>
        <w:t xml:space="preserve">Les règles de gestion ci-dessous reprennent, en les complétant, celles effectivement implémentées et documentées dans le code (contraintes de modèle, méthodes clean(), permissions de vues). Les règles RG21 à RG24 correspondent à des contraintes ajoutées lors du développement ; les règles RG25 à RG28 formalisent le principe du Catalogue clarifié par le STI (section 5.2.5) ; les règles RG29 à RG32 corrigent et complètent ce principe sur les charges fixes/variables, la remarque prioritaire, le poste de charge et l'emplacement de stockage (compte-rendu STI, Gestion des coûts et fabrication imprimerie) ; les règles RG33 à RG37 formalisent une seconde clarification du STI sur le cycle devis-fabrication-contrôle (compte-rendu STI, Gestion Devis, Fabrication et Contrôle du Prix de Revient) : personnalisation du devis, réservation de stock, saisie du temps réel, et fourchette de marge acceptable ; la règle RG38, issue d'une transcription orale complémentaire du STI, formalise le principe anti-duplication catalogue/devis ; la règle RG39 corrige une omission structurelle de ce même échange oral en introduisant le détail matière et opération du devis (LigneMatiereDevis, LigneOperationDevis).</w:t>
      </w:r>
    </w:p>
    <w:p>
      <w:pPr>
        <w:pStyle w:val="ListParagraph"/>
        <w:numPr>
          <w:ilvl w:val="0"/>
          <w:numId w:val="1"/>
        </w:numPr>
        <w:spacing w:after="80"/>
      </w:pPr>
      <w:r>
        <w:t xml:space="preserve">RG1 : Une commande est passée par un seul organisme client ; un organisme peut passer plusieurs commandes.</w:t>
      </w:r>
    </w:p>
    <w:p>
      <w:pPr>
        <w:pStyle w:val="ListParagraph"/>
        <w:numPr>
          <w:ilvl w:val="0"/>
          <w:numId w:val="1"/>
        </w:numPr>
        <w:spacing w:after="80"/>
      </w:pPr>
      <w:r>
        <w:t xml:space="preserve">RG2 : Une commande donne lieu à un seul devis (relation univoque).</w:t>
      </w:r>
    </w:p>
    <w:p>
      <w:pPr>
        <w:pStyle w:val="ListParagraph"/>
        <w:numPr>
          <w:ilvl w:val="0"/>
          <w:numId w:val="1"/>
        </w:numPr>
        <w:spacing w:after="80"/>
      </w:pPr>
      <w:r>
        <w:t xml:space="preserve">RG3 : Un devis peut être complété par une seule estimation IA.</w:t>
      </w:r>
    </w:p>
    <w:p>
      <w:pPr>
        <w:pStyle w:val="ListParagraph"/>
        <w:numPr>
          <w:ilvl w:val="0"/>
          <w:numId w:val="1"/>
        </w:numPr>
        <w:spacing w:after="80"/>
      </w:pPr>
      <w:r>
        <w:t xml:space="preserve">RG4 : L'estimation IA est calculée automatiquement à la création du devis (prédiction XGBoost, ou repli heuristique).</w:t>
      </w:r>
    </w:p>
    <w:p>
      <w:pPr>
        <w:pStyle w:val="ListParagraph"/>
        <w:numPr>
          <w:ilvl w:val="0"/>
          <w:numId w:val="1"/>
        </w:numPr>
        <w:spacing w:after="80"/>
      </w:pPr>
      <w:r>
        <w:t xml:space="preserve">RG5 : Un dossier de fabrication n'est créé que pour une commande validée, et une seule fois par commande.</w:t>
      </w:r>
    </w:p>
    <w:p>
      <w:pPr>
        <w:pStyle w:val="ListParagraph"/>
        <w:numPr>
          <w:ilvl w:val="0"/>
          <w:numId w:val="1"/>
        </w:numPr>
        <w:spacing w:after="80"/>
      </w:pPr>
      <w:r>
        <w:t xml:space="preserve">RG6 : Un dossier de fabrication est affecté à un seul atelier (SPA ou SPB).</w:t>
      </w:r>
    </w:p>
    <w:p>
      <w:pPr>
        <w:pStyle w:val="ListParagraph"/>
        <w:numPr>
          <w:ilvl w:val="0"/>
          <w:numId w:val="1"/>
        </w:numPr>
        <w:spacing w:after="80"/>
      </w:pPr>
      <w:r>
        <w:t xml:space="preserve">RG7 : Un dossier de fabrication comporte une ou plusieurs étapes de production, rattachées chacune à son dossier.</w:t>
      </w:r>
    </w:p>
    <w:p>
      <w:pPr>
        <w:pStyle w:val="ListParagraph"/>
        <w:numPr>
          <w:ilvl w:val="0"/>
          <w:numId w:val="1"/>
        </w:numPr>
        <w:spacing w:after="80"/>
      </w:pPr>
      <w:r>
        <w:t xml:space="preserve">RG8 : Un mouvement de stock de sortie peut être rattaché à un dossier de fabrication ; l'affectation d'un dossier à un atelier équilibre la charge entre les machines disponibles.</w:t>
      </w:r>
    </w:p>
    <w:p>
      <w:pPr>
        <w:pStyle w:val="ListParagraph"/>
        <w:numPr>
          <w:ilvl w:val="0"/>
          <w:numId w:val="1"/>
        </w:numPr>
        <w:spacing w:after="80"/>
      </w:pPr>
      <w:r>
        <w:t xml:space="preserve">RG9 : Un mouvement de stock concerne un seul article.</w:t>
      </w:r>
    </w:p>
    <w:p>
      <w:pPr>
        <w:pStyle w:val="ListParagraph"/>
        <w:numPr>
          <w:ilvl w:val="0"/>
          <w:numId w:val="1"/>
        </w:numPr>
        <w:spacing w:after="80"/>
      </w:pPr>
      <w:r>
        <w:t xml:space="preserve">RG10 : Un article peut faire l'objet de plusieurs mouvements (entrées et sorties).</w:t>
      </w:r>
    </w:p>
    <w:p>
      <w:pPr>
        <w:pStyle w:val="ListParagraph"/>
        <w:numPr>
          <w:ilvl w:val="0"/>
          <w:numId w:val="1"/>
        </w:numPr>
        <w:spacing w:after="80"/>
      </w:pPr>
      <w:r>
        <w:t xml:space="preserve">RG11 : Le magasin ne peut valider une sortie que si la quantité en stock est suffisante ; la vérification est atomique afin de résister aux accès concurrents.</w:t>
      </w:r>
    </w:p>
    <w:p>
      <w:pPr>
        <w:pStyle w:val="ListParagraph"/>
        <w:numPr>
          <w:ilvl w:val="0"/>
          <w:numId w:val="1"/>
        </w:numPr>
        <w:spacing w:after="80"/>
      </w:pPr>
      <w:r>
        <w:t xml:space="preserve">RG12 : Un dossier de fabrication peut donner lieu à plusieurs factures (une proforma puis une définitive).</w:t>
      </w:r>
    </w:p>
    <w:p>
      <w:pPr>
        <w:pStyle w:val="ListParagraph"/>
        <w:numPr>
          <w:ilvl w:val="0"/>
          <w:numId w:val="1"/>
        </w:numPr>
        <w:spacing w:after="80"/>
      </w:pPr>
      <w:r>
        <w:t xml:space="preserve">RG13 : La facture définitive ne peut être émise qu'après la fin de la production du dossier.</w:t>
      </w:r>
    </w:p>
    <w:p>
      <w:pPr>
        <w:pStyle w:val="ListParagraph"/>
        <w:numPr>
          <w:ilvl w:val="0"/>
          <w:numId w:val="1"/>
        </w:numPr>
        <w:spacing w:after="80"/>
      </w:pPr>
      <w:r>
        <w:t xml:space="preserve">RG14 : Un utilisateur possède un seul rôle.</w:t>
      </w:r>
    </w:p>
    <w:p>
      <w:pPr>
        <w:pStyle w:val="ListParagraph"/>
        <w:numPr>
          <w:ilvl w:val="0"/>
          <w:numId w:val="1"/>
        </w:numPr>
        <w:spacing w:after="80"/>
      </w:pPr>
      <w:r>
        <w:t xml:space="preserve">RG15 : Un rôle peut être attribué à plusieurs utilisateurs.</w:t>
      </w:r>
    </w:p>
    <w:p>
      <w:pPr>
        <w:pStyle w:val="ListParagraph"/>
        <w:numPr>
          <w:ilvl w:val="0"/>
          <w:numId w:val="1"/>
        </w:numPr>
        <w:spacing w:after="80"/>
      </w:pPr>
      <w:r>
        <w:t xml:space="preserve">RG16 : Seul un Agent SDO (ou l'Administrateur) peut créer et valider un devis.</w:t>
      </w:r>
    </w:p>
    <w:p>
      <w:pPr>
        <w:pStyle w:val="ListParagraph"/>
        <w:numPr>
          <w:ilvl w:val="0"/>
          <w:numId w:val="1"/>
        </w:numPr>
        <w:spacing w:after="80"/>
      </w:pPr>
      <w:r>
        <w:t xml:space="preserve">RG17 : Seul le Chef d'atelier de l'atelier concerné (ou l'Administrateur) peut modifier un dossier ou une étape de production de cet atelier.</w:t>
      </w:r>
    </w:p>
    <w:p>
      <w:pPr>
        <w:pStyle w:val="ListParagraph"/>
        <w:numPr>
          <w:ilvl w:val="0"/>
          <w:numId w:val="1"/>
        </w:numPr>
        <w:spacing w:after="80"/>
      </w:pPr>
      <w:r>
        <w:t xml:space="preserve">RG18 : Une notification est envoyée à chaque changement de statut d'un dossier, d'une étape, d'un mouvement de stock significatif, ou lors d'un contrôle de prix de revient — dans ce dernier cas, l'Administrateur est également notifié en cas d'écart significatif.</w:t>
      </w:r>
    </w:p>
    <w:p>
      <w:pPr>
        <w:pStyle w:val="ListParagraph"/>
        <w:numPr>
          <w:ilvl w:val="0"/>
          <w:numId w:val="1"/>
        </w:numPr>
        <w:spacing w:after="80"/>
      </w:pPr>
      <w:r>
        <w:t xml:space="preserve">RG19 : Le délai contractuel est obligatoire pour une commande dont l'organisme n'est pas un particulier.</w:t>
      </w:r>
    </w:p>
    <w:p>
      <w:pPr>
        <w:pStyle w:val="ListParagraph"/>
        <w:numPr>
          <w:ilvl w:val="0"/>
          <w:numId w:val="1"/>
        </w:numPr>
        <w:spacing w:after="80"/>
      </w:pPr>
      <w:r>
        <w:t xml:space="preserve">RG20 : L'estimation IA ne peut s'appuyer sur le modèle entraîné que si un nombre minimal de devis comparables existe dans l'historique ; en deçà, un repli heuristique est utilisé.</w:t>
      </w:r>
    </w:p>
    <w:p>
      <w:pPr>
        <w:pStyle w:val="ListParagraph"/>
        <w:numPr>
          <w:ilvl w:val="0"/>
          <w:numId w:val="1"/>
        </w:numPr>
        <w:spacing w:after="80"/>
      </w:pPr>
      <w:r>
        <w:t xml:space="preserve">RG21 : La nature de la commande (sur confection / standardisée) est fixée à la création et ne peut plus être modifiée après validation du devis.</w:t>
      </w:r>
    </w:p>
    <w:p>
      <w:pPr>
        <w:pStyle w:val="ListParagraph"/>
        <w:numPr>
          <w:ilvl w:val="0"/>
          <w:numId w:val="1"/>
        </w:numPr>
        <w:spacing w:after="80"/>
      </w:pPr>
      <w:r>
        <w:t xml:space="preserve">RG22 : Un devis pluriannuel doit porter une durée de contrat (5 ans maximum) et un taux d'inflation projeté avant de pouvoir être validé.</w:t>
      </w:r>
    </w:p>
    <w:p>
      <w:pPr>
        <w:pStyle w:val="ListParagraph"/>
        <w:numPr>
          <w:ilvl w:val="0"/>
          <w:numId w:val="1"/>
        </w:numPr>
        <w:spacing w:after="80"/>
      </w:pPr>
      <w:r>
        <w:t xml:space="preserve">RG23 : Le contrôle du prix de revient ne peut être établi qu'après la clôture complète du dossier (statut Terminé), et un dossier ne fait l'objet que d'une seule fiche de contrôle.</w:t>
      </w:r>
    </w:p>
    <w:p>
      <w:pPr>
        <w:pStyle w:val="ListParagraph"/>
        <w:numPr>
          <w:ilvl w:val="0"/>
          <w:numId w:val="1"/>
        </w:numPr>
        <w:spacing w:after="80"/>
      </w:pPr>
      <w:r>
        <w:t xml:space="preserve">RG24 : Le résultat (bénéficiaire / déficitaire / à l'équilibre), l'écart de prix de revient et le signalement d'écart significatif sont calculés automatiquement à partir du coût réel, du prix de vente du devis et de la marge cible ; ils ne sont jamais saisis manuellement.</w:t>
      </w:r>
    </w:p>
    <w:p>
      <w:pPr>
        <w:pStyle w:val="ListParagraph"/>
        <w:numPr>
          <w:ilvl w:val="0"/>
          <w:numId w:val="1"/>
        </w:numPr>
        <w:spacing w:after="80"/>
      </w:pPr>
      <w:r>
        <w:t xml:space="preserve">RG25 : Un produit du catalogue appartient à une seule famille de produits, qui détermine son mode de décomposition en composants (mise à jour STI).</w:t>
      </w:r>
    </w:p>
    <w:p>
      <w:pPr>
        <w:pStyle w:val="ListParagraph"/>
        <w:numPr>
          <w:ilvl w:val="0"/>
          <w:numId w:val="1"/>
        </w:numPr>
        <w:spacing w:after="80"/>
      </w:pPr>
      <w:r>
        <w:t xml:space="preserve">RG26 : Un composant est numéroté de façon unique et ordonnée (1..N) au sein de son produit ; sa nomenclature ne peut être définie que par l'Administrateur (mise à jour STI).</w:t>
      </w:r>
    </w:p>
    <w:p>
      <w:pPr>
        <w:pStyle w:val="ListParagraph"/>
        <w:numPr>
          <w:ilvl w:val="0"/>
          <w:numId w:val="1"/>
        </w:numPr>
        <w:spacing w:after="80"/>
      </w:pPr>
      <w:r>
        <w:t xml:space="preserve">RG27 : Un devis rattaché à un produit du catalogue calcule son prix de revient en agrégeant les lignes de devis (LigneDevis) générées pour chaque composant, chacune sommant le coût de ses lignes de matière première et de ses lignes d'opération selon la règle d'amortissement de la RG29 (mise à jour STI, corrigé).</w:t>
      </w:r>
    </w:p>
    <w:p>
      <w:pPr>
        <w:pStyle w:val="ListParagraph"/>
        <w:numPr>
          <w:ilvl w:val="0"/>
          <w:numId w:val="1"/>
        </w:numPr>
        <w:spacing w:after="80"/>
      </w:pPr>
      <w:r>
        <w:t xml:space="preserve">RG28 : Le contrôle du prix de revient à la clôture compare le prévisionnel (LigneDevis) et le réel composant par composant lorsque le dossier est rattaché à un produit du catalogue (mise à jour STI, corrigé — LigneDevis rétablie comme support prévisionnel).</w:t>
      </w:r>
    </w:p>
    <w:p>
      <w:pPr>
        <w:pStyle w:val="ListParagraph"/>
        <w:numPr>
          <w:ilvl w:val="0"/>
          <w:numId w:val="1"/>
        </w:numPr>
        <w:spacing w:after="80"/>
      </w:pPr>
      <w:r>
        <w:t xml:space="preserve">RG29 : Une ligne de matière première ou d'opération est qualifiée de charge fixe (indépendante du volume, ex. calage machine, création de plaques/clichés) ou de charge variable (proportionnelle à la quantité). Le calcul du prix de revient (RG27) amortit la part fixe sur la quantité totale commandée et applique une règle de trois uniquement à la part variable (mise à jour STI).</w:t>
      </w:r>
    </w:p>
    <w:p>
      <w:pPr>
        <w:pStyle w:val="ListParagraph"/>
        <w:numPr>
          <w:ilvl w:val="0"/>
          <w:numId w:val="1"/>
        </w:numPr>
        <w:spacing w:after="80"/>
      </w:pPr>
      <w:r>
        <w:t xml:space="preserve">RG30 : Chaque ligne de devis peut porter une remarque ou observation technique. En cas de divergence entre le comportement théorique du catalogue et la demande spécifique du client, cette remarque prévaut lors de la génération du dossier de fabrication (mise à jour STI).</w:t>
      </w:r>
    </w:p>
    <w:p>
      <w:pPr>
        <w:pStyle w:val="ListParagraph"/>
        <w:numPr>
          <w:ilvl w:val="0"/>
          <w:numId w:val="1"/>
        </w:numPr>
        <w:spacing w:after="80"/>
      </w:pPr>
      <w:r>
        <w:t xml:space="preserve">RG31 : Un poste de charge (PosteDeCharge, anciennement Machine) est de type Machine ou Manuel ; son coût horaire couvre selon le cas l'amortissement et l'électricité, ou la main-d'œuvre directe (mise à jour STI).</w:t>
      </w:r>
    </w:p>
    <w:p>
      <w:pPr>
        <w:pStyle w:val="ListParagraph"/>
        <w:numPr>
          <w:ilvl w:val="0"/>
          <w:numId w:val="1"/>
        </w:numPr>
        <w:spacing w:after="80"/>
      </w:pPr>
      <w:r>
        <w:t xml:space="preserve">RG32 : Un article, y compris ceux utilisés dans une nomenclature de composant, est rattaché à un emplacement de stockage (mise à jour STI).</w:t>
      </w:r>
    </w:p>
    <w:p>
      <w:pPr>
        <w:pStyle w:val="ListParagraph"/>
        <w:numPr>
          <w:ilvl w:val="0"/>
          <w:numId w:val="1"/>
        </w:numPr>
        <w:spacing w:after="80"/>
      </w:pPr>
      <w:r>
        <w:t xml:space="preserve">RG33 : Un devis peut porter une ou plusieurs options ou spécifications techniques sur-mesure (OptionDevis), en complément du produit catalogue de base ; chaque option peut ajouter un surcoût matière et/ou opération pris en compte dans le prix de revient (mise à jour STI n°2).</w:t>
      </w:r>
    </w:p>
    <w:p>
      <w:pPr>
        <w:pStyle w:val="ListParagraph"/>
        <w:numPr>
          <w:ilvl w:val="0"/>
          <w:numId w:val="1"/>
        </w:numPr>
        <w:spacing w:after="80"/>
      </w:pPr>
      <w:r>
        <w:t xml:space="preserve">RG34 : À la validation du devis, le dossier de fabrication réserve les quantités de matières premières nécessaires (mouvement de type RESERVATION) avant toute sortie physique réelle (SORTIE), ordonnancée ensuite dans les étapes de production (mise à jour STI n°2).</w:t>
      </w:r>
    </w:p>
    <w:p>
      <w:pPr>
        <w:pStyle w:val="ListParagraph"/>
        <w:numPr>
          <w:ilvl w:val="0"/>
          <w:numId w:val="1"/>
        </w:numPr>
        <w:spacing w:after="80"/>
      </w:pPr>
      <w:r>
        <w:t xml:space="preserve">RG35 : Chaque opération réellement exécutée sur un dossier de fabrication fait l'objet d'une saisie de temps réel (ExecutionOperation), comparée individuellement à la ligne d'opération du devis correspondante (LigneOperationDevis, RG39) — et non à la valeur standard du catalogue — pour objectiver les écarts de temps de travail et de machine (mise à jour STI n°2, corrigé RG39).</w:t>
      </w:r>
    </w:p>
    <w:p>
      <w:pPr>
        <w:pStyle w:val="ListParagraph"/>
        <w:numPr>
          <w:ilvl w:val="0"/>
          <w:numId w:val="1"/>
        </w:numPr>
        <w:spacing w:after="80"/>
      </w:pPr>
      <w:r>
        <w:t xml:space="preserve">RG36 : Le résultat du contrôle du prix de revient qualifie la marge réelle par rapport à une fourchette cible définie sur le produit catalogue (marge_min, marge_max) : une marge en deçà est sous-marge (déficitaire), au-dessus est sur-marge (surestimation pénalisante pour la compétitivité), et dans la fourchette elle est dans la norme (mise à jour STI n°2).</w:t>
      </w:r>
    </w:p>
    <w:p>
      <w:pPr>
        <w:pStyle w:val="ListParagraph"/>
        <w:numPr>
          <w:ilvl w:val="0"/>
          <w:numId w:val="1"/>
        </w:numPr>
        <w:spacing w:after="80"/>
      </w:pPr>
      <w:r>
        <w:t xml:space="preserve">RG37 : En cas d'écart significatif et récurrent entre le prévisionnel et le réel sur une ligne d'opération ou de matière première, les valeurs standards du catalogue (LigneMatierePremiere, LigneOperation) doivent être révisées pour les commandes futures — boucle de rétroaction (mise à jour STI n°2).</w:t>
      </w:r>
    </w:p>
    <w:p>
      <w:pPr>
        <w:pStyle w:val="ListParagraph"/>
        <w:numPr>
          <w:ilvl w:val="0"/>
          <w:numId w:val="1"/>
        </w:numPr>
        <w:spacing w:after="80"/>
      </w:pPr>
      <w:r>
        <w:t xml:space="preserve">RG38 : Un devis référence le produit catalogue par clé étrangère et n'en duplique jamais les attributs ; il n'ajoute que les détails, options et personnalisations propres à la commande, via OptionDevis. Chaque opération réellement exécutée transite par un statut explicite (PLANIFIEE, EN_COURS, EXECUTEE), symétrique de la sortie de stock pour les matières (mise à jour STI n°3).</w:t>
      </w:r>
    </w:p>
    <w:p>
      <w:pPr>
        <w:pStyle w:val="ListParagraph"/>
        <w:numPr>
          <w:ilvl w:val="0"/>
          <w:numId w:val="1"/>
        </w:numPr>
        <w:spacing w:after="80"/>
      </w:pPr>
      <w:r>
        <w:t xml:space="preserve">RG39 : Chaque ligne de devis (LigneDevis) se décompose en une ou plusieurs lignes de matière (LigneMatiereDevis) et lignes d'opération (LigneOperationDevis), initialisées par copie depuis la nomenclature et la gamme du composant catalogue (LigneMatierePremiere, LigneOperation) au moment de la création du devis, et ajustables ensuite via les options du devis (OptionDevis). cout_matiere_estime et cout_operation_estime de LigneDevis sont les sommes calculées de ces lignes détaillées (mise à jour STI n°4).</w:t>
      </w:r>
    </w:p>
    <w:p>
      <w:r>
        <w:br w:type="page"/>
      </w:r>
    </w:p>
    <w:p>
      <w:pPr>
        <w:sectPr>
          <w:pgSz w:w="11906" w:h="16838" w:orient="portrait"/>
          <w:pgMar w:top="1440" w:right="1440" w:bottom="1440" w:left="1440" w:header="708" w:footer="708" w:gutter="0"/>
          <w:pgNumType/>
          <w:docGrid w:linePitch="360"/>
        </w:sectPr>
      </w:pPr>
    </w:p>
    <w:p>
      <w:pPr>
        <w:pStyle w:val="Heading1"/>
        <w:spacing w:after="200" w:before="400"/>
      </w:pPr>
      <w:r>
        <w:rPr>
          <w:b/>
          <w:bCs/>
        </w:rPr>
        <w:t xml:space="preserve">5.7  Modélisation du domaine</w:t>
      </w:r>
    </w:p>
    <w:p>
      <w:pPr>
        <w:spacing w:after="160"/>
      </w:pPr>
      <w:r>
        <w:t xml:space="preserve">La figure 5.2 présente le modèle conceptuel de données (MCD) complet et corrigé du SGCE-INM : vingt-quatre classes d'entités, regroupées par bounded context (couleur), avec pour chacune ses attributs typés, sa clé primaire, et les règles de gestion qui la contraignent directement. Les classes teintées en amber (Catalogue) correspondent à la clarification du STI (section 5.2.5) et ne sont, à ce stade, qu'une spécification à implémenter plutôt qu'un modèle déjà codé — ce point est rappelé dans la note qui accompagne le diagramme.
Cette version corrige trois écarts identifiés lors de la revue de cohérence entre le modèle du domaine, le dictionnaire des données (section 5.5) et les règles de gestion (section 5.6) :
-   L'entité LigneDevis, présente dans une itération antérieure mais omise par erreur de la mise à jour STI, est rétablie : sans elle, la RG28 (comparaison prévisionnel/réel composant par composant) n'avait plus de support prévisionnel granulaire à comparer à ControlePrixRevient. Elle porte désormais également le champ remarque signalé par le STI (section 2.2, document de compte-rendu STI) et les deux attributs part_fixe_amortie / part_variable ;
-   L'entité Machine est renommée PosteDeCharge et complétée par l'attribut type_poste (MACHINE, MANUEL), afin de couvrir aussi bien les opérations automatisées que les travaux manuels (assemblage, comptage, pliage manuel), conformément à la clarification du STI sur le principe général de costing ;
-   LigneMatierePremiere et LigneOperation portent désormais un attribut type_charge (FIXE, VARIABLE) : une charge fixe (calage machine, création de plaques/clichés) s'amortit sur la quantité totale commandée, tandis qu'une charge variable suit une règle de trois stricte sur le volume — ce qui corrige la RG27, qui appliquait jusqu'ici un calcul strictement linéaire. L'entité Article reçoit par ailleurs un attribut emplacement_stock.
Une seconde clarification du STI (Compte-rendu « Gestion Devis, Fabrication et Contrôle du Prix de Revient ») a mis en évidence quatre écarts supplémentaires, corrigés dans cette version :
-   Un devis sur-mesure ne se limite pas à instancier un produit catalogue : le client y ajoute des exigences particulières (options, spécifications techniques). L'entité OptionDevis est créée pour chiffrer individuellement chacune de ces personnalisations (surcout_matiere, surcout_operation), en complément de LigneDevis qui reste le chiffrage par composant standard (RG33) ;
-   Le lancement du dossier de fabrication réserve les matières nécessaires avant toute sortie physique réelle ; MouvementStock.type_mouvement intègre désormais la valeur RESERVATION en plus de SORTIE et ENTREE (RG34) ;
-   L'analyse des écarts requiert une saisie du temps réel par opération et non plus seulement un coût réel agrégé par dossier : l'entité ExecutionOperation enregistre le temps réellement passé sur chaque poste de charge, en regard de la LigneOperation prévisionnelle correspondante (RG35) ;
-   La « règle d'or » du contrôle de gestion veut qu'un devis trop généreusement marge soit tout aussi problématique qu'un devis déficitaire (non-compétitivité). Produit porte désormais une fourchette marge_min / marge_max, et ControlePrixRevient.resultat est requalifié en SOUS_MARGE, DANS_LA_NORME, SUR_MARGE (RG36) ; un écart significatif et récurrent doit en outre déclencher la révision des valeurs standards du catalogue pour les commandes futures (RG37).
Une transcription complémentaire du STI, restituant la même clarification sous forme orale, a confirmé l'ensemble de ces points et précisé deux éléments : les opérations réellement exécutées transitent par un statut explicite (symétrique de la sortie de stock pour les matières), et le principe selon lequel « le devis ne doit pas être une simple duplication du produit catalogue, mais l'enrichit de détails » mérite d'être formalisé comme règle de gestion à part entière.
-   ExecutionOperation porte désormais un attribut statut (PLANIFIEE, EN_COURS, EXECUTEE) pour représenter ce changement d'état, en complément du temps_reel déjà enregistré ;
-   RG38 formalise le principe anti-duplication catalogue/devis : le devis référence le produit catalogue par clé étrangère sans en dupliquer les attributs, et n'ajoute que les détails et personnalisations propres à la commande via OptionDevis.
Une relecture plus attentive de la même clarification orale a mis au jour une omission structurelle plus significative : LigneDevis ne portait que deux totaux (cout_matiere_estime, cout_operation_estime) sans le détail sous-jacent, alors que le STI insiste explicitement sur une « liste des matières estimées » et une liste des opérations prévisionnelles propres au devis — distinctes de la nomenclature et de la gamme du catalogue, puisqu'un devis peut les ajuster via ses OptionDevis.
-   LigneMatiereDevis et LigneOperationDevis sont créées : une ligne par matière première, respectivement par opération, engagée dans le devis, initialisée par copie depuis LigneMatierePremiere et LigneOperation du catalogue à la création du devis (RG39). LigneDevis.cout_matiere_estime et cout_operation_estime deviennent des agrégats calculés à partir de ces lignes, et non plus des valeurs saisies directement ;
-   Par cohérence, ExecutionOperation.id_ligne_operation_devis référence désormais LigneOperationDevis (l'engagement réel du devis, potentiellement ajusté par une option) plutôt que LigneOperation du catalogue générique — la comparaison prévisionnel/réel de la RG35 porte ainsi sur ce que le devis a effectivement promis au client, pas sur la valeur standard du catalogue.</w:t>
      </w:r>
    </w:p>
    <w:p>
      <w:pPr>
        <w:spacing w:after="80" w:before="200"/>
        <w:jc w:val="center"/>
      </w:pPr>
      <w:r>
        <w:drawing>
          <wp:inline distT="0" distB="0" distL="0" distR="0">
            <wp:extent cx="5681140" cy="573328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681140" cy="5733288"/>
                    </a:xfrm>
                    <a:prstGeom prst="rect">
                      <a:avLst/>
                    </a:prstGeom>
                  </pic:spPr>
                </pic:pic>
              </a:graphicData>
            </a:graphic>
          </wp:inline>
        </w:drawing>
      </w:r>
    </w:p>
    <w:p>
      <w:pPr>
        <w:spacing w:after="300" w:before="100"/>
        <w:jc w:val="center"/>
      </w:pPr>
      <w:r>
        <w:rPr>
          <w:b/>
          <w:bCs/>
          <w:i/>
          <w:iCs/>
          <w:sz w:val="20"/>
          <w:szCs w:val="20"/>
        </w:rPr>
        <w:t>Figure 5.2 : Modèle conceptuel de données complet du SGCE-INM — 24 entités, attributs complets</w:t>
      </w:r>
    </w:p>
    <w:p>
      <w:pPr>
        <w:spacing w:before="80" w:after="200"/>
      </w:pPr>
      <w:r>
        <w:rPr>
          <w:i/>
          <w:sz w:val="18"/>
        </w:rPr>
        <w:t>Légende — ● entité introduite par la clarification du STI (section 5.2.5) ; ↻ entité renommée (Machine → PosteDeCharge, RG31) ; ↺ entité rétablie après une itération antérieure du chapitre ; * attribut ou valeur ajouté(e) par les clarifications du STI. Les entités et attributs sans marque existaient avant les clarifications du STI. Ce diagramme reprend l'intégralité des attributs de chaque entité (cf. tableau 5.5).</w:t>
      </w:r>
    </w:p>
    <w:p>
      <w:pPr>
        <w:spacing w:after="160"/>
      </w:pPr>
      <w:r>
        <w:t xml:space="preserve">Ce modèle se lit en cinq blocs cohérents avec les bounded contexts détaillés en section 5.8 : le Référentiel &amp; Catalogue (Utilisateur, OrganismeClient, Article, et les six classes du catalogue — FamilleProduit, Produit, Composant, LigneMatierePremiere, LigneOperation, PosteDeCharge) à gauche ; les Devis &amp; Estimation (Commande, Devis, LigneDevis, LigneMatiereDevis, LigneOperationDevis, OptionDevis, EstimationIA) au centre ; la Production &amp; Stock (Atelier, DossierFabrication, EtapeProduction, MouvementStock, ExecutionOperation) ; le Contrôle &amp; Facturation (ControlePrixRevient, Facture) à droite ; et la Sécurité &amp; Notifications (Notification), transverse aux quatre autres. LigneDevis, LigneMatiereDevis et LigneOperationDevis font le pont entre le Catalogue et le Contrôle : chiffrées à la création du devis par copie de la nomenclature et de la gamme catalogue, elles servent de référence prévisionnelle à ControlePrixRevient à la clôture (RG28) et à ExecutionOperation pendant la production (RG35).</w:t>
      </w:r>
    </w:p>
    <w:p>
      <w:pPr>
        <w:sectPr>
          <w:pgSz w:w="16838" w:h="11906" w:orient="portrait"/>
          <w:pgMar w:top="1440" w:right="1440" w:bottom="1440" w:left="1440" w:header="708" w:footer="708" w:gutter="0"/>
          <w:pgNumType/>
          <w:docGrid w:linePitch="360"/>
        </w:sectPr>
      </w:pPr>
    </w:p>
    <w:p>
      <w:pPr>
        <w:pStyle w:val="Heading1"/>
        <w:spacing w:after="200" w:before="400"/>
      </w:pPr>
      <w:r>
        <w:rPr>
          <w:b/>
          <w:bCs/>
        </w:rPr>
        <w:t xml:space="preserve">5.8  Diagrammes de classes de conception par contexte borné</w:t>
      </w:r>
    </w:p>
    <w:p>
      <w:pPr>
        <w:spacing w:after="160"/>
      </w:pPr>
      <w:r>
        <w:t xml:space="preserve">Plutôt que de regrouper les classes de conception par sprint (choix de la version précédente de ce chapitre, qui mélangeait des préoccupations techniques et fonctionnelles), le système est ici découpé en cinq domaines fonctionnels (bounded contexts), chacun détaillé dans un diagramme dédié. Ce découpage correspond directement à l'organisation des applications Django du dépôt sgce-inm (chapitre 6) et facilite la lecture indépendante de chaque domaine.</w:t>
      </w:r>
    </w:p>
    <w:p>
      <w:pPr>
        <w:pStyle w:val="Heading2"/>
        <w:spacing w:after="150" w:before="300"/>
      </w:pPr>
      <w:r>
        <w:rPr>
          <w:b/>
          <w:bCs/>
        </w:rPr>
        <w:t xml:space="preserve">5.8.1  BC1 — Référentiel &amp; Catalogue</w:t>
      </w:r>
    </w:p>
    <w:p>
      <w:pPr>
        <w:spacing w:after="160"/>
      </w:pPr>
      <w:r>
        <w:t xml:space="preserve">Ce contexte regroupe les entités de référence partagées (Utilisateur, Article) et la structure du Catalogue de produits clarifiée par le STI : une famille détermine le mode de décomposition d'un produit en composants numérotés, chacun porteur de sa nomenclature de matières premières et de sa gamme d'opérations.</w:t>
      </w:r>
    </w:p>
    <w:p>
      <w:pPr>
        <w:spacing w:after="80" w:before="200"/>
        <w:jc w:val="center"/>
      </w:pPr>
      <w:r>
        <w:drawing>
          <wp:inline distT="0" distB="0" distL="0" distR="0">
            <wp:extent cx="4381500" cy="523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5238750"/>
                    </a:xfrm>
                    <a:prstGeom prst="rect">
                      <a:avLst/>
                    </a:prstGeom>
                  </pic:spPr>
                </pic:pic>
              </a:graphicData>
            </a:graphic>
          </wp:inline>
        </w:drawing>
      </w:r>
    </w:p>
    <w:p>
      <w:pPr>
        <w:spacing w:after="300" w:before="100"/>
        <w:jc w:val="center"/>
      </w:pPr>
      <w:r>
        <w:rPr>
          <w:b/>
          <w:bCs/>
          <w:i/>
          <w:iCs/>
          <w:sz w:val="20"/>
          <w:szCs w:val="20"/>
        </w:rPr>
        <w:t xml:space="preserve">Figure 5.3 : Diagramme de classes — BC1 Référentiel &amp; Catalogue</w:t>
      </w:r>
    </w:p>
    <w:p>
      <w:pPr>
        <w:spacing w:after="160"/>
      </w:pPr>
      <w:r>
        <w:rPr>
          <w:i/>
          <w:iCs/>
        </w:rPr>
        <w:t xml:space="preserve">Note de révision : cette figure reprend encore l'appellation Machine et n'affiche pas les attributs type_poste et type_charge introduits par la correction de la section 5.7 (RG29, RG31). Elle devra être régénérée en cohérence avec le modèle de domaine corrigé (figure 5.2) avant le dépôt final du mémoire ; il en va de même pour la figure 5.4 (BC2), qui devra intégrer l'entité LigneDevis rétablie.</w:t>
      </w:r>
    </w:p>
    <w:p>
      <w:pPr>
        <w:pStyle w:val="Heading2"/>
        <w:spacing w:after="150" w:before="300"/>
      </w:pPr>
      <w:r>
        <w:rPr>
          <w:b/>
          <w:bCs/>
        </w:rPr>
        <w:t xml:space="preserve">5.8.2  BC2 — Devis &amp; Estimation</w:t>
      </w:r>
    </w:p>
    <w:p>
      <w:pPr>
        <w:spacing w:after="160"/>
      </w:pPr>
      <w:r>
        <w:t xml:space="preserve">Ce contexte couvre l'enregistrement de la commande et l'instanciation du catalogue en devis, affiné par le module d'estimation intelligente. Le point d'implémentation noté sur le diagramme rappelle l'ordre d'exécution attendu entre le calcul déterministe (RG27) et l'appel au module IA.</w:t>
      </w:r>
    </w:p>
    <w:p>
      <w:pPr>
        <w:spacing w:after="80" w:before="200"/>
        <w:jc w:val="center"/>
      </w:pPr>
      <w:r>
        <w:drawing>
          <wp:inline distT="0" distB="0" distL="0" distR="0">
            <wp:extent cx="3810000" cy="5600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5600700"/>
                    </a:xfrm>
                    <a:prstGeom prst="rect">
                      <a:avLst/>
                    </a:prstGeom>
                  </pic:spPr>
                </pic:pic>
              </a:graphicData>
            </a:graphic>
          </wp:inline>
        </w:drawing>
      </w:r>
    </w:p>
    <w:p>
      <w:pPr>
        <w:spacing w:after="300" w:before="100"/>
        <w:jc w:val="center"/>
      </w:pPr>
      <w:r>
        <w:rPr>
          <w:b/>
          <w:bCs/>
          <w:i/>
          <w:iCs/>
          <w:sz w:val="20"/>
          <w:szCs w:val="20"/>
        </w:rPr>
        <w:t xml:space="preserve">Figure 5.4 : Diagramme de classes — BC2 Devis &amp; Estimation</w:t>
      </w:r>
    </w:p>
    <w:p>
      <w:pPr>
        <w:pStyle w:val="Heading2"/>
        <w:spacing w:after="150" w:before="300"/>
      </w:pPr>
      <w:r>
        <w:rPr>
          <w:b/>
          <w:bCs/>
        </w:rPr>
        <w:t xml:space="preserve">5.8.3  BC3 — Production &amp; Stock</w:t>
      </w:r>
    </w:p>
    <w:p>
      <w:pPr>
        <w:spacing w:after="160"/>
      </w:pPr>
      <w:r>
        <w:t xml:space="preserve">Ce contexte couvre la génération et le suivi du dossier de fabrication, ainsi que les mouvements de stock qui lui sont rattachés. La note sur MouvementStock documente une particularité déjà observée dans le code : l'ordre d'exécution du signal post_save par rapport à la mise à jour du stock, qui impose l'usage de transaction.on_commit() pour la notification de seuil.</w:t>
      </w:r>
    </w:p>
    <w:p>
      <w:pPr>
        <w:spacing w:after="80" w:before="200"/>
        <w:jc w:val="center"/>
      </w:pPr>
      <w:r>
        <w:drawing>
          <wp:inline distT="0" distB="0" distL="0" distR="0">
            <wp:extent cx="4191000" cy="5200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191000" cy="5200650"/>
                    </a:xfrm>
                    <a:prstGeom prst="rect">
                      <a:avLst/>
                    </a:prstGeom>
                  </pic:spPr>
                </pic:pic>
              </a:graphicData>
            </a:graphic>
          </wp:inline>
        </w:drawing>
      </w:r>
    </w:p>
    <w:p>
      <w:pPr>
        <w:spacing w:after="300" w:before="100"/>
        <w:jc w:val="center"/>
      </w:pPr>
      <w:r>
        <w:rPr>
          <w:b/>
          <w:bCs/>
          <w:i/>
          <w:iCs/>
          <w:sz w:val="20"/>
          <w:szCs w:val="20"/>
        </w:rPr>
        <w:t xml:space="preserve">Figure 5.5 : Diagramme de classes — BC3 Production &amp; Stock</w:t>
      </w:r>
    </w:p>
    <w:p>
      <w:pPr>
        <w:pStyle w:val="Heading2"/>
        <w:spacing w:after="150" w:before="300"/>
      </w:pPr>
      <w:r>
        <w:rPr>
          <w:b/>
          <w:bCs/>
        </w:rPr>
        <w:t xml:space="preserve">5.8.4  BC4 — Contrôle du prix de revient &amp; Facturation</w:t>
      </w:r>
    </w:p>
    <w:p>
      <w:pPr>
        <w:spacing w:after="160"/>
      </w:pPr>
      <w:r>
        <w:t xml:space="preserve">Ce contexte couvre la clôture du dossier : comparaison automatique du prévisionnel et du réel (composant par composant lorsque le catalogue est renseigné), et émission des factures proforma puis définitive.</w:t>
      </w:r>
    </w:p>
    <w:p>
      <w:pPr>
        <w:spacing w:after="80" w:before="200"/>
        <w:jc w:val="center"/>
      </w:pPr>
      <w:r>
        <w:drawing>
          <wp:inline distT="0" distB="0" distL="0" distR="0">
            <wp:extent cx="5334000" cy="2590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590800"/>
                    </a:xfrm>
                    <a:prstGeom prst="rect">
                      <a:avLst/>
                    </a:prstGeom>
                  </pic:spPr>
                </pic:pic>
              </a:graphicData>
            </a:graphic>
          </wp:inline>
        </w:drawing>
      </w:r>
    </w:p>
    <w:p>
      <w:pPr>
        <w:spacing w:after="300" w:before="100"/>
        <w:jc w:val="center"/>
      </w:pPr>
      <w:r>
        <w:rPr>
          <w:b/>
          <w:bCs/>
          <w:i/>
          <w:iCs/>
          <w:sz w:val="20"/>
          <w:szCs w:val="20"/>
        </w:rPr>
        <w:t xml:space="preserve">Figure 5.6 : Diagramme de classes — BC4 Contrôle du prix de revient &amp; Facturation</w:t>
      </w:r>
    </w:p>
    <w:p>
      <w:pPr>
        <w:pStyle w:val="Heading2"/>
        <w:spacing w:after="150" w:before="300"/>
      </w:pPr>
      <w:r>
        <w:rPr>
          <w:b/>
          <w:bCs/>
        </w:rPr>
        <w:t xml:space="preserve">5.8.5  BC5 — Sécurité &amp; Notifications</w:t>
      </w:r>
    </w:p>
    <w:p>
      <w:pPr>
        <w:spacing w:after="160"/>
      </w:pPr>
      <w:r>
        <w:t xml:space="preserve">Ce contexte, transverse aux quatre autres, gère les rôles et les notifications déclenchées par les événements significatifs des autres bounded contexts.</w:t>
      </w:r>
    </w:p>
    <w:p>
      <w:pPr>
        <w:spacing w:after="80" w:before="200"/>
        <w:jc w:val="center"/>
      </w:pPr>
      <w:r>
        <w:drawing>
          <wp:inline distT="0" distB="0" distL="0" distR="0">
            <wp:extent cx="4381500" cy="2847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381500" cy="2847975"/>
                    </a:xfrm>
                    <a:prstGeom prst="rect">
                      <a:avLst/>
                    </a:prstGeom>
                  </pic:spPr>
                </pic:pic>
              </a:graphicData>
            </a:graphic>
          </wp:inline>
        </w:drawing>
      </w:r>
    </w:p>
    <w:p>
      <w:pPr>
        <w:spacing w:after="300" w:before="100"/>
        <w:jc w:val="center"/>
      </w:pPr>
      <w:r>
        <w:rPr>
          <w:b/>
          <w:bCs/>
          <w:i/>
          <w:iCs/>
          <w:sz w:val="20"/>
          <w:szCs w:val="20"/>
        </w:rPr>
        <w:t xml:space="preserve">Figure 5.7 : Diagramme de classes — BC5 Sécurité &amp; Notifications</w:t>
      </w:r>
    </w:p>
    <w:p>
      <w:pPr>
        <w:pStyle w:val="Heading1"/>
        <w:spacing w:after="200" w:before="400"/>
      </w:pPr>
      <w:r>
        <w:rPr>
          <w:b/>
          <w:bCs/>
        </w:rPr>
        <w:t xml:space="preserve">5.9  Diagramme de classes de conception global</w:t>
      </w:r>
    </w:p>
    <w:p>
      <w:pPr>
        <w:spacing w:after="160"/>
      </w:pPr>
      <w:r>
        <w:t xml:space="preserve">La figure 5.8 offre une vue d'ensemble simplifiée (sans attributs) du système, où le code couleur reprend celui des cinq bounded contexts détaillés en section 5.8. Elle permet de visualiser en un coup d'œil les points de couplage entre domaines : Devis dépend de Produit (Référentiel &amp; Catalogue), DossierFabrication fait le pont entre Devis &amp; Estimation et Production &amp; Stock, et ControlePrixRevient relie Production &amp; Stock à Contrôle &amp; Facturation.</w:t>
      </w:r>
    </w:p>
    <w:p>
      <w:pPr>
        <w:spacing w:after="80" w:before="200"/>
        <w:jc w:val="center"/>
      </w:pPr>
      <w:r>
        <w:drawing>
          <wp:inline distT="0" distB="0" distL="0" distR="0">
            <wp:extent cx="5905500" cy="2638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2638425"/>
                    </a:xfrm>
                    <a:prstGeom prst="rect">
                      <a:avLst/>
                    </a:prstGeom>
                  </pic:spPr>
                </pic:pic>
              </a:graphicData>
            </a:graphic>
          </wp:inline>
        </w:drawing>
      </w:r>
    </w:p>
    <w:p>
      <w:pPr>
        <w:spacing w:after="300" w:before="100"/>
        <w:jc w:val="center"/>
      </w:pPr>
      <w:r>
        <w:rPr>
          <w:b/>
          <w:bCs/>
          <w:i/>
          <w:iCs/>
          <w:sz w:val="20"/>
          <w:szCs w:val="20"/>
        </w:rPr>
        <w:t xml:space="preserve">Figure 5.8 : Diagramme de classes de conception globale (vue simplifiée)</w:t>
      </w:r>
    </w:p>
    <w:p>
      <w:r>
        <w:br w:type="page"/>
      </w:r>
    </w:p>
    <w:p>
      <w:pPr>
        <w:pStyle w:val="Heading1"/>
        <w:spacing w:after="200" w:before="400"/>
      </w:pPr>
      <w:r>
        <w:rPr>
          <w:b/>
          <w:bCs/>
        </w:rPr>
        <w:t xml:space="preserve">5.10  Diagrammes de séquence — cas critiques</w:t>
      </w:r>
    </w:p>
    <w:p>
      <w:pPr>
        <w:spacing w:after="160"/>
      </w:pPr>
      <w:r>
        <w:t xml:space="preserve">Les diagrammes de séquence ci-après détaillent, pour quatre cas d'utilisation Must have (tableau 5.3), les échanges entre les couches architecturales du système — «Présentation» (React), «Application» (vues et API Django REST Framework), «Domaine» (règles métier) et «Infrastructure» (base Oracle 23ai, module IA, notifications) — construits à partir des permissions et méthodes clean()/save() effectivement présentes dans le code du dépôt sgce-inm.</w:t>
      </w:r>
    </w:p>
    <w:p>
      <w:pPr>
        <w:pStyle w:val="Heading2"/>
        <w:spacing w:after="150" w:before="300"/>
      </w:pPr>
      <w:r>
        <w:rPr>
          <w:b/>
          <w:bCs/>
        </w:rPr>
        <w:t xml:space="preserve">5.10.1  UC-02 : création et validation d'un devis (catalogue + IA)</w:t>
      </w:r>
    </w:p>
    <w:p>
      <w:pPr>
        <w:spacing w:after="160"/>
      </w:pPr>
      <w:r>
        <w:t xml:space="preserve">Ce scénario illustre le principe du Catalogue clarifié par le STI (section 5.2.5) : la sélection d'un produit déclenche un calcul déterministe côté serveur (RG27), complété par une estimation IA, avant que l'Agent SDO ne valide le devis (RG16).</w:t>
      </w:r>
    </w:p>
    <w:p>
      <w:pPr>
        <w:spacing w:after="80" w:before="200"/>
        <w:jc w:val="center"/>
      </w:pPr>
      <w:r>
        <w:drawing>
          <wp:inline distT="0" distB="0" distL="0" distR="0">
            <wp:extent cx="5715000" cy="3838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838575"/>
                    </a:xfrm>
                    <a:prstGeom prst="rect">
                      <a:avLst/>
                    </a:prstGeom>
                  </pic:spPr>
                </pic:pic>
              </a:graphicData>
            </a:graphic>
          </wp:inline>
        </w:drawing>
      </w:r>
    </w:p>
    <w:p>
      <w:pPr>
        <w:spacing w:after="300" w:before="100"/>
        <w:jc w:val="center"/>
      </w:pPr>
      <w:r>
        <w:rPr>
          <w:b/>
          <w:bCs/>
          <w:i/>
          <w:iCs/>
          <w:sz w:val="20"/>
          <w:szCs w:val="20"/>
        </w:rPr>
        <w:t xml:space="preserve">Figure 5.9 : Diagramme de séquence — UC-02 Créer et valider un devis</w:t>
      </w:r>
    </w:p>
    <w:p>
      <w:pPr>
        <w:pStyle w:val="Heading2"/>
        <w:spacing w:after="150" w:before="300"/>
      </w:pPr>
      <w:r>
        <w:rPr>
          <w:b/>
          <w:bCs/>
        </w:rPr>
        <w:t xml:space="preserve">5.10.2  UC-05 : sortie de matière avec vérification de stock</w:t>
      </w:r>
    </w:p>
    <w:p>
      <w:pPr>
        <w:spacing w:after="160"/>
      </w:pPr>
      <w:r>
        <w:t xml:space="preserve">Ce scénario illustre la vérification atomique du stock disponible (RG11) et le déclenchement de la notification de franchissement de seuil de sécurité, telle qu'implémentée par le signal post_save de MouvementStock (RG18).</w:t>
      </w:r>
    </w:p>
    <w:p>
      <w:pPr>
        <w:spacing w:after="80" w:before="200"/>
        <w:jc w:val="center"/>
      </w:pPr>
      <w:r>
        <w:drawing>
          <wp:inline distT="0" distB="0" distL="0" distR="0">
            <wp:extent cx="5905500" cy="2981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05500" cy="2981325"/>
                    </a:xfrm>
                    <a:prstGeom prst="rect">
                      <a:avLst/>
                    </a:prstGeom>
                  </pic:spPr>
                </pic:pic>
              </a:graphicData>
            </a:graphic>
          </wp:inline>
        </w:drawing>
      </w:r>
    </w:p>
    <w:p>
      <w:pPr>
        <w:spacing w:after="300" w:before="100"/>
        <w:jc w:val="center"/>
      </w:pPr>
      <w:r>
        <w:rPr>
          <w:b/>
          <w:bCs/>
          <w:i/>
          <w:iCs/>
          <w:sz w:val="20"/>
          <w:szCs w:val="20"/>
        </w:rPr>
        <w:t xml:space="preserve">Figure 5.10 : Diagramme de séquence — UC-05 Gérer une sortie de matière</w:t>
      </w:r>
    </w:p>
    <w:p>
      <w:pPr>
        <w:pStyle w:val="Heading2"/>
        <w:spacing w:after="150" w:before="300"/>
      </w:pPr>
      <w:r>
        <w:rPr>
          <w:b/>
          <w:bCs/>
        </w:rPr>
        <w:t xml:space="preserve">5.10.3  UC-06 : contrôle du prix de revient à la clôture</w:t>
      </w:r>
    </w:p>
    <w:p>
      <w:pPr>
        <w:spacing w:after="160"/>
      </w:pPr>
      <w:r>
        <w:t xml:space="preserve">Ce scénario détaille le calcul automatique du résultat et de l'écart significatif (RG24), désormais effectué composant par composant conformément au principe du Catalogue (RG28), ainsi que la notification de l'Administrateur en cas d'écart significatif (RG18).</w:t>
      </w:r>
    </w:p>
    <w:p>
      <w:pPr>
        <w:spacing w:after="80" w:before="200"/>
        <w:jc w:val="center"/>
      </w:pPr>
      <w:r>
        <w:drawing>
          <wp:inline distT="0" distB="0" distL="0" distR="0">
            <wp:extent cx="5905500" cy="2905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05500" cy="2905125"/>
                    </a:xfrm>
                    <a:prstGeom prst="rect">
                      <a:avLst/>
                    </a:prstGeom>
                  </pic:spPr>
                </pic:pic>
              </a:graphicData>
            </a:graphic>
          </wp:inline>
        </w:drawing>
      </w:r>
    </w:p>
    <w:p>
      <w:pPr>
        <w:spacing w:after="300" w:before="100"/>
        <w:jc w:val="center"/>
      </w:pPr>
      <w:r>
        <w:rPr>
          <w:b/>
          <w:bCs/>
          <w:i/>
          <w:iCs/>
          <w:sz w:val="20"/>
          <w:szCs w:val="20"/>
        </w:rPr>
        <w:t xml:space="preserve">Figure 5.11 : Diagramme de séquence — UC-06 Contrôler le prix de revient à la clôture</w:t>
      </w:r>
    </w:p>
    <w:p>
      <w:pPr>
        <w:pStyle w:val="Heading2"/>
        <w:spacing w:after="150" w:before="300"/>
      </w:pPr>
      <w:r>
        <w:rPr>
          <w:b/>
          <w:bCs/>
        </w:rPr>
        <w:t xml:space="preserve">5.10.4  UC-03 : génération et ordonnancement du dossier de fabrication</w:t>
      </w:r>
    </w:p>
    <w:p>
      <w:pPr>
        <w:spacing w:after="160"/>
      </w:pPr>
      <w:r>
        <w:t xml:space="preserve">Ce scénario montre le déclenchement automatique, par signal, de la génération du dossier de fabrication et de ses étapes à la validation du devis (RG4, RG5), ainsi que l'équilibrage de charge entre machines de l'atelier concerné (RG8).</w:t>
      </w:r>
    </w:p>
    <w:p>
      <w:pPr>
        <w:spacing w:after="80" w:before="200"/>
        <w:jc w:val="center"/>
      </w:pPr>
      <w:r>
        <w:drawing>
          <wp:inline distT="0" distB="0" distL="0" distR="0">
            <wp:extent cx="5715000" cy="3609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3609975"/>
                    </a:xfrm>
                    <a:prstGeom prst="rect">
                      <a:avLst/>
                    </a:prstGeom>
                  </pic:spPr>
                </pic:pic>
              </a:graphicData>
            </a:graphic>
          </wp:inline>
        </w:drawing>
      </w:r>
    </w:p>
    <w:p>
      <w:pPr>
        <w:spacing w:after="300" w:before="100"/>
        <w:jc w:val="center"/>
      </w:pPr>
      <w:r>
        <w:rPr>
          <w:b/>
          <w:bCs/>
          <w:i/>
          <w:iCs/>
          <w:sz w:val="20"/>
          <w:szCs w:val="20"/>
        </w:rPr>
        <w:t xml:space="preserve">Figure 5.12 : Diagramme de séquence — UC-03 Générer et ordonnancer le dossier de fabrication</w:t>
      </w:r>
    </w:p>
    <w:p>
      <w:pPr>
        <w:sectPr>
          <w:pgSz w:w="11906" w:h="16838" w:orient="portrait"/>
          <w:pgMar w:top="1440" w:right="1440" w:bottom="1440" w:left="1440" w:header="708" w:footer="708" w:gutter="0"/>
          <w:pgNumType/>
          <w:docGrid w:linePitch="360"/>
        </w:sectPr>
      </w:pPr>
    </w:p>
    <w:p>
      <w:pPr>
        <w:pStyle w:val="Heading1"/>
        <w:spacing w:after="200" w:before="400"/>
      </w:pPr>
      <w:r>
        <w:rPr>
          <w:b/>
          <w:bCs/>
        </w:rPr>
        <w:t xml:space="preserve">5.11  Diagramme de paquetage</w:t>
      </w:r>
    </w:p>
    <w:p>
      <w:pPr>
        <w:spacing w:after="160"/>
      </w:pPr>
      <w:r>
        <w:t xml:space="preserve">Le diagramme de paquetage retenu (figure 5.13) applique, à chacun des cinq bounded contexts (section 5.8), une architecture en couches (présentation / application / domaine / infrastructure), avec un module notifications jouant le rôle de noyau partagé (shared kernel) : chaque contexte y déclenche un signal sans connaître ses consommateurs, cohérent avec l'implémentation réelle (apps/notifications/signals.py). Les dépendances inter-contextes sont annotées de la règle de gestion qui les justifie (ex. « lecture catalogue » RG27 entre devis.application et catalogue.application).</w:t>
      </w:r>
    </w:p>
    <w:p>
      <w:pPr>
        <w:spacing w:after="80" w:before="200"/>
        <w:jc w:val="center"/>
      </w:pPr>
      <w:r>
        <w:drawing>
          <wp:inline distT="0" distB="0" distL="0" distR="0">
            <wp:extent cx="9048750" cy="3867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9048750" cy="3867150"/>
                    </a:xfrm>
                    <a:prstGeom prst="rect">
                      <a:avLst/>
                    </a:prstGeom>
                  </pic:spPr>
                </pic:pic>
              </a:graphicData>
            </a:graphic>
          </wp:inline>
        </w:drawing>
      </w:r>
    </w:p>
    <w:p>
      <w:pPr>
        <w:spacing w:after="300" w:before="100"/>
        <w:jc w:val="center"/>
      </w:pPr>
      <w:r>
        <w:rPr>
          <w:b/>
          <w:bCs/>
          <w:i/>
          <w:iCs/>
          <w:sz w:val="20"/>
          <w:szCs w:val="20"/>
        </w:rPr>
        <w:t xml:space="preserve">Figure 5.13 : Diagramme de paquetage — architecture en couches par bounded context</w:t>
      </w:r>
    </w:p>
    <w:p>
      <w:pPr>
        <w:sectPr>
          <w:pgSz w:w="16838" w:h="11906" w:orient="portrait"/>
          <w:pgMar w:top="1440" w:right="1440" w:bottom="1440" w:left="1440" w:header="708" w:footer="708" w:gutter="0"/>
          <w:pgNumType/>
          <w:docGrid w:linePitch="360"/>
        </w:sectPr>
      </w:pPr>
    </w:p>
    <w:p>
      <w:pPr>
        <w:pStyle w:val="Heading1"/>
        <w:spacing w:after="200" w:before="400"/>
      </w:pPr>
      <w:r>
        <w:rPr>
          <w:b/>
          <w:bCs/>
        </w:rPr>
        <w:t xml:space="preserve">5.12  Diagramme de déploiement</w:t>
      </w:r>
    </w:p>
    <w:p>
      <w:pPr>
        <w:spacing w:after="160"/>
      </w:pPr>
      <w:r>
        <w:t xml:space="preserve">Le diagramme de déploiement (figure 5.14) illustre l'infrastructure retenue, conforme à la contrainte institutionnelle de l'INM imposant un hébergement exclusivement local : le frontend React et le backend Django REST Framework sont conteneurisés (Docker) sur un serveur unique du réseau interne, qui communique avec la base Oracle 23ai (FREEPDB1). L'hypothèse de déploiement H-01 (colocalisation applicatif/base sur une seule machine si les moyens matériels de l'INM ne permettent pas deux serveurs distincts) et l'exigence NF-01 de sauvegarde quotidienne sont explicitement annotées sur le diagramme, à la manière d'un cahier des charges technique plutôt que d'un schéma purement illustratif.</w:t>
      </w:r>
    </w:p>
    <w:p>
      <w:pPr>
        <w:spacing w:after="80" w:before="200"/>
        <w:jc w:val="center"/>
      </w:pPr>
      <w:r>
        <w:drawing>
          <wp:inline distT="0" distB="0" distL="0" distR="0">
            <wp:extent cx="4572000" cy="5467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572000" cy="5467350"/>
                    </a:xfrm>
                    <a:prstGeom prst="rect">
                      <a:avLst/>
                    </a:prstGeom>
                  </pic:spPr>
                </pic:pic>
              </a:graphicData>
            </a:graphic>
          </wp:inline>
        </w:drawing>
      </w:r>
    </w:p>
    <w:p>
      <w:pPr>
        <w:spacing w:after="300" w:before="100"/>
        <w:jc w:val="center"/>
      </w:pPr>
      <w:r>
        <w:rPr>
          <w:b/>
          <w:bCs/>
          <w:i/>
          <w:iCs/>
          <w:sz w:val="20"/>
          <w:szCs w:val="20"/>
        </w:rPr>
        <w:t xml:space="preserve">Figure 5.14 : Diagramme de déploiement du SGCE-INM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24ba024a1c8dc9403bda49186b8fc340009101f.png"/><Relationship Id="rId8" Type="http://schemas.openxmlformats.org/officeDocument/2006/relationships/image" Target="media/3eeabc28e35ac47ed8294ce09932552572311cc5.png"/><Relationship Id="rId9" Type="http://schemas.openxmlformats.org/officeDocument/2006/relationships/image" Target="media/f9d0d354125002a82d218259c231133d4f3c2e22.png"/><Relationship Id="rId10" Type="http://schemas.openxmlformats.org/officeDocument/2006/relationships/image" Target="media/ffd39309e8f2e2d0a2c41402ccc6e8524c725f0f.png"/><Relationship Id="rId11" Type="http://schemas.openxmlformats.org/officeDocument/2006/relationships/image" Target="media/45bd09ace80c6e3cee8193df6f6ddc7d5daf2a09.png"/><Relationship Id="rId12" Type="http://schemas.openxmlformats.org/officeDocument/2006/relationships/image" Target="media/9c6edc6f6e5aba80a6233b983ade89bac7093ab8.png"/><Relationship Id="rId13" Type="http://schemas.openxmlformats.org/officeDocument/2006/relationships/image" Target="media/4351477f704338da3af2bca81a2fa1bcc4fc2ca8.png"/><Relationship Id="rId14" Type="http://schemas.openxmlformats.org/officeDocument/2006/relationships/image" Target="media/79ed08290e085980744cfe6a11d475872512d9c6.png"/><Relationship Id="rId15" Type="http://schemas.openxmlformats.org/officeDocument/2006/relationships/image" Target="media/fb4e42650caabb5b0504b773dfffde5ebebc33ab.png"/><Relationship Id="rId16" Type="http://schemas.openxmlformats.org/officeDocument/2006/relationships/image" Target="media/d62dadf347d92941b744e5d12fd51ed8c52a17c1.png"/><Relationship Id="rId17" Type="http://schemas.openxmlformats.org/officeDocument/2006/relationships/image" Target="media/d0f753bd87aa2d1229fa2af2fe7e3c4291b17842.png"/><Relationship Id="rId18" Type="http://schemas.openxmlformats.org/officeDocument/2006/relationships/image" Target="media/f4008e12e8cb7cbebe108fe004fc683369b02cc0.png"/><Relationship Id="rId19" Type="http://schemas.openxmlformats.org/officeDocument/2006/relationships/image" Target="media/5d8db400bf240711a61edfb8a4a4eb9262706b91.png"/><Relationship Id="rId20" Type="http://schemas.openxmlformats.org/officeDocument/2006/relationships/image" Target="media/d105858eae541810b09f25ec9a67c0607c8efad2.png"/><Relationship Id="rId21"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2026-08-20T10:36:43.389Z</dcterms:created>
  <dcterms:modified xsi:type="dcterms:W3CDTF">2026-08-20T10:36:43.400Z</dcterms:modified>
</cp:coreProperties>
</file>

<file path=docProps/custom.xml><?xml version="1.0" encoding="utf-8"?>
<Properties xmlns="http://schemas.openxmlformats.org/officeDocument/2006/custom-properties" xmlns:vt="http://schemas.openxmlformats.org/officeDocument/2006/docPropsVTypes"/>
</file>