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Human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FPS TPS 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Pieces of evidence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Enemies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Tracks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Loot (keys, flashlight)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are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mansion</w:t>
                  </w:r>
                </w:p>
              </w:tc>
            </w:tr>
            <w:tr>
              <w:trPr>
                <w:cantSplit w:val="0"/>
                <w:trHeight w:val="462.2999999999999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player</w:t>
                  </w:r>
                </w:p>
              </w:tc>
            </w:tr>
            <w:tr>
              <w:trPr>
                <w:cantSplit w:val="0"/>
                <w:trHeight w:val="462.2999999999999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rooms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Find informations about your kidnapped relative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Footsteps</w:t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hit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an item is found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Dust when steps are taken ?</w:t>
                  </w:r>
                </w:p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Blood splattering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Gold effects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WIP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Movement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Opening doors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Inspecting items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Blocking/continuing progression in game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Looking at items (photos)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Life system (numbers of hits before death ? ) 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life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Item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Be used 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healed/hit.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interaction key is pressed (light goes on, door opens)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b w:val="1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1"/>
                      <w:i w:val="1"/>
                      <w:color w:val="b7b7b7"/>
                      <w:rtl w:val="0"/>
                    </w:rPr>
                    <w:t xml:space="preserve">Where Darkness Took Them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player finds all the pieces of evidence concerning the kidnapping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C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D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