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73" w:rsidRPr="00FA0936" w:rsidRDefault="00404673" w:rsidP="00404673">
      <w:pPr>
        <w:spacing w:line="240" w:lineRule="auto"/>
        <w:ind w:firstLine="0"/>
        <w:jc w:val="center"/>
        <w:rPr>
          <w:rFonts w:eastAsia="Calibri" w:cs="Times New Roman"/>
        </w:rPr>
      </w:pPr>
      <w:bookmarkStart w:id="0" w:name="_Toc484265872"/>
      <w:r w:rsidRPr="00FA0936">
        <w:rPr>
          <w:rFonts w:eastAsia="Calibri" w:cs="Times New Roman"/>
        </w:rPr>
        <w:t>МИНОБРНАУКИ РОССИИ</w:t>
      </w:r>
      <w:bookmarkEnd w:id="0"/>
    </w:p>
    <w:p w:rsidR="00404673" w:rsidRPr="00FA0936" w:rsidRDefault="00404673" w:rsidP="00404673">
      <w:pPr>
        <w:spacing w:line="240" w:lineRule="auto"/>
        <w:ind w:firstLine="0"/>
        <w:jc w:val="center"/>
        <w:rPr>
          <w:rFonts w:eastAsia="Calibri" w:cs="Times New Roman"/>
        </w:rPr>
      </w:pPr>
      <w:bookmarkStart w:id="1" w:name="_Toc484265628"/>
      <w:bookmarkStart w:id="2" w:name="_Toc484265873"/>
      <w:r w:rsidRPr="00FA0936">
        <w:rPr>
          <w:rFonts w:eastAsia="Calibri" w:cs="Times New Roman"/>
        </w:rPr>
        <w:t>ФЕДЕРАЛЬНОЕ ГОСУДАРСТВЕННОЕ БЮДЖЕТНОЕ ОБРАЗОВАТЕЛЬНОЕ УЧРЕЖДЕНИЕ</w:t>
      </w:r>
      <w:bookmarkEnd w:id="1"/>
      <w:bookmarkEnd w:id="2"/>
    </w:p>
    <w:p w:rsidR="00404673" w:rsidRPr="00FA0936" w:rsidRDefault="00404673" w:rsidP="00404673">
      <w:pPr>
        <w:spacing w:line="240" w:lineRule="auto"/>
        <w:ind w:firstLine="0"/>
        <w:jc w:val="center"/>
        <w:rPr>
          <w:rFonts w:eastAsia="Calibri" w:cs="Times New Roman"/>
        </w:rPr>
      </w:pPr>
      <w:bookmarkStart w:id="3" w:name="_Toc484265629"/>
      <w:bookmarkStart w:id="4" w:name="_Toc484265874"/>
      <w:r w:rsidRPr="00FA0936">
        <w:rPr>
          <w:rFonts w:eastAsia="Calibri" w:cs="Times New Roman"/>
        </w:rPr>
        <w:t>ВЫСШЕГО ОБРАЗОВАНИЯ</w:t>
      </w:r>
      <w:bookmarkEnd w:id="3"/>
      <w:bookmarkEnd w:id="4"/>
    </w:p>
    <w:p w:rsidR="00404673" w:rsidRPr="00FA0936" w:rsidRDefault="00404673" w:rsidP="00404673">
      <w:pPr>
        <w:spacing w:after="160" w:line="600" w:lineRule="auto"/>
        <w:ind w:firstLine="0"/>
        <w:jc w:val="center"/>
        <w:rPr>
          <w:rFonts w:eastAsia="Calibri" w:cs="Times New Roman"/>
        </w:rPr>
      </w:pPr>
      <w:bookmarkStart w:id="5" w:name="_Toc484265630"/>
      <w:bookmarkStart w:id="6" w:name="_Toc484265875"/>
      <w:r w:rsidRPr="00FA0936">
        <w:rPr>
          <w:rFonts w:eastAsia="Calibri" w:cs="Times New Roman"/>
        </w:rPr>
        <w:t>«ВОРОНЕЖСКИЙ ГОСУДАРСТВЕННЫЙ УНИВЕРСИТЕТ»</w:t>
      </w:r>
      <w:bookmarkEnd w:id="5"/>
      <w:bookmarkEnd w:id="6"/>
    </w:p>
    <w:p w:rsidR="00404673" w:rsidRPr="00FA0936" w:rsidRDefault="00404673" w:rsidP="00404673">
      <w:pPr>
        <w:spacing w:after="160" w:line="240" w:lineRule="auto"/>
        <w:ind w:firstLine="0"/>
        <w:jc w:val="center"/>
        <w:rPr>
          <w:rFonts w:eastAsia="Calibri" w:cs="Times New Roman"/>
        </w:rPr>
      </w:pPr>
      <w:bookmarkStart w:id="7" w:name="_Toc484265631"/>
      <w:bookmarkStart w:id="8" w:name="_Toc484265876"/>
      <w:r w:rsidRPr="00FA0936">
        <w:rPr>
          <w:rFonts w:eastAsia="Calibri" w:cs="Times New Roman"/>
        </w:rPr>
        <w:t>Факультет прикладной математики, информатики и механики</w:t>
      </w:r>
      <w:bookmarkEnd w:id="7"/>
      <w:bookmarkEnd w:id="8"/>
    </w:p>
    <w:p w:rsidR="00404673" w:rsidRPr="00FA0936" w:rsidRDefault="00404673" w:rsidP="00404673">
      <w:pPr>
        <w:spacing w:after="160" w:line="720" w:lineRule="auto"/>
        <w:ind w:firstLine="0"/>
        <w:jc w:val="center"/>
        <w:rPr>
          <w:rFonts w:eastAsia="Calibri" w:cs="Times New Roman"/>
          <w:i/>
        </w:rPr>
      </w:pPr>
      <w:bookmarkStart w:id="9" w:name="_Toc484265632"/>
      <w:bookmarkStart w:id="10" w:name="_Toc484265877"/>
      <w:r w:rsidRPr="00FA0936">
        <w:rPr>
          <w:rFonts w:eastAsia="Calibri" w:cs="Times New Roman"/>
        </w:rPr>
        <w:t>Кафедра математических методов исследования операций</w:t>
      </w:r>
      <w:bookmarkEnd w:id="9"/>
      <w:bookmarkEnd w:id="10"/>
    </w:p>
    <w:p w:rsidR="00404673" w:rsidRPr="00404673" w:rsidRDefault="00404673" w:rsidP="00404673">
      <w:pPr>
        <w:ind w:firstLine="0"/>
        <w:jc w:val="center"/>
        <w:rPr>
          <w:b/>
        </w:rPr>
      </w:pPr>
      <w:r w:rsidRPr="00404673">
        <w:rPr>
          <w:b/>
        </w:rPr>
        <w:t xml:space="preserve">Отчет </w:t>
      </w:r>
    </w:p>
    <w:p w:rsidR="00404673" w:rsidRDefault="00404673" w:rsidP="00404673">
      <w:pPr>
        <w:ind w:firstLine="0"/>
        <w:jc w:val="center"/>
        <w:rPr>
          <w:rFonts w:eastAsia="Calibri" w:cs="Times New Roman"/>
          <w:szCs w:val="28"/>
        </w:rPr>
      </w:pPr>
      <w:r w:rsidRPr="000C6B59">
        <w:t xml:space="preserve">о </w:t>
      </w:r>
      <w:r w:rsidR="0036538C" w:rsidRPr="0036538C">
        <w:rPr>
          <w:rFonts w:eastAsia="Calibri" w:cs="Times New Roman"/>
          <w:szCs w:val="28"/>
        </w:rPr>
        <w:t>научно-исследовательск</w:t>
      </w:r>
      <w:r w:rsidR="0036538C">
        <w:rPr>
          <w:rFonts w:eastAsia="Calibri" w:cs="Times New Roman"/>
          <w:szCs w:val="28"/>
        </w:rPr>
        <w:t>ой</w:t>
      </w:r>
      <w:r w:rsidR="0036538C" w:rsidRPr="0036538C">
        <w:rPr>
          <w:rFonts w:eastAsia="Calibri" w:cs="Times New Roman"/>
          <w:szCs w:val="28"/>
        </w:rPr>
        <w:t xml:space="preserve"> работ</w:t>
      </w:r>
      <w:r w:rsidR="0036538C">
        <w:rPr>
          <w:rFonts w:eastAsia="Calibri" w:cs="Times New Roman"/>
          <w:szCs w:val="28"/>
        </w:rPr>
        <w:t>е</w:t>
      </w:r>
    </w:p>
    <w:p w:rsidR="00AF178E" w:rsidRPr="00563E92" w:rsidRDefault="00AF178E" w:rsidP="00404673">
      <w:pPr>
        <w:ind w:firstLine="0"/>
        <w:jc w:val="center"/>
        <w:rPr>
          <w:rFonts w:eastAsia="Calibri" w:cs="Times New Roman"/>
          <w:szCs w:val="28"/>
        </w:rPr>
      </w:pPr>
      <w:r w:rsidRPr="00563E92">
        <w:rPr>
          <w:rFonts w:eastAsia="Calibri" w:cs="Times New Roman"/>
          <w:szCs w:val="28"/>
        </w:rPr>
        <w:t>&lt;</w:t>
      </w:r>
      <w:r>
        <w:rPr>
          <w:rFonts w:eastAsia="Calibri" w:cs="Times New Roman"/>
          <w:szCs w:val="28"/>
        </w:rPr>
        <w:t>тема НИР</w:t>
      </w:r>
      <w:r w:rsidRPr="00563E92">
        <w:rPr>
          <w:rFonts w:eastAsia="Calibri" w:cs="Times New Roman"/>
          <w:szCs w:val="28"/>
        </w:rPr>
        <w:t>&gt;</w:t>
      </w:r>
    </w:p>
    <w:p w:rsidR="00404673" w:rsidRPr="00FA0936" w:rsidRDefault="00404673" w:rsidP="00404673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36538C" w:rsidRDefault="0036538C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04673" w:rsidRDefault="00404673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A36B0">
        <w:rPr>
          <w:rFonts w:eastAsia="Times New Roman" w:cs="Times New Roman"/>
          <w:szCs w:val="28"/>
          <w:lang w:eastAsia="ru-RU"/>
        </w:rPr>
        <w:t xml:space="preserve">Направление </w:t>
      </w:r>
      <w:r w:rsidR="00563E92" w:rsidRPr="00563E92">
        <w:rPr>
          <w:rFonts w:eastAsia="Times New Roman" w:cs="Times New Roman"/>
          <w:szCs w:val="28"/>
          <w:lang w:eastAsia="ru-RU"/>
        </w:rPr>
        <w:t xml:space="preserve">01.03.02 </w:t>
      </w:r>
      <w:r w:rsidR="00563E92" w:rsidRPr="001A36B0">
        <w:rPr>
          <w:rFonts w:eastAsia="Times New Roman" w:cs="Times New Roman"/>
          <w:szCs w:val="28"/>
          <w:lang w:eastAsia="ru-RU"/>
        </w:rPr>
        <w:t>–</w:t>
      </w:r>
      <w:r w:rsidR="00563E92" w:rsidRPr="00563E92">
        <w:rPr>
          <w:rFonts w:eastAsia="Times New Roman" w:cs="Times New Roman"/>
          <w:szCs w:val="28"/>
          <w:lang w:eastAsia="ru-RU"/>
        </w:rPr>
        <w:t xml:space="preserve"> Прикладная математика и информатика</w:t>
      </w:r>
    </w:p>
    <w:p w:rsidR="00444A0D" w:rsidRDefault="007E14D4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</w:t>
      </w:r>
      <w:r w:rsidR="00563E92">
        <w:rPr>
          <w:rFonts w:eastAsia="Times New Roman" w:cs="Times New Roman"/>
          <w:szCs w:val="28"/>
          <w:lang w:eastAsia="ru-RU"/>
        </w:rPr>
        <w:t>филь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1A36B0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63E92" w:rsidRPr="00563E92">
        <w:rPr>
          <w:rFonts w:eastAsia="Times New Roman" w:cs="Times New Roman"/>
          <w:szCs w:val="28"/>
          <w:lang w:eastAsia="ru-RU"/>
        </w:rPr>
        <w:t>Информационная аналитика и обработка больших данных</w:t>
      </w:r>
    </w:p>
    <w:p w:rsidR="00404673" w:rsidRDefault="00404673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6538C" w:rsidRDefault="0036538C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12F94" w:rsidRDefault="00212F94" w:rsidP="00212F94">
      <w:pPr>
        <w:spacing w:after="160" w:line="259" w:lineRule="auto"/>
        <w:ind w:firstLine="0"/>
        <w:rPr>
          <w:rFonts w:eastAsia="Calibri" w:cs="Times New Roman"/>
        </w:rPr>
      </w:pPr>
      <w:r>
        <w:rPr>
          <w:rFonts w:eastAsia="Calibri" w:cs="Times New Roman"/>
        </w:rPr>
        <w:t>Курс __  группа __   семестр__</w:t>
      </w:r>
    </w:p>
    <w:p w:rsidR="0036538C" w:rsidRDefault="0036538C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36538C" w:rsidRDefault="0036538C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04673" w:rsidRDefault="00404673" w:rsidP="0040467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342"/>
        <w:gridCol w:w="2342"/>
        <w:gridCol w:w="1413"/>
        <w:gridCol w:w="3684"/>
      </w:tblGrid>
      <w:tr w:rsidR="00404673" w:rsidRPr="00FA0936" w:rsidTr="007500EC">
        <w:trPr>
          <w:trHeight w:val="792"/>
        </w:trPr>
        <w:tc>
          <w:tcPr>
            <w:tcW w:w="2342" w:type="dxa"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>Обучающийся</w:t>
            </w:r>
            <w:r w:rsidR="00444A0D">
              <w:rPr>
                <w:rFonts w:eastAsia="MS Mincho" w:cs="Times New Roman"/>
                <w:szCs w:val="28"/>
                <w:lang w:eastAsia="ja-JP"/>
              </w:rPr>
              <w:t xml:space="preserve"> </w:t>
            </w:r>
          </w:p>
          <w:p w:rsidR="00404673" w:rsidRPr="00FA0936" w:rsidRDefault="00404673" w:rsidP="007500EC">
            <w:pPr>
              <w:spacing w:after="16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</w:p>
        </w:tc>
        <w:tc>
          <w:tcPr>
            <w:tcW w:w="2342" w:type="dxa"/>
            <w:hideMark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413" w:type="dxa"/>
            <w:hideMark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                      </w:t>
            </w:r>
          </w:p>
        </w:tc>
        <w:tc>
          <w:tcPr>
            <w:tcW w:w="3684" w:type="dxa"/>
            <w:hideMark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       </w:t>
            </w:r>
            <w:r w:rsidRPr="00FA0936">
              <w:rPr>
                <w:rFonts w:eastAsia="MS Mincho" w:cs="Times New Roman"/>
                <w:szCs w:val="28"/>
                <w:lang w:val="en-US" w:eastAsia="ja-JP"/>
              </w:rPr>
              <w:t xml:space="preserve">          </w:t>
            </w:r>
            <w:r>
              <w:rPr>
                <w:rFonts w:eastAsia="MS Mincho" w:cs="Times New Roman"/>
                <w:szCs w:val="28"/>
                <w:lang w:eastAsia="ja-JP"/>
              </w:rPr>
              <w:t xml:space="preserve">  Сидоров П.П.</w:t>
            </w:r>
          </w:p>
        </w:tc>
      </w:tr>
      <w:tr w:rsidR="00404673" w:rsidRPr="00FA0936" w:rsidTr="007500EC">
        <w:trPr>
          <w:trHeight w:val="917"/>
        </w:trPr>
        <w:tc>
          <w:tcPr>
            <w:tcW w:w="2342" w:type="dxa"/>
            <w:hideMark/>
          </w:tcPr>
          <w:p w:rsidR="00404673" w:rsidRPr="00DD129C" w:rsidRDefault="00DD129C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>
              <w:rPr>
                <w:rFonts w:eastAsia="MS Mincho" w:cs="Times New Roman"/>
                <w:szCs w:val="28"/>
                <w:lang w:eastAsia="ja-JP"/>
              </w:rPr>
              <w:t>Проверил</w:t>
            </w:r>
          </w:p>
        </w:tc>
        <w:tc>
          <w:tcPr>
            <w:tcW w:w="2342" w:type="dxa"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</w:p>
        </w:tc>
        <w:tc>
          <w:tcPr>
            <w:tcW w:w="1413" w:type="dxa"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</w:p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</w:p>
        </w:tc>
        <w:tc>
          <w:tcPr>
            <w:tcW w:w="3684" w:type="dxa"/>
            <w:hideMark/>
          </w:tcPr>
          <w:p w:rsidR="00404673" w:rsidRPr="00FA0936" w:rsidRDefault="00404673" w:rsidP="007500EC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д.т.н., проф. </w:t>
            </w:r>
            <w:r w:rsidR="00DD129C">
              <w:rPr>
                <w:rFonts w:eastAsia="MS Mincho" w:cs="Times New Roman"/>
                <w:szCs w:val="28"/>
                <w:lang w:eastAsia="ja-JP"/>
              </w:rPr>
              <w:t xml:space="preserve">Каширина </w:t>
            </w:r>
            <w:r w:rsidRPr="00FA0936">
              <w:rPr>
                <w:rFonts w:eastAsia="MS Mincho" w:cs="Times New Roman"/>
                <w:szCs w:val="28"/>
                <w:lang w:eastAsia="ja-JP"/>
              </w:rPr>
              <w:t>И.</w:t>
            </w:r>
            <w:r w:rsidR="00DD129C">
              <w:rPr>
                <w:rFonts w:eastAsia="MS Mincho" w:cs="Times New Roman"/>
                <w:szCs w:val="28"/>
                <w:lang w:eastAsia="ja-JP"/>
              </w:rPr>
              <w:t>Л</w:t>
            </w:r>
            <w:bookmarkStart w:id="11" w:name="_GoBack"/>
            <w:bookmarkEnd w:id="11"/>
            <w:r w:rsidRPr="00FA0936">
              <w:rPr>
                <w:rFonts w:eastAsia="MS Mincho" w:cs="Times New Roman"/>
                <w:szCs w:val="28"/>
                <w:lang w:eastAsia="ja-JP"/>
              </w:rPr>
              <w:t>.</w:t>
            </w:r>
          </w:p>
        </w:tc>
      </w:tr>
    </w:tbl>
    <w:p w:rsidR="00404673" w:rsidRDefault="00404673" w:rsidP="00404673">
      <w:pPr>
        <w:spacing w:after="160" w:line="259" w:lineRule="auto"/>
        <w:ind w:firstLine="0"/>
        <w:rPr>
          <w:rFonts w:eastAsia="Calibri" w:cs="Times New Roman"/>
        </w:rPr>
      </w:pPr>
    </w:p>
    <w:p w:rsidR="00404673" w:rsidRDefault="00404673" w:rsidP="00404673">
      <w:pPr>
        <w:spacing w:after="160" w:line="259" w:lineRule="auto"/>
        <w:ind w:firstLine="0"/>
        <w:rPr>
          <w:rFonts w:eastAsia="Calibri" w:cs="Times New Roman"/>
        </w:rPr>
      </w:pPr>
    </w:p>
    <w:p w:rsidR="00404673" w:rsidRPr="00FA0936" w:rsidRDefault="00404673" w:rsidP="00404673">
      <w:pPr>
        <w:spacing w:after="160" w:line="259" w:lineRule="auto"/>
        <w:ind w:firstLine="0"/>
        <w:rPr>
          <w:rFonts w:eastAsia="Calibri" w:cs="Times New Roman"/>
        </w:rPr>
      </w:pPr>
    </w:p>
    <w:p w:rsidR="00404673" w:rsidRPr="00404673" w:rsidRDefault="00404673" w:rsidP="0036538C">
      <w:pPr>
        <w:ind w:firstLine="0"/>
        <w:jc w:val="center"/>
        <w:rPr>
          <w:rFonts w:eastAsia="Times New Roman" w:cs="Times New Roman"/>
          <w:szCs w:val="28"/>
        </w:rPr>
      </w:pPr>
      <w:bookmarkStart w:id="12" w:name="_Toc484428573"/>
      <w:bookmarkStart w:id="13" w:name="_Toc532733617"/>
      <w:r w:rsidRPr="00C31FA0">
        <w:rPr>
          <w:rFonts w:eastAsia="Times New Roman" w:cs="Times New Roman"/>
          <w:szCs w:val="28"/>
        </w:rPr>
        <w:t>Воронеж – 20</w:t>
      </w:r>
      <w:bookmarkEnd w:id="12"/>
      <w:bookmarkEnd w:id="13"/>
      <w:r>
        <w:rPr>
          <w:rFonts w:eastAsia="Times New Roman" w:cs="Times New Roman"/>
          <w:szCs w:val="28"/>
        </w:rPr>
        <w:t>2</w:t>
      </w:r>
      <w:r w:rsidR="00563E92">
        <w:rPr>
          <w:rFonts w:eastAsia="Times New Roman" w:cs="Times New Roman"/>
          <w:szCs w:val="28"/>
        </w:rPr>
        <w:t>2</w:t>
      </w:r>
    </w:p>
    <w:sectPr w:rsidR="00404673" w:rsidRPr="0040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73"/>
    <w:rsid w:val="001470AC"/>
    <w:rsid w:val="00212F94"/>
    <w:rsid w:val="0036538C"/>
    <w:rsid w:val="003F2408"/>
    <w:rsid w:val="00404673"/>
    <w:rsid w:val="00444A0D"/>
    <w:rsid w:val="00563E92"/>
    <w:rsid w:val="007E14D4"/>
    <w:rsid w:val="00AF178E"/>
    <w:rsid w:val="00C36ACB"/>
    <w:rsid w:val="00D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425A"/>
  <w15:chartTrackingRefBased/>
  <w15:docId w15:val="{9621CEEB-D4C8-4C09-9D8F-5A994F1B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67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2022-12-05T12:05:00Z</dcterms:created>
  <dcterms:modified xsi:type="dcterms:W3CDTF">2023-01-17T09:58:00Z</dcterms:modified>
</cp:coreProperties>
</file>