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Licklider, Man-Computer Symbiosis (1960) — reading group response</w:t>
      </w:r>
    </w:p>
    <w:p>
      <w:r>
        <w:t>The part that holds up: he timed his own work and found ~85% of his "thinking" time was spent getting into a position to think. That is still the pitch for any research notebook. The part that did not: he expected the clerical part to be automated by 1980 and the formulative part to stay human. We automated the clerical part and then generated far more clerical work.</w:t>
      </w:r>
    </w:p>
    <w:p>
      <w:r>
        <w:t>Question for Thursday: is "symbiosis" the right frame for LLM assistants, or is it closer to Engelbart's augmentation, where the human's process changes?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Doc1</dc:title>
  <dc:subject/>
  <dc:creator>David Barron</dc:creator>
  <cp:keywords/>
  <cp:lastModifiedBy>David Barron</cp:lastModifiedBy>
  <cp:revision>1</cp:revision>
  <dcterms:created xsi:type="dcterms:W3CDTF">2026-02-26T03:40:00Z</dcterms:created>
  <dcterms:modified xsi:type="dcterms:W3CDTF">2026-02-26T05:12:00Z</dcterms:modified>
  <cp:category/>
</cp:coreProperties>
</file>