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ISE 6664 final report — outline</w:t>
      </w:r>
    </w:p>
    <w:p>
      <w:pPr>
        <w:pStyle w:val="ListBullet"/>
      </w:pPr>
      <w:r>
        <w:t>1 Intro (Maya) — 1.5 pp</w:t>
      </w:r>
    </w:p>
    <w:p>
      <w:pPr>
        <w:pStyle w:val="ListBullet"/>
      </w:pPr>
      <w:r>
        <w:t>2 Related work: affect detection in tutoring (Jordan) — 2 pp</w:t>
      </w:r>
    </w:p>
    <w:p>
      <w:pPr>
        <w:pStyle w:val="ListBullet"/>
      </w:pPr>
      <w:r>
        <w:t>3 Data and codebook (Maya) — 2 pp; kappa on 120 double-coded turns = 0.66</w:t>
      </w:r>
    </w:p>
    <w:p>
      <w:pPr>
        <w:pStyle w:val="ListBullet"/>
      </w:pPr>
      <w:r>
        <w:t>4 Models (David) — lexicon F1 0.48, fine-tuned 0.63, zero-shot LLM 0.59</w:t>
      </w:r>
    </w:p>
    <w:p>
      <w:pPr>
        <w:pStyle w:val="ListBullet"/>
      </w:pPr>
      <w:r>
        <w:t>5 Frustration and abandonment (Jordan) — hazard ratio 1.9 for strong frustration</w:t>
      </w:r>
    </w:p>
    <w:p>
      <w:pPr>
        <w:pStyle w:val="ListBullet"/>
      </w:pPr>
      <w:r>
        <w:t>6 Design implications (all) — when a tutor should back off vs. offer a worked example</w:t>
      </w:r>
    </w:p>
    <w:p>
      <w:pPr>
        <w:pStyle w:val="ListBullet"/>
      </w:pPr>
      <w:r>
        <w:t>7 Limitations — one course, text only, annotators not the students</w:t>
      </w:r>
    </w:p>
    <w:p>
      <w:r>
        <w:t>Target 14 pages incl. refs. Dr. Brooks wants a reflection paragraph on ethics of affect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 outline</dc:title>
  <dc:subject/>
  <dc:creator>David Barron</dc:creator>
  <cp:keywords/>
  <cp:lastModifiedBy>David Barron</cp:lastModifiedBy>
  <cp:revision>1</cp:revision>
  <dcterms:created xsi:type="dcterms:W3CDTF">2026-04-21T02:30:00Z</dcterms:created>
  <dcterms:modified xsi:type="dcterms:W3CDTF">2026-05-08T03:55:00Z</dcterms:modified>
  <cp:category/>
</cp:coreProperties>
</file>