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TutorTrace — UIST 2026 rebuttal (draft)</w:t>
      </w:r>
    </w:p>
    <w:p>
      <w:r>
        <w:t>Reviews arrived 2026-06-11. Rebuttal due 2026-06-18, 5,000 characters max. Draft by David, comments from Yan in brackets.</w:t>
      </w:r>
    </w:p>
    <w:p>
      <w:pPr>
        <w:pStyle w:val="Heading2"/>
      </w:pPr>
      <w:r>
        <w:t>R1 / R3: label reliability</w:t>
      </w:r>
    </w:p>
    <w:p>
      <w:r>
        <w:t>We thank the reviewers for pressing on reliability. Three raters labeled all 2,340 windows with a written guide (supplement); pairwise agreement after calibration was Cohen's kappa 0.69-0.74, Fleiss' kappa 0.71. Most disagreements were between stalled-after-error and stalled-other, which we will report as a confusion matrix in the camera-ready.</w:t>
      </w:r>
    </w:p>
    <w:p>
      <w:pPr>
        <w:pStyle w:val="Heading2"/>
      </w:pPr>
      <w:r>
        <w:t>R2: generalization beyond one course</w:t>
      </w:r>
    </w:p>
    <w:p>
      <w:r>
        <w:t>We agree this is the main limitation. We commit to adding a cross-course analysis using data from the Spring 2026 offering of the same course with a different instructor, and to reporting performance separately per offering. [Yan: do not promise a different university, we cannot deliver that by August.]</w:t>
      </w:r>
    </w:p>
    <w:p>
      <w:pPr>
        <w:pStyle w:val="Heading2"/>
      </w:pPr>
      <w:r>
        <w:t>R2 / R4: privacy of telemetry</w:t>
      </w:r>
    </w:p>
    <w:p>
      <w:r>
        <w:t>Students consented under IRB protocol 23-1187 with a no-penalty opt-out; 6 of 93 opted out. The instructor view shows states, not prompt text; replays are an explicit, logged action. We will add a limitations section that discusses surveillance risks and how deployments should communicate what is collected.</w:t>
      </w:r>
    </w:p>
    <w:p>
      <w:pPr>
        <w:pStyle w:val="Heading2"/>
      </w:pPr>
      <w:r>
        <w:t>Minor</w:t>
      </w:r>
    </w:p>
    <w:p>
      <w:pPr>
        <w:pStyle w:val="ListBullet"/>
      </w:pPr>
      <w:r>
        <w:t>Fig. 4 colors are not colorblind-safe: will fix.</w:t>
      </w:r>
    </w:p>
    <w:p>
      <w:pPr>
        <w:pStyle w:val="ListBullet"/>
      </w:pPr>
      <w:r>
        <w:t>Missing citation to Ostrowski et al. L@S 2025, which studies similar stalling signals: will add and contrast.</w:t>
      </w:r>
    </w:p>
    <w:p>
      <w:r>
        <w:t>Character count at last check: 4,610.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UIST26 rebuttal draft</dc:title>
  <dc:subject/>
  <dc:creator>David Barron</dc:creator>
  <cp:keywords/>
  <cp:lastModifiedBy>David Barron</cp:lastModifiedBy>
  <cp:revision>1</cp:revision>
  <dcterms:created xsi:type="dcterms:W3CDTF">2026-06-12T14:20:00Z</dcterms:created>
  <dcterms:modified xsi:type="dcterms:W3CDTF">2026-06-18T23:52:00Z</dcterms:modified>
  <cp:category/>
</cp:coreProperties>
</file>