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rial" w:hAnsi="Arial"/>
          <w:b/>
          <w:color w:val="4F3499"/>
          <w:sz w:val="44"/>
        </w:rPr>
        <w:t>ROTEIRO DE CORREÇÕES PENDENTES DO TFC I</w:t>
      </w:r>
    </w:p>
    <w:p>
      <w:pPr>
        <w:jc w:val="center"/>
      </w:pPr>
      <w:r>
        <w:rPr>
          <w:rFonts w:ascii="Arial" w:hAnsi="Arial"/>
          <w:b/>
          <w:color w:val="282828"/>
          <w:sz w:val="36"/>
        </w:rPr>
        <w:t>DesignHub</w:t>
      </w:r>
    </w:p>
    <w:p>
      <w:pPr>
        <w:jc w:val="center"/>
      </w:pPr>
      <w:r>
        <w:rPr>
          <w:rFonts w:ascii="Arial" w:hAnsi="Arial"/>
          <w:color w:val="505050"/>
          <w:sz w:val="22"/>
        </w:rPr>
        <w:t>Correções externas aos diagramas — material para repasse à dupla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E9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/>
            <w:r>
              <w:rPr>
                <w:b/>
                <w:color w:val="4F3499"/>
              </w:rPr>
              <w:t xml:space="preserve">IMPORTANTE: </w:t>
            </w:r>
            <w:r>
              <w:t>os diagramas de Casos de Uso, Classes e DER já foram revisados. Neste roteiro, a dupla deve corrigir somente o texto do TFC, os protótipos, a LGPD, a ficha catalográfica e a apresentação.</w:t>
            </w:r>
          </w:p>
        </w:tc>
      </w:tr>
    </w:tbl>
    <w:p>
      <w:pPr>
        <w:pStyle w:val="Nota"/>
        <w:jc w:val="center"/>
      </w:pPr>
      <w:r>
        <w:t>As páginas indicadas abaixo correspondem ao PDF TFC1.pdf com 104 páginas. Após as alterações, a paginação poderá mudar.</w:t>
      </w:r>
    </w:p>
    <w:p>
      <w:pPr>
        <w:pStyle w:val="Heading1"/>
      </w:pPr>
      <w:r>
        <w:t>Resumo do que ainda falta</w:t>
      </w:r>
    </w:p>
    <w:p>
      <w:pPr>
        <w:pStyle w:val="ListBullet"/>
        <w:spacing w:after="40" w:line="252" w:lineRule="auto"/>
      </w:pPr>
      <w:r>
        <w:t>Substituir “Autenticar Designer” por “Autenticar Usuário” nos trechos de texto restantes.</w:t>
      </w:r>
    </w:p>
    <w:p>
      <w:pPr>
        <w:pStyle w:val="ListBullet"/>
        <w:spacing w:after="40" w:line="252" w:lineRule="auto"/>
      </w:pPr>
      <w:r>
        <w:t>Conferir e corrigir as dependências dos requisitos funcionais nas páginas 27 a 31.</w:t>
      </w:r>
    </w:p>
    <w:p>
      <w:pPr>
        <w:pStyle w:val="ListBullet"/>
        <w:spacing w:after="40" w:line="252" w:lineRule="auto"/>
      </w:pPr>
      <w:r>
        <w:t>Numerar todos os protótipos de forma contínua.</w:t>
      </w:r>
    </w:p>
    <w:p>
      <w:pPr>
        <w:pStyle w:val="ListBullet"/>
        <w:spacing w:after="40" w:line="252" w:lineRule="auto"/>
      </w:pPr>
      <w:r>
        <w:t>Acrescentar LGPD e proteção de dados no texto do TFC.</w:t>
      </w:r>
    </w:p>
    <w:p>
      <w:pPr>
        <w:pStyle w:val="ListBullet"/>
        <w:spacing w:after="40" w:line="252" w:lineRule="auto"/>
      </w:pPr>
      <w:r>
        <w:t>Alinhar o texto de segurança com o DER corrigido: e-mail único e senha armazenada como hash.</w:t>
      </w:r>
    </w:p>
    <w:p>
      <w:pPr>
        <w:pStyle w:val="ListBullet"/>
        <w:spacing w:after="40" w:line="252" w:lineRule="auto"/>
      </w:pPr>
      <w:r>
        <w:t>Solicitar nova ficha catalográfica somente depois da paginação final.</w:t>
      </w:r>
    </w:p>
    <w:p>
      <w:pPr>
        <w:pStyle w:val="ListBullet"/>
        <w:spacing w:after="40" w:line="252" w:lineRule="auto"/>
      </w:pPr>
      <w:r>
        <w:t>Na apresentação, os dois autores devem falar e ler menos os slides.</w:t>
      </w:r>
    </w:p>
    <w:p>
      <w:pPr>
        <w:pStyle w:val="Heading1"/>
      </w:pPr>
      <w:r>
        <w:t>1. Trocar “Autenticar Designer” por “Autenticar Usuário”</w:t>
      </w:r>
    </w:p>
    <w:p>
      <w:r>
        <w:t>No arquivo editável do TFC, usar Localizar e Substituir e conferir manualmente os seguintes locais: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4F349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Página</w:t>
            </w:r>
          </w:p>
        </w:tc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4F349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Local</w:t>
            </w:r>
          </w:p>
        </w:tc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4F349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Correção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2.7.2 — Lista de requisitos funcionais</w:t>
            </w:r>
          </w:p>
        </w:tc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RF002: Autenticar Usuário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2.7.3 — Quadro resumido do RF002</w:t>
            </w:r>
          </w:p>
        </w:tc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Requisito nº RF002 — Autenticar Usuário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37</w:t>
            </w:r>
          </w:p>
        </w:tc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2.7.4 — Título da descrição detalhada</w:t>
            </w:r>
          </w:p>
        </w:tc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RF002 — Autenticar Usuário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90</w:t>
            </w:r>
          </w:p>
        </w:tc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Pré-condição do RF015</w:t>
            </w:r>
          </w:p>
        </w:tc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RF002 — Autenticar Usuário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Texto da seção 2.9.2</w:t>
            </w:r>
          </w:p>
        </w:tc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Autenticação do Usuário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Apresentação, slide 8</w:t>
            </w:r>
          </w:p>
        </w:tc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Lista de requisitos</w:t>
            </w:r>
          </w:p>
        </w:tc>
        <w:tc>
          <w:tcPr>
            <w:tcW w:type="dxa" w:w="33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RF002 — Autenticar Usuário</w:t>
            </w:r>
          </w:p>
        </w:tc>
      </w:tr>
    </w:tbl>
    <w:p>
      <w:pPr/>
      <w:r>
        <w:t>Substituições exatas: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0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Autenticar Designer  →  Autenticar Usuário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Autenticação do Designer  →  Autenticação do Usuário</w:t>
            </w:r>
          </w:p>
        </w:tc>
      </w:tr>
    </w:tbl>
    <w:p>
      <w:pPr>
        <w:pStyle w:val="Heading1"/>
      </w:pPr>
      <w:r>
        <w:t>2. Conferir as dependências dos requisitos funcionais</w:t>
      </w:r>
    </w:p>
    <w:p>
      <w:r>
        <w:rPr>
          <w:b/>
        </w:rPr>
        <w:t xml:space="preserve">Onde corrigir: </w:t>
      </w:r>
      <w:r>
        <w:t>seção 2.7.3 — Descrição dos requisitos funcionais, páginas 27 a 31. Alterar somente o campo “Dependências” de cada quadro. Não transformar essas dependências em novas setas no Diagrama de Casos de Uso.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4F349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RF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4F349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Dependência atual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4F349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Como deve ficar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4F349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Ação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RF001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Nenhuma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RF002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CE4D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ALTERAR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RF002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RF001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Nenhuma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CE4D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ALTERAR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RF003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RF002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RF002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MANTER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RF004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RF003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RF003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MANTER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RF005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RF003 e RF004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RF003 e RF004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MANTER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RF006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RF005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RF005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MANTER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RF007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RF005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RF005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MANTER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RF008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RF005 e RF007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RF005 e RF007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MANTER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RF009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RF008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RF008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MANTER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RF010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RF009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RF009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MANTER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RF011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RF005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RF004, RF005, RF007, RF009, RF010, RF012 e RF014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CE4D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ALTERAR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RF012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RF009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RF009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MANTER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RF013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RF012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RF012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MANTER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RF014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RF012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RF012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MANTER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RF015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RF002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RF002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MANTER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RF016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RF015 e RF005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RF015 e RF005</w:t>
            </w:r>
          </w:p>
        </w:tc>
        <w:tc>
          <w:tcPr>
            <w:tcW w:type="dxa" w:w="249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MANTER</w:t>
            </w:r>
          </w:p>
        </w:tc>
      </w:tr>
    </w:tbl>
    <w:p>
      <w:pPr>
        <w:pStyle w:val="Nota"/>
      </w:pPr>
      <w:r>
        <w:t>Motivo das principais mudanças: RF002 é o requisito base de autenticação e não deve depender do cadastro de designer; RF001 exige que o Administrador já esteja autenticado. O RF011 atualiza o status em resposta às ações descritas nos RFs indicados.</w:t>
      </w:r>
    </w:p>
    <w:p>
      <w:pPr>
        <w:pStyle w:val="Heading1"/>
      </w:pPr>
      <w:r>
        <w:t>3. Numerar os protótipos</w:t>
      </w:r>
    </w:p>
    <w:p>
      <w:r>
        <w:rPr>
          <w:b/>
        </w:rPr>
        <w:t xml:space="preserve">Onde localizar: </w:t>
      </w:r>
      <w:r>
        <w:t>procurar por “7. Protótipo” nas páginas 35, 38, 44, 49, 54, 57, 60, 68, 72, 74, 79, 83, 87, 91 e 95. Também conferir páginas compostas apenas por imagens, como 36, 39, 40, 45 e 65.</w:t>
      </w:r>
    </w:p>
    <w:p>
      <w:pPr>
        <w:pStyle w:val="ListBullet"/>
        <w:spacing w:after="40" w:line="252" w:lineRule="auto"/>
      </w:pPr>
      <w:r>
        <w:t>Numerar cada imagem de protótipo em ordem contínua, do início ao fim do documento.</w:t>
      </w:r>
    </w:p>
    <w:p>
      <w:pPr>
        <w:pStyle w:val="ListBullet"/>
        <w:spacing w:after="40" w:line="252" w:lineRule="auto"/>
      </w:pPr>
      <w:r>
        <w:t>Não reiniciar a numeração em cada requisito.</w:t>
      </w:r>
    </w:p>
    <w:p>
      <w:pPr>
        <w:pStyle w:val="ListBullet"/>
        <w:spacing w:after="40" w:line="252" w:lineRule="auto"/>
      </w:pPr>
      <w:r>
        <w:t>Quando houver duas ou mais telas na mesma página, cada tela recebe um número próprio.</w:t>
      </w:r>
    </w:p>
    <w:p>
      <w:pPr>
        <w:pStyle w:val="ListBullet"/>
        <w:spacing w:after="40" w:line="252" w:lineRule="auto"/>
      </w:pPr>
      <w:r>
        <w:t>Usar nome que identifique a tela apresentada.</w:t>
      </w:r>
    </w:p>
    <w:p>
      <w:r>
        <w:t>Modelo para usar abaixo de cada imagem: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0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Figura 1 – Protótipo da tela Gerenciamento de Designers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Fonte: Elaborado pelos autores (2026).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Figura 2 – Protótipo da tela Cadastro de Designer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Fonte: Elaborado pelos autores (2026).</w:t>
            </w:r>
          </w:p>
        </w:tc>
      </w:tr>
    </w:tbl>
    <w:p>
      <w:pPr>
        <w:pStyle w:val="Nota"/>
      </w:pPr>
      <w:r>
        <w:t>A numeração acima é apenas exemplo. No documento final, continuar Figura 3, Figura 4, Figura 5... de acordo com a ordem real das imagens.</w:t>
      </w:r>
    </w:p>
    <w:p>
      <w:pPr>
        <w:pStyle w:val="Heading1"/>
      </w:pPr>
      <w:r>
        <w:t>4. Ajustar o texto sobre conta e senha</w:t>
      </w:r>
    </w:p>
    <w:p>
      <w:r>
        <w:rPr>
          <w:b/>
        </w:rPr>
        <w:t xml:space="preserve">Onde corrigir: </w:t>
      </w:r>
      <w:r>
        <w:t>página 96, seção 2.8.3 — Requisitos de segurança, dentro do RNF007 — Segurança.</w:t>
      </w:r>
    </w:p>
    <w:p>
      <w:r>
        <w:t>Acrescentar ao final do RNF007: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0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As senhas dos usuários não deverão ser armazenadas em texto puro, sendo mantidas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por meio de hash. O e-mail deverá ser único para cada usuário, evitando a criação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 contas duplicadas. O acesso às funcionalidades deverá respeitar o perfil e as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permissões do usuário autenticado.</w:t>
            </w:r>
          </w:p>
        </w:tc>
      </w:tr>
    </w:tbl>
    <w:p>
      <w:pPr>
        <w:pStyle w:val="Nota"/>
      </w:pPr>
      <w:r>
        <w:t>Esse texto deve permanecer coerente com o DER já corrigido, no qual a entidade usuario possui email UNIQUE e senha_hash.</w:t>
      </w:r>
    </w:p>
    <w:p>
      <w:pPr>
        <w:pStyle w:val="Heading1"/>
      </w:pPr>
      <w:r>
        <w:t>5. Acrescentar LGPD ao TFC</w:t>
      </w:r>
    </w:p>
    <w:p>
      <w:r>
        <w:t>A banca registrou apenas “LGPD”. Para atender sem ampliar demais o escopo, fazer três inclusões objetivas:</w:t>
      </w:r>
    </w:p>
    <w:p>
      <w:pPr>
        <w:pStyle w:val="Heading2"/>
      </w:pPr>
      <w:r>
        <w:t>5.1. Definições — páginas 13 a 16</w:t>
      </w:r>
    </w:p>
    <w:p>
      <w:r>
        <w:t>Na seção 2.3.1, inserir em ordem alfabética: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0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LGPD: Lei Geral de Proteção de Dados Pessoais, Lei nº 13.709/2018, que estabelece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regras para o tratamento e a proteção de dados pessoais.</w:t>
            </w:r>
          </w:p>
        </w:tc>
      </w:tr>
    </w:tbl>
    <w:p>
      <w:pPr>
        <w:pStyle w:val="Heading2"/>
      </w:pPr>
      <w:r>
        <w:t>5.2. Requisitos de segurança — página 96</w:t>
      </w:r>
    </w:p>
    <w:p>
      <w:r>
        <w:t>Alterar o título da seção para: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0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2.8.3. Requisitos de segurança e proteção de dados pessoais</w:t>
            </w:r>
          </w:p>
        </w:tc>
      </w:tr>
    </w:tbl>
    <w:p>
      <w:r>
        <w:t>Após o RNF009, acrescentar: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0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RNF010 – Proteção de dados pessoais e LGPD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O sistema deverá tratar somente os dados pessoais necessários ao funcionamento do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DesignHub, como nome, número de WhatsApp, identificação do Instagram, mensagens 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arquivos de referência. Esses dados deverão possuir finalidade definida, acesso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restrito conforme as permissões do usuário e proteção contra acesso não autorizado.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O cliente deverá ser informado sobre a utilização de seus dados, observando a Lei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Geral de Proteção de Dados Pessoais – Lei nº 13.709/2018.</w:t>
            </w:r>
          </w:p>
        </w:tc>
      </w:tr>
    </w:tbl>
    <w:p>
      <w:pPr>
        <w:pStyle w:val="Heading2"/>
      </w:pPr>
      <w:r>
        <w:t>5.3. Referências — página 104</w:t>
      </w:r>
    </w:p>
    <w:p>
      <w:r>
        <w:t>Adicionar a referência oficial: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0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BRASIL. Lei nº 13.709, de 14 de agosto de 2018. Lei Geral de Proteção de Dados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Pessoais (LGPD). Brasília, DF: Presidência da República, 2018. Disponível em: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https://www.planalto.gov.br/ccivil_03/_ato2015-2018/2018/lei/l13709compilado.htm.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Acesso em: 26 jul. 2026.</w:t>
            </w:r>
          </w:p>
        </w:tc>
      </w:tr>
    </w:tbl>
    <w:p>
      <w:pPr>
        <w:pStyle w:val="Heading1"/>
      </w:pPr>
      <w:r>
        <w:t>6. Corrigir a ficha catalográfica por último</w:t>
      </w:r>
    </w:p>
    <w:p>
      <w:r>
        <w:rPr>
          <w:b/>
        </w:rPr>
        <w:t xml:space="preserve">Onde está: </w:t>
      </w:r>
      <w:r>
        <w:t>página 2. A ficha atual informa “119 f.”, enquanto o PDF analisado possui 104 páginas. Como novas correções podem alterar a quantidade final, não editar a ficha agora.</w:t>
      </w:r>
    </w:p>
    <w:p>
      <w:pPr>
        <w:pStyle w:val="ListNumber"/>
        <w:spacing w:after="60" w:line="252" w:lineRule="auto"/>
      </w:pPr>
      <w:r>
        <w:t>Concluir todas as alterações do TFC.</w:t>
      </w:r>
    </w:p>
    <w:p>
      <w:pPr>
        <w:pStyle w:val="ListNumber"/>
        <w:spacing w:after="60" w:line="252" w:lineRule="auto"/>
      </w:pPr>
      <w:r>
        <w:t>Atualizar o sumário e conferir a paginação final.</w:t>
      </w:r>
    </w:p>
    <w:p>
      <w:pPr>
        <w:pStyle w:val="ListNumber"/>
        <w:spacing w:after="60" w:line="252" w:lineRule="auto"/>
      </w:pPr>
      <w:r>
        <w:t>Informar à biblioteca a quantidade final de folhas.</w:t>
      </w:r>
    </w:p>
    <w:p>
      <w:pPr>
        <w:pStyle w:val="ListNumber"/>
        <w:spacing w:after="60" w:line="252" w:lineRule="auto"/>
      </w:pPr>
      <w:r>
        <w:t>Solicitar uma nova ficha catalográfica oficial.</w:t>
      </w:r>
    </w:p>
    <w:p>
      <w:pPr>
        <w:pStyle w:val="ListNumber"/>
        <w:spacing w:after="60" w:line="252" w:lineRule="auto"/>
      </w:pPr>
      <w:r>
        <w:t>Substituir integralmente a ficha antiga pela nova.</w:t>
      </w:r>
    </w:p>
    <w:p>
      <w:pPr>
        <w:pStyle w:val="Nota"/>
      </w:pPr>
      <w:r>
        <w:t>Não alterar manualmente Cutter, CDD, nome do bibliotecário ou CRB.</w:t>
      </w:r>
    </w:p>
    <w:p>
      <w:pPr>
        <w:pStyle w:val="Heading1"/>
      </w:pPr>
      <w:r>
        <w:t>7. Ajustes para a próxima apresentação</w:t>
      </w:r>
    </w:p>
    <w:p>
      <w:r>
        <w:t>A observação da banca foi: os dois autores devem apresentar juntos e ler menos.</w:t>
      </w:r>
    </w:p>
    <w:p>
      <w:pPr>
        <w:pStyle w:val="ListBullet"/>
        <w:spacing w:after="40" w:line="252" w:lineRule="auto"/>
      </w:pPr>
      <w:r>
        <w:t>Dividir a apresentação entre os dois autores, com tempo de fala semelhante.</w:t>
      </w:r>
    </w:p>
    <w:p>
      <w:pPr>
        <w:pStyle w:val="ListBullet"/>
        <w:spacing w:after="40" w:line="252" w:lineRule="auto"/>
      </w:pPr>
      <w:r>
        <w:t>Usar os slides como apoio e não ler os parágrafos completos.</w:t>
      </w:r>
    </w:p>
    <w:p>
      <w:pPr>
        <w:pStyle w:val="ListBullet"/>
        <w:spacing w:after="40" w:line="252" w:lineRule="auto"/>
      </w:pPr>
      <w:r>
        <w:t>No slide 8, trocar “Autenticar Designer” por “Autenticar Usuário”.</w:t>
      </w:r>
    </w:p>
    <w:p>
      <w:pPr>
        <w:pStyle w:val="ListBullet"/>
        <w:spacing w:after="40" w:line="252" w:lineRule="auto"/>
      </w:pPr>
      <w:r>
        <w:t>Substituir nos slides os diagramas antigos pelos três diagramas corrigidos.</w:t>
      </w:r>
    </w:p>
    <w:p>
      <w:pPr>
        <w:pStyle w:val="ListBullet"/>
        <w:spacing w:after="40" w:line="252" w:lineRule="auto"/>
      </w:pPr>
      <w:r>
        <w:t>Treinar a explicação dos diagramas com frases curtas: objetivo, atores/entidades principais e fluxo geral.</w:t>
      </w:r>
    </w:p>
    <w:p>
      <w:pPr>
        <w:pStyle w:val="Heading1"/>
      </w:pPr>
      <w:r>
        <w:t>Checklist final para a dupla</w:t>
      </w:r>
    </w:p>
    <w:p>
      <w:pPr>
        <w:spacing w:after="40"/>
      </w:pPr>
      <w:r>
        <w:rPr>
          <w:rFonts w:ascii="Arial" w:hAnsi="Arial"/>
          <w:color w:val="4F3499"/>
          <w:sz w:val="22"/>
        </w:rPr>
        <w:t xml:space="preserve">☐ </w:t>
      </w:r>
      <w:r>
        <w:t>Todas as ocorrências de “Autenticar Designer” foram substituídas no texto e na apresentação.</w:t>
      </w:r>
    </w:p>
    <w:p>
      <w:pPr>
        <w:spacing w:after="40"/>
      </w:pPr>
      <w:r>
        <w:rPr>
          <w:rFonts w:ascii="Arial" w:hAnsi="Arial"/>
          <w:color w:val="4F3499"/>
          <w:sz w:val="22"/>
        </w:rPr>
        <w:t xml:space="preserve">☐ </w:t>
      </w:r>
      <w:r>
        <w:t>Os campos “Dependências” das páginas 27 a 31 foram conferidos.</w:t>
      </w:r>
    </w:p>
    <w:p>
      <w:pPr>
        <w:spacing w:after="40"/>
      </w:pPr>
      <w:r>
        <w:rPr>
          <w:rFonts w:ascii="Arial" w:hAnsi="Arial"/>
          <w:color w:val="4F3499"/>
          <w:sz w:val="22"/>
        </w:rPr>
        <w:t xml:space="preserve">☐ </w:t>
      </w:r>
      <w:r>
        <w:t>Todos os protótipos possuem número, nome e fonte.</w:t>
      </w:r>
    </w:p>
    <w:p>
      <w:pPr>
        <w:spacing w:after="40"/>
      </w:pPr>
      <w:r>
        <w:rPr>
          <w:rFonts w:ascii="Arial" w:hAnsi="Arial"/>
          <w:color w:val="4F3499"/>
          <w:sz w:val="22"/>
        </w:rPr>
        <w:t xml:space="preserve">☐ </w:t>
      </w:r>
      <w:r>
        <w:t>O RNF007 explica senha_hash e e-mail único.</w:t>
      </w:r>
    </w:p>
    <w:p>
      <w:pPr>
        <w:spacing w:after="40"/>
      </w:pPr>
      <w:r>
        <w:rPr>
          <w:rFonts w:ascii="Arial" w:hAnsi="Arial"/>
          <w:color w:val="4F3499"/>
          <w:sz w:val="22"/>
        </w:rPr>
        <w:t xml:space="preserve">☐ </w:t>
      </w:r>
      <w:r>
        <w:t>A definição de LGPD foi incluída.</w:t>
      </w:r>
    </w:p>
    <w:p>
      <w:pPr>
        <w:spacing w:after="40"/>
      </w:pPr>
      <w:r>
        <w:rPr>
          <w:rFonts w:ascii="Arial" w:hAnsi="Arial"/>
          <w:color w:val="4F3499"/>
          <w:sz w:val="22"/>
        </w:rPr>
        <w:t xml:space="preserve">☐ </w:t>
      </w:r>
      <w:r>
        <w:t>O RNF010 sobre proteção de dados foi incluído.</w:t>
      </w:r>
    </w:p>
    <w:p>
      <w:pPr>
        <w:spacing w:after="40"/>
      </w:pPr>
      <w:r>
        <w:rPr>
          <w:rFonts w:ascii="Arial" w:hAnsi="Arial"/>
          <w:color w:val="4F3499"/>
          <w:sz w:val="22"/>
        </w:rPr>
        <w:t xml:space="preserve">☐ </w:t>
      </w:r>
      <w:r>
        <w:t>A Lei nº 13.709/2018 foi adicionada às referências.</w:t>
      </w:r>
    </w:p>
    <w:p>
      <w:pPr>
        <w:spacing w:after="40"/>
      </w:pPr>
      <w:r>
        <w:rPr>
          <w:rFonts w:ascii="Arial" w:hAnsi="Arial"/>
          <w:color w:val="4F3499"/>
          <w:sz w:val="22"/>
        </w:rPr>
        <w:t xml:space="preserve">☐ </w:t>
      </w:r>
      <w:r>
        <w:t>O sumário foi atualizado após as alterações.</w:t>
      </w:r>
    </w:p>
    <w:p>
      <w:pPr>
        <w:spacing w:after="40"/>
      </w:pPr>
      <w:r>
        <w:rPr>
          <w:rFonts w:ascii="Arial" w:hAnsi="Arial"/>
          <w:color w:val="4F3499"/>
          <w:sz w:val="22"/>
        </w:rPr>
        <w:t xml:space="preserve">☐ </w:t>
      </w:r>
      <w:r>
        <w:t>A nova ficha catalográfica foi solicitada somente ao final.</w:t>
      </w:r>
    </w:p>
    <w:p>
      <w:pPr>
        <w:spacing w:after="40"/>
      </w:pPr>
      <w:r>
        <w:rPr>
          <w:rFonts w:ascii="Arial" w:hAnsi="Arial"/>
          <w:color w:val="4F3499"/>
          <w:sz w:val="22"/>
        </w:rPr>
        <w:t xml:space="preserve">☐ </w:t>
      </w:r>
      <w:r>
        <w:t>Os diagramas corrigidos foram inseridos no TFC e na apresentação.</w:t>
      </w:r>
    </w:p>
    <w:p>
      <w:pPr>
        <w:spacing w:after="40"/>
      </w:pPr>
      <w:r>
        <w:rPr>
          <w:rFonts w:ascii="Arial" w:hAnsi="Arial"/>
          <w:color w:val="4F3499"/>
          <w:sz w:val="22"/>
        </w:rPr>
        <w:t xml:space="preserve">☐ </w:t>
      </w:r>
      <w:r>
        <w:t>Os dois autores possuem parte definida na apresentação.</w:t>
      </w:r>
    </w:p>
    <w:p>
      <w:pPr>
        <w:pStyle w:val="Heading1"/>
      </w:pPr>
      <w:r>
        <w:t>Base utilizada</w:t>
      </w:r>
    </w:p>
    <w:p>
      <w:r>
        <w:t>Este roteiro foi montado a partir dos arquivos: MELHORIAS TFC, TFC1.pdf e Entregado tfc1.pdf. Foram incluídas apenas as correções registradas pela banca e os ajustes textuais necessários para manter o documento coerente com os diagramas já corrigidos.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Documento de apoio para correção do TFC I — páginas conforme o TFC1.pdf de 104 páginas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DESIGNHUB | ROTEIRO DE CORREÇÕES DO TFC 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F349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349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349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F349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">
    <w:name w:val="Nota"/>
    <w:rPr>
      <w:rFonts w:ascii="Arial" w:hAnsi="Arial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