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120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  <w:t xml:space="preserve"> </w:t>
      </w:r>
    </w:p>
    <w:tbl>
      <w:tblPr>
        <w:tblStyle w:val="Table1"/>
        <w:tblW w:w="9061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061"/>
      </w:tblGrid>
      <w:tr>
        <w:trPr/>
        <w:tc>
          <w:tcPr>
            <w:tcW w:w="9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00" w:val="clear"/>
          </w:tcPr>
          <w:p>
            <w:pPr>
              <w:pStyle w:val="Normal1"/>
              <w:widowControl w:val="false"/>
              <w:spacing w:lineRule="auto" w:line="240" w:before="0" w:after="120"/>
              <w:ind w:lef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MINUTA</w:t>
            </w:r>
          </w:p>
        </w:tc>
      </w:tr>
    </w:tbl>
    <w:p>
      <w:pPr>
        <w:pStyle w:val="Normal1"/>
        <w:spacing w:lineRule="auto" w:line="240" w:before="0" w:after="120"/>
        <w:ind w:left="0" w:hanging="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spacing w:lineRule="auto" w:line="240" w:before="0" w:after="120"/>
        <w:ind w:left="0" w:hanging="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  <w:t xml:space="preserve">CONTRATO Nº {{NUM_CONTRATO}}</w:t>
      </w:r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</w:rPr>
        <w:t xml:space="preserve"/>
      </w:r>
      <w:commentRangeStart w:id="0"/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</w:rPr>
      </w:r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</w:rPr>
      </w:r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</w:rPr>
        <w:t xml:space="preserve"/>
      </w:r>
      <w:commentRangeEnd w:id="0"/>
      <w:r>
        <w:commentReference w:id="0"/>
      </w:r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  <w:t xml:space="preserve">PAE nº {{NUM_PAE}}</w:t>
      </w:r>
    </w:p>
    <w:tbl>
      <w:tblPr>
        <w:tblStyle w:val="Table2"/>
        <w:tblW w:w="906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427"/>
        <w:gridCol w:w="2461"/>
        <w:gridCol w:w="1169"/>
        <w:gridCol w:w="1084"/>
        <w:gridCol w:w="1080"/>
        <w:gridCol w:w="1844"/>
      </w:tblGrid>
      <w:tr>
        <w:trPr/>
        <w:tc>
          <w:tcPr>
            <w:tcW w:w="906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F4C81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FFFFFF"/>
                <w:sz w:val="24"/>
                <w:szCs w:val="24"/>
              </w:rPr>
              <w:t>RESUMO</w:t>
            </w:r>
          </w:p>
        </w:tc>
      </w:tr>
      <w:tr>
        <w:trPr>
          <w:trHeight w:val="60" w:hRule="atLeast"/>
        </w:trPr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/>
              <w:drawing>
                <wp:inline distT="0" distB="0" distL="0" distR="0">
                  <wp:extent cx="457200" cy="457200"/>
                  <wp:effectExtent l="0" t="0" r="0" b="0"/>
                  <wp:docPr id="1" name="image3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Contratante</w:t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Estado do Pará</w:t>
            </w:r>
            <w:r>
              <w:rPr>
                <w:rFonts w:eastAsia="Quattrocento Sans" w:cs="Quattrocento Sans" w:ascii="Quattrocento Sans" w:hAnsi="Quattrocento Sans"/>
                <w:smallCaps/>
                <w:sz w:val="24"/>
                <w:szCs w:val="24"/>
              </w:rPr>
              <w:t xml:space="preserve"> | </w:t>
            </w:r>
            <w:bookmarkStart w:id="0" w:name="bookmark=id.gjdgxs"/>
            <w:bookmarkEnd w:id="0"/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{{ORGAO_NOME}}</w:t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CNPJ</w:t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 xml:space="preserve"> nº </w:t>
            </w:r>
            <w:bookmarkStart w:id="1" w:name="bookmark=id.30j0zll"/>
            <w:bookmarkEnd w:id="1"/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{{ORGAO_CNPJ}}.</w:t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24"/>
                <w:szCs w:val="24"/>
              </w:rPr>
              <w:t>UASG:</w:t>
            </w:r>
            <w:r>
              <w:rPr>
                <w:rFonts w:eastAsia="Quattrocento Sans" w:cs="Quattrocento Sans" w:ascii="Quattrocento Sans" w:hAnsi="Quattrocento Sans"/>
                <w:color w:val="000000"/>
                <w:sz w:val="24"/>
                <w:szCs w:val="24"/>
              </w:rPr>
              <w:t xml:space="preserve"> </w:t>
            </w:r>
            <w:commentRangeStart w:id="1"/>
            <w:r>
              <w:rPr>
                <w:rFonts w:eastAsia="Quattrocento Sans" w:cs="Quattrocento Sans" w:ascii="Quattrocento Sans" w:hAnsi="Quattrocento Sans"/>
                <w:color w:val="000000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color w:val="000000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{{ORGAO_UASG}}</w:t>
            </w:r>
            <w:commentRangeStart w:id="2"/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commentRangeEnd w:id="1"/>
            <w:r>
              <w:commentReference w:id="1"/>
            </w:r>
            <w:commentRangeEnd w:id="2"/>
            <w:r>
              <w:commentReference w:id="2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Contratado</w:t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>{{NOME_CONTRATADA}}</w:t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CPF nº {{CPF_CONTRATADA}}.</w:t>
            </w:r>
          </w:p>
        </w:tc>
      </w:tr>
      <w:tr>
        <w:trPr>
          <w:trHeight w:val="60" w:hRule="atLeast"/>
        </w:trPr>
        <w:tc>
          <w:tcPr>
            <w:tcW w:w="14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/>
              <w:drawing>
                <wp:inline distT="0" distB="0" distL="0" distR="0">
                  <wp:extent cx="457200" cy="457200"/>
                  <wp:effectExtent l="0" t="0" r="0" b="0"/>
                  <wp:docPr id="2" name="image5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5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Objeto</w:t>
            </w:r>
          </w:p>
        </w:tc>
      </w:tr>
      <w:tr>
        <w:trPr>
          <w:trHeight w:val="5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</w:rPr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commentRangeStart w:id="3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Prestação de {{OBJETO}}.</w:t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commentRangeEnd w:id="3"/>
            <w:r>
              <w:commentReference w:id="3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commentRangeStart w:id="4"/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commentRangeEnd w:id="4"/>
            <w:r>
              <w:commentReference w:id="4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 xml:space="preserve"/>
            </w:r>
          </w:p>
        </w:tc>
      </w:tr>
      <w:tr>
        <w:trPr>
          <w:trHeight w:val="265" w:hRule="atLeast"/>
        </w:trPr>
        <w:tc>
          <w:tcPr>
            <w:tcW w:w="14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/>
              <w:drawing>
                <wp:inline distT="0" distB="0" distL="0" distR="0">
                  <wp:extent cx="457200" cy="457200"/>
                  <wp:effectExtent l="0" t="0" r="0" b="0"/>
                  <wp:docPr id="3" name="image7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7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9BBB59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color w:val="9BBB59"/>
                <w:sz w:val="24"/>
                <w:szCs w:val="24"/>
              </w:rPr>
              <w:t>Local de prestação do serviço</w:t>
            </w:r>
          </w:p>
        </w:tc>
      </w:tr>
      <w:tr>
        <w:trPr>
          <w:trHeight w:val="265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color w:val="9BBB59"/>
              </w:rPr>
            </w:pPr>
            <w:r>
              <w:rPr>
                <w:rFonts w:eastAsia="Quattrocento Sans" w:cs="Quattrocento Sans" w:ascii="Quattrocento Sans" w:hAnsi="Quattrocento Sans"/>
                <w:color w:val="9BBB59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Forma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4F81BD"/>
              </w:rPr>
            </w:pPr>
            <w:commentRangeStart w:id="5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{{FORMA_ENTREGA}}</w:t>
            </w:r>
            <w:commentRangeEnd w:id="5"/>
            <w:r>
              <w:commentReference w:id="5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</w:p>
        </w:tc>
      </w:tr>
      <w:tr>
        <w:trPr>
          <w:trHeight w:val="5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Prazo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4F81BD"/>
              </w:rPr>
            </w:pPr>
            <w:commentRangeStart w:id="6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>{{PRAZO_ENTREGA_EXTENSO}} dias corridos após a emissão da nota de empenho.</w:t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commentRangeEnd w:id="6"/>
            <w:r>
              <w:commentReference w:id="6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</w:p>
        </w:tc>
      </w:tr>
      <w:tr>
        <w:trPr>
          <w:trHeight w:val="33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Local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4F81BD"/>
              </w:rPr>
            </w:pPr>
            <w:commentRangeStart w:id="7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{{LOCAL_ENTREGA}}</w:t>
            </w:r>
            <w:commentRangeEnd w:id="7"/>
            <w:r>
              <w:commentReference w:id="7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</w:p>
        </w:tc>
      </w:tr>
      <w:tr>
        <w:trPr>
          <w:trHeight w:val="425" w:hRule="atLeast"/>
        </w:trPr>
        <w:tc>
          <w:tcPr>
            <w:tcW w:w="14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/>
              <w:drawing>
                <wp:inline distT="0" distB="0" distL="0" distR="0">
                  <wp:extent cx="457200" cy="457200"/>
                  <wp:effectExtent l="0" t="0" r="0" b="0"/>
                  <wp:docPr id="4" name="image2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2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Valor total</w:t>
            </w:r>
          </w:p>
        </w:tc>
      </w:tr>
      <w:tr>
        <w:trPr>
          <w:trHeight w:val="425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 xml:space="preserve">R$ {{VALOR_GLOBAL}}.</w:t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</w:p>
        </w:tc>
      </w:tr>
      <w:tr>
        <w:trPr>
          <w:trHeight w:val="21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Reajuste</w:t>
            </w:r>
          </w:p>
        </w:tc>
      </w:tr>
      <w:tr>
        <w:trPr>
          <w:trHeight w:val="6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commentRangeStart w:id="8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Índice</w:t>
            </w:r>
            <w:commentRangeEnd w:id="8"/>
            <w:r>
              <w:commentReference w:id="8"/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 xml:space="preserve">{{CHK_IPCA}} </w:t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>IPCA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 xml:space="preserve">{{CHK_INPC}} </w:t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>INPC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 xml:space="preserve">{{CHK_INCC}} </w:t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>INCC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 xml:space="preserve">{{CHK_IGPM}} </w:t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>IGPM</w:t>
            </w:r>
          </w:p>
        </w:tc>
      </w:tr>
      <w:tr>
        <w:trPr>
          <w:trHeight w:val="7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Período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 xml:space="preserve">A cada </w:t>
            </w: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12 meses</w:t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 xml:space="preserve">, a contar de </w:t>
            </w:r>
            <w:commentRangeStart w:id="9"/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>{{DATA_ORCAMENTO}}</w:t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 </w:t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commentRangeEnd w:id="9"/>
            <w:r>
              <w:commentReference w:id="9"/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(data do orçamento estimado).</w:t>
            </w:r>
          </w:p>
        </w:tc>
      </w:tr>
      <w:tr>
        <w:trPr>
          <w:trHeight w:val="375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Pagamento</w:t>
            </w:r>
          </w:p>
        </w:tc>
      </w:tr>
      <w:tr>
        <w:trPr>
          <w:trHeight w:val="415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Forma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Ordem bancária.</w:t>
            </w:r>
          </w:p>
        </w:tc>
      </w:tr>
      <w:tr>
        <w:trPr>
          <w:trHeight w:val="415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Prazo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</w:rPr>
            </w:pPr>
            <w:commentRangeStart w:id="10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>{{PRAZO_PAGAMENTO}} </w:t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>dias corridos</w:t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</w:r>
            <w:commentRangeEnd w:id="10"/>
            <w:r>
              <w:commentReference w:id="10"/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, a contar do recebimento da nota fiscal ou fatura atestada pelo fiscal do contrato.</w:t>
            </w:r>
          </w:p>
        </w:tc>
      </w:tr>
      <w:tr>
        <w:trPr>
          <w:trHeight w:val="580" w:hRule="atLeast"/>
        </w:trPr>
        <w:tc>
          <w:tcPr>
            <w:tcW w:w="14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/>
              <w:drawing>
                <wp:inline distT="0" distB="0" distL="0" distR="0">
                  <wp:extent cx="445770" cy="393700"/>
                  <wp:effectExtent l="0" t="0" r="0" b="0"/>
                  <wp:docPr id="5" name="image1.png" descr="Forma&#10;&#10;Descrição gerada automaticamente com confiança mé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1.png" descr="Forma&#10;&#10;Descrição gerada automaticamente com confiança mé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" cy="39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Fiscalização</w:t>
            </w:r>
          </w:p>
        </w:tc>
      </w:tr>
      <w:tr>
        <w:trPr>
          <w:trHeight w:val="58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</w:rPr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jc w:val="both"/>
              <w:rPr>
                <w:rFonts w:ascii="Quattrocento Sans" w:hAnsi="Quattrocento Sans" w:eastAsia="Quattrocento Sans" w:cs="Quattrocento Sans"/>
                <w:sz w:val="22"/>
                <w:szCs w:val="22"/>
              </w:rPr>
            </w:pPr>
            <w:r>
              <w:rPr>
                <w:rFonts w:eastAsia="Quattrocento Sans" w:cs="Quattrocento Sans" w:ascii="Quattrocento Sans" w:hAnsi="Quattrocento Sans"/>
                <w:sz w:val="22"/>
                <w:szCs w:val="22"/>
              </w:rPr>
              <w:t xml:space="preserve">A fiscalização do contrato será feita pelo servidor </w:t>
            </w:r>
            <w:r>
              <w:rPr>
                <w:rFonts w:eastAsia="Quattrocento Sans" w:cs="Quattrocento Sans" w:ascii="Quattrocento Sans" w:hAnsi="Quattrocento Sans"/>
                <w:b/>
                <w:bCs/>
                <w:sz w:val="22"/>
                <w:szCs w:val="22"/>
              </w:rPr>
              <w:t xml:space="preserve">{{FISCAL_TITULAR}}</w:t>
            </w:r>
            <w:r>
              <w:rPr>
                <w:rFonts w:eastAsia="Quattrocento Sans" w:cs="Quattrocento Sans" w:ascii="Quattrocento Sans" w:hAnsi="Quattrocento Sans"/>
                <w:sz w:val="22"/>
                <w:szCs w:val="22"/>
              </w:rPr>
              <w:t xml:space="preserve">, matrícula nº </w:t>
            </w:r>
            <w:r>
              <w:rPr>
                <w:rFonts w:eastAsia="Quattrocento Sans" w:cs="Quattrocento Sans" w:ascii="Quattrocento Sans" w:hAnsi="Quattrocento Sans"/>
                <w:b/>
                <w:bCs/>
                <w:sz w:val="22"/>
                <w:szCs w:val="22"/>
              </w:rPr>
              <w:t xml:space="preserve">{{MATRICULA_TITULAR}}</w:t>
            </w:r>
            <w:r>
              <w:rPr>
                <w:rFonts w:eastAsia="Quattrocento Sans" w:cs="Quattrocento Sans" w:ascii="Quattrocento Sans" w:hAnsi="Quattrocento Sans"/>
                <w:sz w:val="22"/>
                <w:szCs w:val="22"/>
              </w:rPr>
              <w:t xml:space="preserve">, fiscal titular e pelo servidor {{</w:t>
            </w:r>
            <w:r>
              <w:rPr>
                <w:rFonts w:eastAsia="Quattrocento Sans" w:cs="Quattrocento Sans" w:ascii="Quattrocento Sans" w:hAnsi="Quattrocento Sans"/>
                <w:b/>
                <w:bCs/>
                <w:sz w:val="22"/>
                <w:szCs w:val="22"/>
              </w:rPr>
              <w:t xml:space="preserve">FISCAL_SUPLENTE}}</w:t>
            </w:r>
            <w:r>
              <w:rPr>
                <w:rFonts w:eastAsia="Quattrocento Sans" w:cs="Quattrocento Sans" w:ascii="Quattrocento Sans" w:hAnsi="Quattrocento Sans"/>
                <w:sz w:val="22"/>
                <w:szCs w:val="22"/>
              </w:rPr>
              <w:t xml:space="preserve">, matrícula nº {{</w:t>
            </w:r>
            <w:r>
              <w:rPr>
                <w:rFonts w:eastAsia="Quattrocento Sans" w:cs="Quattrocento Sans" w:ascii="Quattrocento Sans" w:hAnsi="Quattrocento Sans"/>
                <w:b/>
                <w:bCs/>
                <w:sz w:val="22"/>
                <w:szCs w:val="22"/>
              </w:rPr>
              <w:t xml:space="preserve">MATRICULA_SUPLENTE}}</w:t>
            </w:r>
            <w:r>
              <w:rPr>
                <w:rFonts w:eastAsia="Quattrocento Sans" w:cs="Quattrocento Sans" w:ascii="Quattrocento Sans" w:hAnsi="Quattrocento Sans"/>
                <w:sz w:val="22"/>
                <w:szCs w:val="22"/>
              </w:rPr>
              <w:t xml:space="preserve">, fiscal suplente, ambos lotados no {{SETOR_FISCAL}}.</w:t>
            </w:r>
          </w:p>
        </w:tc>
      </w:tr>
      <w:tr>
        <w:trPr>
          <w:trHeight w:val="60" w:hRule="atLeast"/>
        </w:trPr>
        <w:tc>
          <w:tcPr>
            <w:tcW w:w="14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/>
              <w:drawing>
                <wp:inline distT="0" distB="0" distL="0" distR="0">
                  <wp:extent cx="457200" cy="457200"/>
                  <wp:effectExtent l="0" t="0" r="0" b="0"/>
                  <wp:docPr id="6" name="image4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4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Vigência</w:t>
            </w:r>
          </w:p>
        </w:tc>
      </w:tr>
      <w:tr>
        <w:trPr>
          <w:trHeight w:val="5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Prazo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>{{PRAZO_VIGENCIA_EXTENSO}} meses.</w:t>
            </w: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 xml:space="preserve"/>
            </w:r>
          </w:p>
        </w:tc>
      </w:tr>
      <w:tr>
        <w:trPr>
          <w:trHeight w:val="5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Início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EE0000"/>
                <w:highlight w:val="green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  <w:color w:val="000000"/>
              </w:rPr>
              <w:t xml:space="preserve">{{DATA_INICIO}}</w:t>
            </w:r>
          </w:p>
        </w:tc>
      </w:tr>
      <w:tr>
        <w:trPr>
          <w:trHeight w:val="157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color w:val="EE0000"/>
                <w:highlight w:val="green"/>
              </w:rPr>
            </w:pPr>
            <w:r>
              <w:rPr>
                <w:rFonts w:eastAsia="Quattrocento Sans" w:cs="Quattrocento Sans" w:ascii="Quattrocento Sans" w:hAnsi="Quattrocento Sans"/>
                <w:color w:val="EE0000"/>
                <w:highlight w:val="green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Fim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EE0000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  <w:color w:val="000000"/>
              </w:rPr>
              <w:t xml:space="preserve">{{DATA_FIM}}</w:t>
            </w:r>
          </w:p>
        </w:tc>
      </w:tr>
    </w:tbl>
    <w:p>
      <w:pPr>
        <w:pStyle w:val="Normal1"/>
        <w:rPr>
          <w:rFonts w:ascii="Quattrocento Sans" w:hAnsi="Quattrocento Sans" w:eastAsia="Quattrocento Sans" w:cs="Quattrocento Sans"/>
          <w:b/>
          <w:bCs/>
          <w:color w:val="C9211E"/>
          <w:sz w:val="24"/>
          <w:szCs w:val="24"/>
          <w:shd w:fill="FFF2CC" w:val="clear"/>
        </w:rPr>
      </w:pPr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  <w:shd w:fill="FFF2CC" w:val="clear"/>
        </w:rPr>
      </w:r>
      <w:r>
        <w:br w:type="page"/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color w:val="C9211E"/>
          <w:sz w:val="24"/>
          <w:szCs w:val="24"/>
          <w:shd w:fill="FFF2CC" w:val="clear"/>
        </w:rPr>
      </w:pPr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  <w:shd w:fill="FFF2CC" w:val="clear"/>
        </w:rPr>
      </w:r>
    </w:p>
    <w:tbl>
      <w:tblPr>
        <w:tblStyle w:val="Table3"/>
        <w:tblW w:w="90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067"/>
      </w:tblGrid>
      <w:tr>
        <w:trPr/>
        <w:tc>
          <w:tcPr>
            <w:tcW w:w="9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F4C81" w:val="clea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FFFFFF"/>
                <w:sz w:val="24"/>
                <w:szCs w:val="24"/>
              </w:rPr>
              <mc:AlternateContent>
                <mc:Choice Requires="wps">
                  <w:drawing>
                    <wp:anchor behindDoc="0" distT="0" distB="0" distL="0" distR="0" simplePos="0" locked="0" layoutInCell="0" allowOverlap="1" relativeHeight="37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-3810</wp:posOffset>
                      </wp:positionV>
                      <wp:extent cx="644525" cy="644525"/>
                      <wp:effectExtent l="635" t="5715" r="0" b="5080"/>
                      <wp:wrapNone/>
                      <wp:docPr id="7" name="Shap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4400" cy="644400"/>
                              </a:xfrm>
                              <a:custGeom>
                                <a:avLst/>
                                <a:gdLst>
                                  <a:gd name="textAreaLeft" fmla="*/ 0 w 365400"/>
                                  <a:gd name="textAreaRight" fmla="*/ 365760 w 365400"/>
                                  <a:gd name="textAreaTop" fmla="*/ 0 h 365400"/>
                                  <a:gd name="textAreaBottom" fmla="*/ 365760 h 3654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lnTo>
                                      <a:pt x="21600" y="0"/>
                                    </a:lnTo>
                                  </a:path>
                                  <a:path w="21600" h="21600">
                                    <a:moveTo>
                                      <a:pt x="0" y="21600"/>
                                    </a:moveTo>
                                    <a:lnTo>
                                      <a:pt x="21600" y="2160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/>
                </mc:Fallback>
              </mc:AlternateContent>
            </w:r>
            <w:bookmarkStart w:id="2" w:name="bookmark=id.1fob9te"/>
            <w:r>
              <w:rPr>
                <w:rFonts w:eastAsia="Quattrocento Sans" w:cs="Quattrocento Sans" w:ascii="Quattrocento Sans" w:hAnsi="Quattrocento Sans"/>
                <w:b/>
                <w:bCs/>
                <w:color w:val="FFFFFF"/>
                <w:sz w:val="24"/>
                <w:szCs w:val="24"/>
              </w:rPr>
              <w:t>CLÁUSULAS CONTRATUAIS</w:t>
            </w:r>
          </w:p>
        </w:tc>
      </w:tr>
    </w:tbl>
    <w:p>
      <w:pPr>
        <w:pStyle w:val="Normal1"/>
        <w:spacing w:lineRule="auto" w:line="240" w:before="0" w:after="120"/>
        <w:ind w:left="4536" w:hanging="0"/>
        <w:jc w:val="both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  <w:bookmarkEnd w:id="2"/>
    </w:p>
    <w:tbl>
      <w:tblPr>
        <w:tblStyle w:val="Table4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Partes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5"/>
        <w:tblW w:w="9071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836"/>
        <w:gridCol w:w="7234"/>
      </w:tblGrid>
      <w:tr>
        <w:trPr>
          <w:trHeight w:val="1634" w:hRule="atLeast"/>
        </w:trPr>
        <w:tc>
          <w:tcPr>
            <w:tcW w:w="1836" w:type="dxa"/>
            <w:tcBorders/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right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Contratante</w:t>
            </w:r>
          </w:p>
        </w:tc>
        <w:tc>
          <w:tcPr>
            <w:tcW w:w="7234" w:type="dxa"/>
            <w:tcBorders/>
            <w:shd w:fill="DBEEF3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</w:rPr>
              <w:t xml:space="preserve">O Estado do Pará</w:t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, por intermédio {{ORGAO_INTERMEDIO}}, </w:t>
            </w:r>
            <w:commentRangeStart w:id="11"/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smallCaps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commentRangeEnd w:id="11"/>
            <w:r>
              <w:commentReference w:id="11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CNPJ nº 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color w:val="000000"/>
              </w:rPr>
              <w:t xml:space="preserve">{{ORGAO_CNPJ}}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, com sede na Av. Júlio César, nº 3.000, Marambaia, CEP 66.615-055, Belém-Pará, neste ato representado pelo Exmo. Sr. {{AUTORIDADE_NOME}} – {{AUTORIDADE_POSTO}} – {{AUTORIDADE_CARGO}}</w:t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/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color w:val="000000"/>
              </w:rPr>
              <w:t xml:space="preserve">Presidente do Comitê de Gestão e Administração Superior do Fundo Especial de Bombeiros.</w:t>
            </w:r>
          </w:p>
        </w:tc>
      </w:tr>
      <w:tr>
        <w:trPr/>
        <w:tc>
          <w:tcPr>
            <w:tcW w:w="1836" w:type="dxa"/>
            <w:tcBorders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right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Contratado</w:t>
            </w:r>
          </w:p>
        </w:tc>
        <w:tc>
          <w:tcPr>
            <w:tcW w:w="7234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{{NOME_CONTRATADA}}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, RG nº {{RG_CONTRATADA}} e CPF nº {{CPF_CONTRATADA}}, com domicílio na {{ENDERECO_CONTRATADA}}, e-mail: {{EMAIL_CONTRATADA}}, telefone: {{TELEFONE_CONTRATADA}}.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6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bookmarkStart w:id="3" w:name="_heading=h.jqk5yx9r6kso"/>
            <w:bookmarkEnd w:id="3"/>
            <w:r>
              <w:rPr>
                <w:rFonts w:eastAsia="Quattrocento Sans" w:cs="Quattrocento Sans" w:ascii="Quattrocento Sans" w:hAnsi="Quattrocento Sans"/>
                <w:smallCaps/>
              </w:rPr>
              <w:t>CLÁUSULA 2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bookmarkStart w:id="4" w:name="_heading=h.1iakimwosvj7"/>
            <w:bookmarkEnd w:id="4"/>
            <w:r>
              <w:rPr>
                <w:rFonts w:eastAsia="Quattrocento Sans" w:cs="Quattrocento Sans" w:ascii="Quattrocento Sans" w:hAnsi="Quattrocento Sans"/>
                <w:smallCaps/>
              </w:rPr>
              <w:t>Fundamento legal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presente contrato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é oriundo {{FUNDAMENTO_ORIGEM}}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constante no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PAE Nº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color w:val="000000"/>
        </w:rPr>
        <w:t xml:space="preserve">{{NUM_PAE}}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 é regido pela Lei Federal nº 14.133/21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e demais legislações aplicáveis ao assunto.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minuta deste Contrato foi aprovada pela </w:t>
      </w:r>
      <w:commentRangeStart w:id="13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highlight w:val="white"/>
          <w:u w:val="none"/>
          <w:vertAlign w:val="baseline"/>
        </w:rPr>
        <w:t>Consultoria Jurídica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do CBMPA, conforme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Parecer N° {{PARECER_JURIDICO}}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13"/>
      <w:r>
        <w:commentReference w:id="13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nos termos do art. 53, da Lei n° 14.133/2021.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tbl>
      <w:tblPr>
        <w:tblStyle w:val="Table7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3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Objeto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2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objeto da contratação é a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prestação de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color w:val="000000"/>
        </w:rPr>
        <w:t xml:space="preserve">{{OBJETO}}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conforme condições, quantidades e exigências estabelecidas neste contrato e descrito no Termo de Referência, o qual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ADERE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a este documento para todos os fins.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2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Este instrumento se vincula {{VINCULO_INSTRUMENTO}}</w:t>
      </w:r>
      <w:commentRangeStart w:id="14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14"/>
      <w:r>
        <w:commentReference w:id="14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e aos anexos desses documentos. 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2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Os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serviços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contratados são os seguintes itens descritos no Termo de Referência: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8"/>
        <w:tblW w:w="9068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612"/>
        <w:gridCol w:w="4917"/>
        <w:gridCol w:w="822"/>
        <w:gridCol w:w="612"/>
        <w:gridCol w:w="1044"/>
        <w:gridCol w:w="1060"/>
      </w:tblGrid>
      <w:tr>
        <w:trPr/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808080" w:val="clear"/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16"/>
                <w:szCs w:val="16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16"/>
                <w:szCs w:val="16"/>
              </w:rPr>
              <w:t>Nº ITEM</w:t>
            </w:r>
          </w:p>
        </w:tc>
        <w:tc>
          <w:tcPr>
            <w:tcW w:w="4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808080" w:val="clear"/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16"/>
                <w:szCs w:val="16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16"/>
                <w:szCs w:val="16"/>
              </w:rPr>
              <w:t>DESCRIÇÃO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808080" w:val="clear"/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16"/>
                <w:szCs w:val="16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16"/>
                <w:szCs w:val="16"/>
              </w:rPr>
              <w:t>UNID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808080" w:val="clear"/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16"/>
                <w:szCs w:val="16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16"/>
                <w:szCs w:val="16"/>
              </w:rPr>
              <w:t>QTD</w:t>
            </w: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808080" w:val="clear"/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16"/>
                <w:szCs w:val="16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16"/>
                <w:szCs w:val="16"/>
              </w:rPr>
              <w:t>VALOR UNITÁRIO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808080" w:val="clear"/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16"/>
                <w:szCs w:val="16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16"/>
                <w:szCs w:val="16"/>
              </w:rPr>
              <w:t>SUBTOTAL</w:t>
            </w:r>
          </w:p>
        </w:tc>
      </w:tr>
      <w:tr>
        <w:trPr/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{%tr for item in ITENS %}</w:t>
            </w:r>
          </w:p>
        </w:tc>
        <w:tc>
          <w:tcPr>
            <w:tcW w:w="4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</w:tr>
      <w:tr>
        <w:trPr/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{{item.numero}}</w:t>
            </w:r>
          </w:p>
        </w:tc>
        <w:tc>
          <w:tcPr>
            <w:tcW w:w="4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{{item.descricao}}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{{item.unidade}}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{{item.quantidade}}</w:t>
            </w: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{{item.valor_unitario}}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{{item.subtotal}}</w:t>
            </w:r>
          </w:p>
        </w:tc>
      </w:tr>
      <w:tr>
        <w:trPr/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{%tr endfor %}</w:t>
            </w:r>
          </w:p>
        </w:tc>
        <w:tc>
          <w:tcPr>
            <w:tcW w:w="4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</w:tr>
      <w:tr>
        <w:trPr/>
        <w:tc>
          <w:tcPr>
            <w:tcW w:w="696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20"/>
                <w:szCs w:val="20"/>
              </w:rPr>
              <w:t>VALOR TOTAL</w:t>
            </w:r>
          </w:p>
        </w:tc>
        <w:tc>
          <w:tcPr>
            <w:tcW w:w="2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000000"/>
                <w:sz w:val="20"/>
                <w:szCs w:val="20"/>
              </w:rPr>
            </w:pPr>
            <w:commentRangeStart w:id="15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20"/>
                <w:szCs w:val="20"/>
              </w:rPr>
              <w:t xml:space="preserve">R$ {{VALOR_GLOBAL}}</w:t>
            </w:r>
            <w:commentRangeEnd w:id="15"/>
            <w:r>
              <w:commentReference w:id="15"/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20"/>
                <w:szCs w:val="20"/>
              </w:rPr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tbl>
      <w:tblPr>
        <w:tblStyle w:val="Table9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4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  <w:color w:val="9BBB59"/>
              </w:rPr>
            </w:pPr>
            <w:r>
              <w:rPr>
                <w:rFonts w:eastAsia="Quattrocento Sans" w:cs="Quattrocento Sans" w:ascii="Quattrocento Sans" w:hAnsi="Quattrocento Sans"/>
                <w:smallCaps/>
                <w:color w:val="9BBB59"/>
              </w:rPr>
              <w:t>Local e hora da prestação do serviço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O local e a hora da prestação dos serviços contratados são aqueles previstos no Termo de Referência.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recebimento definitivo do serviços não exclui a responsabilidade da empresa quanto aos vícios ocultos, ou seja, que só são manifestados quando da sua normal utilização pela contratante, nos termos do Código de Defesa do Consumidor (Lei 8.078/90). 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10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5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Preço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4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valor global do contrato é </w:t>
      </w:r>
      <w:commentRangeStart w:id="16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color w:val="000000"/>
        </w:rPr>
        <w:t xml:space="preserve">R$ {{VALOR_GLOBAL}} ({{VALOR_GLOBAL_EXTENSO}})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E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E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16"/>
      <w:r>
        <w:commentReference w:id="16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 todas as despesas ordinárias diretas e indiretas decorrentes de sua execução estão inclusas nesse preço, como tributos, encargos sociais, trabalhistas, previdenciários, comerciais, taxa de administração, frete, seguro e outros necessários ao cumprimento integral do contrato.</w:t>
      </w:r>
    </w:p>
    <w:p>
      <w:pPr>
        <w:pStyle w:val="Normal1"/>
        <w:tabs>
          <w:tab w:val="clear" w:pos="720"/>
          <w:tab w:val="left" w:pos="390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tabs>
          <w:tab w:val="clear" w:pos="720"/>
          <w:tab w:val="left" w:pos="567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11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6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Dotação Orçamentária</w:t>
            </w:r>
          </w:p>
        </w:tc>
      </w:tr>
    </w:tbl>
    <w:p>
      <w:pPr>
        <w:pStyle w:val="Normal1"/>
        <w:tabs>
          <w:tab w:val="clear" w:pos="720"/>
          <w:tab w:val="left" w:pos="567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As despesas decorrentes desta contratação estão programadas em dotação orçamentária própria do </w:t>
      </w:r>
      <w:commentRangeStart w:id="17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Orçamento {{ORGAO_ORCAMENTO}}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17"/>
      <w:r>
        <w:commentReference w:id="17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na classificação abaixo:</w:t>
      </w:r>
    </w:p>
    <w:tbl>
      <w:tblPr>
        <w:tblStyle w:val="Table12"/>
        <w:tblW w:w="67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550"/>
        <w:gridCol w:w="2342"/>
        <w:gridCol w:w="1878"/>
      </w:tblGrid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  <w:b/>
                <w:bC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Item da dotação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>Contábil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  <w:highlight w:val="green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>Descrição</w:t>
            </w:r>
          </w:p>
        </w:tc>
      </w:tr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Exercício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{{EXERCICIO}}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  <w:highlight w:val="green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highlight w:val="green"/>
              </w:rPr>
            </w:r>
            <w:r>
              <w:rPr>
                <w:rFonts w:ascii="Quattrocento Sans" w:hAnsi="Quattrocento Sans" w:eastAsia="Quattrocento Sans" w:cs="Quattrocento Sans"/>
                <w:color w:val="4F81BD"/>
                <w:highlight w:val="green"/>
              </w:rPr>
              <w:t xml:space="preserve">{{DESC_EXERCICIO}}</w:t>
            </w:r>
          </w:p>
        </w:tc>
      </w:tr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Gestão/Unidade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{{GESTAO_UNIDADE}}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  <w:r>
              <w:rPr>
                <w:rFonts w:ascii="Quattrocento Sans" w:hAnsi="Quattrocento Sans" w:eastAsia="Quattrocento Sans" w:cs="Quattrocento Sans"/>
                <w:color w:val="4F81BD"/>
              </w:rPr>
              <w:t xml:space="preserve">{{DESC_GESTAO}}</w:t>
            </w:r>
          </w:p>
        </w:tc>
      </w:tr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Fonte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{{FONTE}}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  <w:r>
              <w:rPr>
                <w:rFonts w:ascii="Quattrocento Sans" w:hAnsi="Quattrocento Sans" w:eastAsia="Quattrocento Sans" w:cs="Quattrocento Sans"/>
                <w:color w:val="4F81BD"/>
              </w:rPr>
              <w:t xml:space="preserve">{{DESC_FONTE}}</w:t>
            </w:r>
          </w:p>
        </w:tc>
      </w:tr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Programa de Trabalho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{{PROG_TRABALHO}}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  <w:r>
              <w:rPr>
                <w:rFonts w:ascii="Quattrocento Sans" w:hAnsi="Quattrocento Sans" w:eastAsia="Quattrocento Sans" w:cs="Quattrocento Sans"/>
                <w:color w:val="4F81BD"/>
              </w:rPr>
              <w:t xml:space="preserve">{{DESC_PROG_TRABALHO}}</w:t>
            </w:r>
          </w:p>
        </w:tc>
      </w:tr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Natureza de Despesa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{{NAT_DESPESA}}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  <w:r>
              <w:rPr>
                <w:rFonts w:ascii="Quattrocento Sans" w:hAnsi="Quattrocento Sans" w:eastAsia="Quattrocento Sans" w:cs="Quattrocento Sans"/>
                <w:color w:val="4F81BD"/>
              </w:rPr>
              <w:t xml:space="preserve">{{DESC_NAT_DESPESA}}</w:t>
            </w:r>
          </w:p>
        </w:tc>
      </w:tr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Plano Interno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{{PLANO_INTERNO}}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  <w:bookmarkStart w:id="5" w:name="_heading=h.z93pb9qeqam5"/>
            <w:bookmarkStart w:id="6" w:name="_heading=h.z93pb9qeqam5"/>
            <w:bookmarkEnd w:id="6"/>
            <w:r>
              <w:rPr>
                <w:rFonts w:ascii="Quattrocento Sans" w:hAnsi="Quattrocento Sans" w:eastAsia="Quattrocento Sans" w:cs="Quattrocento Sans"/>
                <w:color w:val="4F81BD"/>
              </w:rPr>
              <w:t xml:space="preserve">{{DESC_PLANO_INTERNO}}</w:t>
            </w:r>
          </w:p>
        </w:tc>
      </w:tr>
    </w:tbl>
    <w:p>
      <w:pPr>
        <w:pStyle w:val="Normal1"/>
        <w:tabs>
          <w:tab w:val="clear" w:pos="720"/>
          <w:tab w:val="left" w:pos="390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13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7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Reajuste</w:t>
            </w:r>
          </w:p>
        </w:tc>
      </w:tr>
    </w:tbl>
    <w:p>
      <w:pPr>
        <w:pStyle w:val="Normal1"/>
        <w:tabs>
          <w:tab w:val="clear" w:pos="720"/>
          <w:tab w:val="left" w:pos="390" w:leader="none"/>
        </w:tabs>
        <w:spacing w:lineRule="auto" w:line="240" w:before="0" w:after="120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contrato será reajustado pelo </w:t>
      </w:r>
      <w:commentRangeStart w:id="18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{{INDICE_REAJUSTE_EXTENSO}}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18"/>
      <w:r>
        <w:commentReference w:id="18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ou outro índice que venha a substituí-lo exclusivamente para as obrigações iniciadas e concluídas após a ocorrência da anualidade.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É devido reajuste contratual apenas a cada 12 meses, a contar de </w:t>
      </w:r>
      <w:commentRangeStart w:id="19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{{DATA_ORCAMENTO}}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19"/>
      <w:r>
        <w:commentReference w:id="19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data do orçamento estimado.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reajuste se restringirá ao valor do saldo contratual existente na data em que aquele for devido.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reajuste será realizado de ofício pelo CONTRATANTE mediante a aplicação do índice de correção monetária mencionado no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item 7.1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na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base de cálculo do item 7.3.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reajuste será automático e independerá de requerimento do CONTRATADO.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reajuste será realizado por simples apostila.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 caso de atraso ou não divulgação do índice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do item 7.1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o CONTRATANTE utilizará a sua última variação conhecida, liquidando a diferença correspondente tão logo seja divulgado o índice definitivo.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Caso o índice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item 7.1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venha a ser extinto ou não possa mais ser utilizado, as PARTES elegerão novo índice, fixando-o por meio de termo aditivo.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Não será devido reajuste quando o atraso na entrega do bem for atribuível ao CONTRATADO.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14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8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Pagamento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pagamento será realizado em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{{PRAZO_PAGAMENTO}} dias corridos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a contar do recebimento da nota fiscal ou fatura atestada pelo fiscal do contrato.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pagamento será efetuado por ordem bancária para conta de titularidade da CONTRATADO, cujos dados são: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15"/>
        <w:tblW w:w="452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1406"/>
        <w:gridCol w:w="3118"/>
      </w:tblGrid>
      <w:tr>
        <w:trPr>
          <w:trHeight w:val="289" w:hRule="atLeast"/>
        </w:trPr>
        <w:tc>
          <w:tcPr>
            <w:tcW w:w="1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BANCO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4F81BD"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{{BANCO}}</w:t>
            </w:r>
          </w:p>
        </w:tc>
      </w:tr>
      <w:tr>
        <w:trPr/>
        <w:tc>
          <w:tcPr>
            <w:tcW w:w="1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AGÊNCIA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4F81BD"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{{AGENCIA}}</w:t>
            </w:r>
          </w:p>
        </w:tc>
      </w:tr>
      <w:tr>
        <w:trPr>
          <w:trHeight w:val="319" w:hRule="atLeast"/>
        </w:trPr>
        <w:tc>
          <w:tcPr>
            <w:tcW w:w="1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CONTA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4F81BD"/>
                <w:sz w:val="24"/>
                <w:szCs w:val="24"/>
              </w:rPr>
            </w:pPr>
            <w:commentRangeStart w:id="20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{{CONTA}}</w:t>
            </w:r>
            <w:commentRangeEnd w:id="20"/>
            <w:r>
              <w:commentReference w:id="20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Havendo erro na apresentação da nota fiscal, fatura ou dos documentos pertinentes à contratação, ou, ainda, circunstância que impeça a liquidação da despesa, como, por exemplo, obrigação financeira pendente, decorrente de penalidade imposta ou inadimplência, o pagamento ficará sobrestado até que o CONTRATADO adote as medidas para saneamento das pendências.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Na hipótese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item 8.3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o prazo para pagamento começará a correr depois da comprovação da regularização da pendência, sem ônus à CONTRATANTE.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data do efetivo pagamento será considerada aquela que constar da ordem bancária emitida para quitação da nota fiscal ou fatura.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regularidade fiscal do CONTRATADO deve ser verificada pelo CONTRATANTE por ocasião do pagamento por meio de consulta ao Sistema de Cadastramento Unificado de Fornecedores (SICAF) ou, na impossibilidade de acesso a ele, devem ser consultados sítios eletrônicos oficiais ou, ainda, ser solicitada a documentação física listada no art. 68 da Lei Federal nº 14.133/21.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constatação de irregularidade fiscal do CONTRATADO não impede o pagamento do que foi executado, mas constitui falta contratual, a ser sancionada em procedimento de inexecução contratual.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Antes da instauração do procedimento de inexecução contratual a que faz menção 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item 8.7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o CONTRATADO deve ser notificado (através do Fiscal de Contrato) para regularizar a pendência no prazo de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5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. Não sendo regularizada, deve-se instaurar o procedimento de inexecução contratual, ofertando contraditório e ampla defesa ao CONTRATADO.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instauração do procedimento de inexecução contratual não impede o pagamento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do serviço que já foi prestado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Diante da gravidade do caso concreto e para proteger o Erário e o interesse público, a autoridade competente pode decidir pela suspensão do contrato, ocasião em que somente será pago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o serviço que já foi prestado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Caso ao final do procedimento a que faz menção a parte final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item 8.8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autoridade decida pela rescisão contratual, o pagamento será sustado automaticamente.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inadimplência do CONTRATADO junto ao SICAF é causa de rescisão contratual, exceto se a autoridade máxima do CONTRATANTE justificar a necessidade de manutenção do contrato por motivo de economicidade, segurança estadual ou outro de interesse público de alta relevância.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CONTRATANTE efetuará a retenção tributária prevista na legislação aplicável por ocasião do pagamento.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CONTRATADO optante do Simples Nacional não sofrerá retenção tributária em relação aos impostos e contribuições abrangidos por aquele regime, mas o pagamento ficará condicionado à comprovação, por documento oficial, de que o CONTRATADO é beneficiário do tratamento tributário previsto na Lei Complementar Federal nº 123/06. 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120"/>
        <w:ind w:left="36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16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9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Garantia de cumprimento contratual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r>
        <w:t xml:space="preserve">{%p if not GARANTIA_EXIGIDA %}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commentRangeStart w:id="21"/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9.1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21"/>
      <w:r>
        <w:commentReference w:id="21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Não há exigência de prestação de garantia de cumprimento deste contrato.</w:t>
      </w:r>
    </w:p>
    <w:p>
      <w:r>
        <w:t xml:space="preserve">{%p else %}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commentRangeStart w:id="22"/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9.1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22"/>
      <w:r>
        <w:commentReference w:id="22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contratado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garantirá o cumprimento do contrato mediante a prestação de uma das modalidades de garantia previstas no art. 96, § 1º, da Lei Federal nº 14.133/21, a sua escolha.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left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garantia corresponderá a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{{GARANTIA_PERCENTUAL_EXTENSO}}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do valor atualizado do contrato.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left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garantia em dinheiro deverá ser efetuada em conta bancária de titularidade do CONTRATANTE, cujos dados são:</w:t>
      </w:r>
    </w:p>
    <w:tbl>
      <w:tblPr>
        <w:tblStyle w:val="Table17"/>
        <w:tblW w:w="353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1405"/>
        <w:gridCol w:w="2126"/>
      </w:tblGrid>
      <w:tr>
        <w:trPr>
          <w:trHeight w:val="289" w:hRule="atLeast"/>
        </w:trPr>
        <w:tc>
          <w:tcPr>
            <w:tcW w:w="1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BANCO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4F81BD"/>
                <w:sz w:val="24"/>
                <w:szCs w:val="24"/>
              </w:rPr>
            </w:pPr>
            <w:commentRangeStart w:id="23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{{GARANTIA_BANCO}}</w:t>
            </w:r>
            <w:commentRangeEnd w:id="23"/>
            <w:r>
              <w:commentReference w:id="23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</w:p>
        </w:tc>
      </w:tr>
      <w:tr>
        <w:trPr/>
        <w:tc>
          <w:tcPr>
            <w:tcW w:w="1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AGÊNCIA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4F81BD"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{{GARANTIA_AGENCIA}}</w:t>
            </w:r>
          </w:p>
        </w:tc>
      </w:tr>
      <w:tr>
        <w:trPr>
          <w:trHeight w:val="319" w:hRule="atLeast"/>
        </w:trPr>
        <w:tc>
          <w:tcPr>
            <w:tcW w:w="1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CONTA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4F81BD"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{{GARANTIA_CONTA}}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Na hipótese de suspensão do contrato por ordem ou inadimplemento do CONTRATANTE, o CONTRATADO ficará desobrigado de renovar a garantia ou de endossar a apólice de seguro até a ordem de reinício da execução ou o adimplemento pelo CONTRATANTE.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 caso de alteração do valor do Contrato, ou prorrogação de sua vigência, a garantia deverá ser atualizada ou renovada nas mesmas condições.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Se a garantia for utilizada em pagamento de qualquer obrigação, o CONTRATADO fica obrigado a recompor o que tiver sido usado no prazo de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{{GARANTIA_PRAZO_RECOMPOSICAO}}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a contar de sua notificação.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CONTRATANTE executará a garantia na forma prevista na legislação.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garantia prestada pelo CONTRATADO será liberada ou restituída após a execução total do contrato ou após a sua extinção por culpa exclusiva do CONTRATANTE.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Quando a garantia for em dinheiro, o valor a ser devolvido, nos termos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item 9.8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será corrigido monetariamente.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garantia de execução do contrato não desobriga o CONTRATADO de apresentar a garantia contratual dos bens adquiridos, legal e do fabricante, a qual deve ser de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{{GARANTIA_BENS_DIAS}}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no mínimo.</w:t>
      </w:r>
    </w:p>
    <w:p>
      <w:r>
        <w:t xml:space="preserve">{%p endif %}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18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10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Obrigação das partes</w:t>
            </w:r>
          </w:p>
        </w:tc>
      </w:tr>
    </w:tbl>
    <w:p>
      <w:pPr>
        <w:pStyle w:val="Normal1"/>
        <w:widowControl/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color w:val="000000"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color w:val="000000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8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CONTRATANTE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tem a obrigação de: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Exigir o cumprimento de todas as obrigações assumidas pelo CONTRATADO, de acordo com este contrato, Termo de Referência e anexos.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Receber o objeto no prazo e condições estabelecidas no Termo de Referência.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Notificar o CONTRATADO sobre vícios, defeitos ou incorreções verificadas no objeto fornecido para que ele seja substituído, reparado ou corrigido às suas expensas.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Acompanhar e fiscalizar a execução do contrato e o cumprimento das obrigações do CONTRATADO.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Efetuar o pagamento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serviço prestado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 prazo, forma e condições aqui estabelecidos.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Aplicar ao CONTRATADO as sanções decorrentes da inexecução total ou parcial do contrato. 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9"/>
        </w:numPr>
        <w:pBdr/>
        <w:shd w:val="clear" w:fill="auto"/>
        <w:tabs>
          <w:tab w:val="clear" w:pos="720"/>
          <w:tab w:val="left" w:pos="524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Decidir sobre as solicitações e reclamações relacionadas à execução do contrato, ressalvados os requerimentos meramente protelatórios, manifestamente impertinentes ou de nenhum interesse à boa execução do ajuste.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CONTRATADO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tem a obrigação de: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Cumprir todas as obrigações constantes deste contrato e seus anexos, assumindo exclusivamente os riscos e as despesas decorrentes de sua execução.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Aceitar acréscimos ou supressões unilaterais impostos pelo CONTRATANTE de até 25% do valor atualizado do contrato, nas mesmas condições pactuadas inicialmente.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highlight w:val="none"/>
          <w:shd w:fill="FFFF00" w:val="clear"/>
        </w:rPr>
      </w:pPr>
      <w:commentRangeStart w:id="24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 xml:space="preserve">Manter preposto aceito pelo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>contratante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 xml:space="preserve"> no local da prestação do serviço para o representar na execução do contrato.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highlight w:val="none"/>
          <w:shd w:fill="FFFF00" w:val="clear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 xml:space="preserve">A indicação do preposto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>contratado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 xml:space="preserve"> ou a sua manutenção poderá ser recusada pelo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>contratante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 xml:space="preserve"> mediante justificativa, devendo 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>contratado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 xml:space="preserve"> designar outro para o exercício da atividade. </w:t>
      </w:r>
      <w:commentRangeEnd w:id="24"/>
      <w:r>
        <w:commentReference w:id="24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Atender às determinações regulares emitidas pelo fiscal do contrato ou autoridade superior e prestar esclarecimentos ou informações por eles solicitados.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Alocar os empregados em número compatível para o cumprimento deste con-trato e com a habilitação e conhecimento adequados para a execução do serviço, fornecendo os materiais, equipamentos, ferramentas e utensílios necessários para tanto, cuja quantidade, qualidade e tecnologia deverão atender às recomendações dos órgãos de regulação responsáveis e à legislação aplicável.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 prazo fixado pelo fiscal do contrato, reparar, corrigir ou refazer às suas expensas o serviço no qual se verificar vícios, defeitos ou incorreções resultantes de sua má execução contratual ou dos materiais empregados.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Durante a vigência do contrato, não contratar cônjuge, companheiro ou parente em linha reta, colateral ou por afinidade, até o 3º grau, de dirigente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contratante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ou de agente público que desempenhe função na licitação ou atue na fiscalização ou na gestão do contrato.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Na hipótese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item 8.6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parte final, quando solicitado o CONTRATADO deverá entregar ao CONTRATANTE os seguintes documentos: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120"/>
        <w:ind w:left="720" w:right="0" w:hanging="36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Prova de regularidade relativa à Seguridade Social.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120"/>
        <w:ind w:left="720" w:right="0" w:hanging="36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Certidão conjunta relativa aos tributos federais e à Dívida Ativa da União.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120"/>
        <w:ind w:left="720" w:right="0" w:hanging="36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Certidões que comprovem a regularidade perante a Fazenda Estadual ou Distrital da sede do CONTRATADO.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120"/>
        <w:ind w:left="720" w:right="0" w:hanging="36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Certidão de Regularidade do FGTS.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120"/>
        <w:ind w:left="720" w:right="0" w:hanging="36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Certidão Negativa de Débitos Trabalhistas.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120"/>
        <w:ind w:left="720" w:right="0" w:hanging="36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Nota fiscal atestada pelo fiscal do contrato.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Responsabilizar-se pelo cumprimento das obrigações previstas em Acordo, Convenção, Dissídio Coletivo de Trabalho ou equivalentes das categorias abrangidas pelo contrato e obrigações trabalhistas, sociais, previdenciárias, tributárias e as demais previstas em legislação específica, cuja inadimplência não transfere a responsabilidade ao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contratante.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Comunicar ao fiscal do contrato, no prazo de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24 horas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qualquer ocorrência anormal que se verifique no local da execução do objeto contratual.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Prestar todo esclarecimento ou informação solicitada pelo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contratante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ou por seus prepostos, garantindo-lhes, a qualquer tempo, o acesso ao local dos trabalhos e aos documentos relativos à execução do serviço.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Por determinação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contratante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, paralisar a atividade que não esteja sendo bem executada ou que ponha em risco a segurança das pessoas ou seus bens.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Durante a vigência do contrato, promover a guarda, manutenção e vigilância de materiais, ferramentas e tudo o que for necessário à execução do serviço.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Conduzir os trabalhos observando às normas da legislação aplicável e às determinações dos Poderes Públicos, mantendo o local dos serviços limpo e nas melhores condições de segurança, higiene e disciplina.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Submeter previamente e por escrito ao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contratante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qualquer mudança nos métodos executivos especificados no memorial descritivo ou documento similar para sua análise e aprovação.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Não permitir: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1"/>
        </w:numPr>
        <w:pBdr/>
        <w:shd w:val="clear" w:fill="auto"/>
        <w:spacing w:lineRule="auto" w:line="276" w:before="0" w:after="20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O trabalho de pessoa menor de 16 anos no objeto deste contrato, exceto na condição de aprendiz para os maiores de 14 anos; e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1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A utilização do trabalho da pessoa menor de 18 anos em trabalho noturno, perigoso ou insalubre, em qualquer hipótese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Manter durante a vigência do contrato todas as condições exigidas para habilitação na licitação ou para qualificação, na contratação direta.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Cumprir durante todo o período de execução do contrato a reserva de cargos para pessoa com deficiência, reabilitado da Previdência Social, aprendiz e outras reservas de cargos previstas na legislação.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Comprovar o cumprimento da alínea acima no prazo fixado pelo fiscal do contrato, indicando os empregados que preencheram as referidas vagas.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Arcar com o ônus decorrente de eventual equívoco no dimensionamento do quantitativo de sua proposta, inclusive quanto aos custos variáveis decorrentes de fatores futuros e incertos, caso o previsto inicialmente em sua proposta não seja satisfatório para o atendimento do objeto da contratação, exceto quando ocorrer algum dos eventos do art. 124, II, d, da Lei Federal nº 14.133/21. 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4"/>
        </w:numPr>
        <w:pBdr/>
        <w:shd w:val="clear" w:fill="auto"/>
        <w:tabs>
          <w:tab w:val="clear" w:pos="720"/>
          <w:tab w:val="left" w:pos="524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Cumprir as normas de segurança do CONTRATANTE, além da legislação vigente em âmbito federal, estadual e municipal. 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19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11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Responsabilidade por danos</w:t>
            </w:r>
          </w:p>
        </w:tc>
      </w:tr>
    </w:tbl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6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responsabilidade pelos danos causados por ato do CONTRATADO, de seus empregados, prepostos ou subordinados, é exclusivamente do CONTRATADO.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6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responsabilidade pelos compromissos assumidos pelo CONTRATADO com terceiros é exclusivamente sua. 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6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CONTRATANTE não responderá pelos compromissos assumidos pelo CONTRATADO com terceiros, ainda que vinculados à execução deste contrato, ou por qualquer dano causado por ato do CONTRATADO, de seus empregados, prepostos ou subordinados.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0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12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Infrações e sanções administrativas</w:t>
            </w:r>
          </w:p>
        </w:tc>
      </w:tr>
    </w:tbl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Constituem infrações administrativas do CONTRATADO a serem punidas com as seguintes sanções: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21"/>
        <w:tblW w:w="8504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7"/>
        <w:gridCol w:w="3826"/>
      </w:tblGrid>
      <w:tr>
        <w:trPr/>
        <w:tc>
          <w:tcPr>
            <w:tcW w:w="4677" w:type="dxa"/>
            <w:tcBorders/>
            <w:shd w:fill="0F4C81" w:val="clear"/>
            <w:vAlign w:val="center"/>
          </w:tcPr>
          <w:p>
            <w:pPr>
              <w:pStyle w:val="Normal1"/>
              <w:keepNext w:val="tru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Infração</w:t>
            </w:r>
          </w:p>
        </w:tc>
        <w:tc>
          <w:tcPr>
            <w:tcW w:w="3826" w:type="dxa"/>
            <w:tcBorders/>
            <w:shd w:fill="EB293A" w:val="clear"/>
            <w:vAlign w:val="center"/>
          </w:tcPr>
          <w:p>
            <w:pPr>
              <w:pStyle w:val="Normal1"/>
              <w:keepNext w:val="tru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Penalidade</w:t>
            </w:r>
          </w:p>
        </w:tc>
      </w:tr>
      <w:tr>
        <w:trPr/>
        <w:tc>
          <w:tcPr>
            <w:tcW w:w="4677" w:type="dxa"/>
            <w:tcBorders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9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Dar causa à inexecução parcial do contrato.</w:t>
            </w:r>
          </w:p>
        </w:tc>
        <w:tc>
          <w:tcPr>
            <w:tcW w:w="3826" w:type="dxa"/>
            <w:tcBorders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Advertência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*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* 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Exceto quando se justificar a imposição de penalidade mais grave, ocasião em que poderá ser aplicada a sanção de “Impedimento de licitar e contratar”.</w:t>
            </w:r>
          </w:p>
        </w:tc>
      </w:tr>
      <w:tr>
        <w:trPr>
          <w:trHeight w:val="64" w:hRule="atLeast"/>
        </w:trPr>
        <w:tc>
          <w:tcPr>
            <w:tcW w:w="4677" w:type="dxa"/>
            <w:tcBorders/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0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Dar causa à inexecução parcial do contrato que cause grave dano ao 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contratante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ou ao funcionamento dos serviços públicos ou ao interesse coletivo.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0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Dar causa à inexecução total do contrato.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0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Deixar de entregar a documentação exigida para o certame.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0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Deixar de manter sua proposta, salvo em decorrência de fato superveniente devidamente justificado.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0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Ensejar o retardamento da execução ou da entrega do objeto da contratação sem motivo justificado.</w:t>
            </w:r>
          </w:p>
        </w:tc>
        <w:tc>
          <w:tcPr>
            <w:tcW w:w="3826" w:type="dxa"/>
            <w:tcBorders/>
            <w:shd w:fill="FAC6CB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Impedimento de licitar </w:t>
              <w:br/>
              <w:t>e contratar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*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* Exceto quando se justificar a imposição de penalidade mais grave, ocasião em que poderá ser aplicada a sanção de “Declaração de inidoneidade para licitar e contratar”.</w:t>
            </w:r>
          </w:p>
        </w:tc>
      </w:tr>
      <w:tr>
        <w:trPr/>
        <w:tc>
          <w:tcPr>
            <w:tcW w:w="4677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 w:val="false"/>
              <w:numPr>
                <w:ilvl w:val="0"/>
                <w:numId w:val="11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Apresentar declaração ou documentação falsa exigida para o certame ou prestar declaração falsa durante a dispensa eletrônica ou execução do contrato.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1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Fraudar a contratação ou praticar ato fraudulento na execução do contrato.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1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Comportar-se de modo inidôneo ou cometer fraude de qualquer natureza.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1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Praticar atos ilícitos com vistas a frustrar os objetivos do certame.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1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Praticar ato lesivo previsto no art. 5º da Lei Federal nº 12.846/13.</w:t>
            </w:r>
          </w:p>
        </w:tc>
        <w:tc>
          <w:tcPr>
            <w:tcW w:w="3826" w:type="dxa"/>
            <w:tcBorders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Declaração de inidoneidade</w:t>
              <w:br/>
              <w:t>para licitar e contratar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atraso superior a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{{PRAZO_ATRASO_RESCISAO}} dias corridos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autoriza a rescisão do contrato por seu descumprimento, nos termos do art. 137, I, da Lei Federal n° 14.133/21.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aplicação das sanções previstas neste contrato não exclui a obrigação de reparação integral do dano causado ao CONTRATANTE. 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sanções podem ser cumuladas com as seguintes multas: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22"/>
        <w:tblW w:w="8504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252"/>
        <w:gridCol w:w="4251"/>
      </w:tblGrid>
      <w:tr>
        <w:trPr>
          <w:trHeight w:val="64" w:hRule="atLeast"/>
        </w:trPr>
        <w:tc>
          <w:tcPr>
            <w:tcW w:w="8503" w:type="dxa"/>
            <w:gridSpan w:val="2"/>
            <w:tcBorders/>
            <w:shd w:fill="0F4C81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255" w:right="0" w:hanging="255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Multa</w:t>
            </w:r>
          </w:p>
        </w:tc>
      </w:tr>
      <w:tr>
        <w:trPr>
          <w:trHeight w:val="64" w:hRule="atLeast"/>
        </w:trPr>
        <w:tc>
          <w:tcPr>
            <w:tcW w:w="4252" w:type="dxa"/>
            <w:tcBorders/>
            <w:shd w:fill="FFFFFF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Moratória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255" w:right="0" w:hanging="255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a.</w:t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</w:t>
            </w:r>
            <w:commentRangeStart w:id="25"/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0,5%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(zero vírgula cinco por cento) 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commentRangeEnd w:id="25"/>
            <w:r>
              <w:commentReference w:id="25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sobre o valor da parcela inadimplida por dia de atraso injustificado até o limite de </w:t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15 dias corridos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.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255" w:right="0" w:hanging="255"/>
              <w:jc w:val="both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b. </w:t>
            </w:r>
            <w:commentRangeStart w:id="26"/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0,5%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(zero vírgula cinco por cento) 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commentRangeEnd w:id="26"/>
            <w:r>
              <w:commentReference w:id="26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sobre o valor total do contrato por dia de atraso injustificado até o limite de </w:t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15 dias corridos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pela inobservância do prazo fixado para apresentação, suplementação ou reposição da garantia.</w:t>
            </w:r>
          </w:p>
        </w:tc>
        <w:tc>
          <w:tcPr>
            <w:tcW w:w="4251" w:type="dxa"/>
            <w:tcBorders/>
            <w:shd w:fill="FFFFFF" w:val="clear"/>
          </w:tcPr>
          <w:p>
            <w:pPr>
              <w:pStyle w:val="Normal1"/>
              <w:keepNext w:val="tru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Compensatória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commentRangeStart w:id="27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1%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(um por cento) 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commentRangeEnd w:id="27"/>
            <w:r>
              <w:commentReference w:id="27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sobre o valor total do contrato, no caso de inexecução total do seu objeto.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Antes da aplicação das sanções, o CONTRATADO será notificado, através do Fiscal de Contrato, para apresentar defesa no prazo de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15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contado de sua intimação.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Se a multa aplicada e as indenizações cabíveis forem superiores ao valor devido ao CONTRATADO, além da perda deste valor, a diferença será descontada da garantia prestada e/ou será cobrada judicialmente.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Antes do ajuizamento da cobrança, a multa poderá ser recolhida administrativamente em até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15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a contar do trânsito em julgado da decisão administrativa.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aplicação das sanções será precedida de processo administrativo em que seja assegurado o contraditório e a ampla defesa ao CONTRATADO, observando o rito especial previsto no art. 158 da Lei Federal nº 14.133/21 para as penalidades de impedimento de licitar e contratar e declaração de inidoneidade para licitar ou contratar.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aplicação das sanções deve observar: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8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natureza e gravidade da infração.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8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peculiaridades do caso.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8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circunstâncias agravantes e/ou atenuantes.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8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Os danos causados ao CONTRATANTE.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8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implantação ou aperfeiçoamento de programa de integridade, conforme normas e orientações dos órgãos de controle.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infrações administrativas tipificadas como atos lesivos na Lei Federal nº 12.846/13 serão apuradas e julgadas em conjunto com as infrações previstas neste contrato, nos mesmos autos.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personalidade jurídica do CONTRATADO poderá ser desconsiderada quando for utilizada com abuso do direito para facilitar, encobrir ou dissimular a prática dos atos ilícitos previstos neste contrato ou para provocar confusão patrimonial e, nesse caso, todos os efeitos das sanções aplicadas à pessoa jurídica serão estendidos aos seus administradores e sócios com poderes de administração, à pessoa jurídica sucessora ou à empresa do mesmo ramo com relação de coligação ou controle, de fato ou de direito, com o CONTRATADO, observados o contraditório, ampla defesa e a obrigatoriedade de análise jurídica prévia.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 prazo de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15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a contar da data de aplicação da sanção, o CONTRATANTE informará e manterá atualizados os dados relativos às sanções aplicadas por ela, para publicidade no Cadastro Nacional de Empresas Inidôneas e Suspensas (CEIS) e no Cadastro Nacional de Empresas Punidas (CNEP), instituídos no âmbito do Poder Executivo Federal.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sanções de impedimento de licitar e contratar e declaração de inidoneidade para licitar ou contratar são passíveis de reabilitação, na forma do art. 163 da Lei Federal nº 14.133/21.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3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13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Alterações do contrato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alterações contratuais serão disciplinadas pelo art. 124 e seguintes da Lei Federal nº 14.133/21.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Caso haja interesse público, o CONTRATANTE pode alterar unilateralmente o contrato para impor acréscimos ou supressões de até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25%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do valor inicial atualizado do contrato,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que se fizerem nas obras, nos serviços ou nas compras, e, no caso de reforma de edifício ou de equipamento, o limite para os acréscimos será de 50% (cinquenta por cento), na forma do art. 125 da Lei nº 14.133/2021, mantidas as mesmas condições pactuadas inicialmente.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PARTES podem acordar suprimir o objeto do contrato em percentual superior a 25% do valor inicial atualizado do contrato.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Os acréscimos ou supressões não podem transfigurar o objeto da contratação.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Registros que não caracterizam alteração do contrato podem ser realizados por simples apostila, dispensada a celebração de termo aditivo, conforme art. 136 da Lei Federal nº 14.133/21.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120"/>
        <w:ind w:left="405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24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commentRangeStart w:id="28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smallCaps/>
              </w:rPr>
              <w:t>CLÁUSULA 14</w:t>
            </w:r>
            <w:commentRangeEnd w:id="28"/>
            <w:r>
              <w:commentReference w:id="28"/>
            </w:r>
            <w:r>
              <w:rPr>
                <w:rFonts w:eastAsia="Quattrocento Sans" w:cs="Quattrocento Sans" w:ascii="Quattrocento Sans" w:hAnsi="Quattrocento Sans"/>
                <w:smallCaps/>
              </w:rPr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commentRangeStart w:id="29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smallCaps/>
              </w:rPr>
              <w:t>Extinções do contrato</w:t>
            </w:r>
            <w:commentRangeEnd w:id="29"/>
            <w:r>
              <w:commentReference w:id="29"/>
            </w:r>
            <w:r>
              <w:rPr>
                <w:rFonts w:eastAsia="Quattrocento Sans" w:cs="Quattrocento Sans" w:ascii="Quattrocento Sans" w:hAnsi="Quattrocento Sans"/>
                <w:smallCaps/>
              </w:rPr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commentRangeStart w:id="30"/>
      <w:r>
        <w:rPr/>
      </w:r>
      <w:r>
        <w:rPr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contrato se extingue quando todas as obrigações de ambas as PARTES forem cumpridas, ainda que isso ocorra antes do prazo estipulado.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Se as obrigações não forem cumpridas no prazo estipulado, a vigência ficará prorrogada até a conclusão do objeto, caso em que o CONTRATANTE deverá providenciar a readequação do cronograma fixado para cumprimento do contrato.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Se a não conclusão do contrato decorrer de culpa do CONTRATADO, ele ficará constituído em mora, devendo ser instaurado procedimento de inexecução contratual para a aplicação das sanções administrativas cabíveis.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Na hipótese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item 14.3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o CONTRATANTE poderá optar, ainda, pela extinção do contrato e adotar as medidas previstas em lei para a continuidade da execução do objeto.</w:t>
      </w:r>
      <w:commentRangeEnd w:id="30"/>
      <w:r>
        <w:commentReference w:id="30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5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15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Fiscalização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5"/>
        </w:numPr>
        <w:pBdr/>
        <w:shd w:val="clear" w:fill="auto"/>
        <w:tabs>
          <w:tab w:val="clear" w:pos="720"/>
          <w:tab w:val="left" w:pos="524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cumprimento do contrato será fiscalizado pelo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servidor {{FISCAL_TITULAR}}, matrícula nº {{MATRICULA_TITULAR}}, fiscal titular, e pelo servidor {{FISCAL_SUPLENTE}}, matrícula nº {{MATRICULA_SUPLENTE}}, fiscal suplente, ambos lotados no {{SETOR_FISCAL}}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smallCaps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conforme ato a ser publicado no Diário Oficial do Estado.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6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16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Interpretação</w:t>
            </w:r>
          </w:p>
        </w:tc>
      </w:tr>
    </w:tbl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6"/>
        </w:numPr>
        <w:pBdr/>
        <w:shd w:val="clear" w:fill="auto"/>
        <w:tabs>
          <w:tab w:val="clear" w:pos="720"/>
          <w:tab w:val="left" w:pos="524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As dúvidas interpretativas sobre as cláusulas deste contrato deverão ser suscitadas ao CONTRATANTE e serão decididas por ele, de acordo com a Lei Federal nº 14.133/21, seus regulamentos, Lei Estadual n° 8.972/20 </w:t>
      </w:r>
      <w:r>
        <w:rPr>
          <w:rFonts w:eastAsia="Quattrocento Sans" w:cs="Quattrocento Sans" w:ascii="Quattrocento Sans" w:hAnsi="Quattrocento Sans"/>
          <w:sz w:val="24"/>
          <w:szCs w:val="24"/>
        </w:rPr>
        <w:t xml:space="preserve">e suas alterações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e, observando a jurisprudência dos Tribunais sobre o assunto.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7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17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Tratamento adequado dos conflitos de interesse</w:t>
            </w:r>
          </w:p>
        </w:tc>
      </w:tr>
    </w:tbl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7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Observado o disposto na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Cláusula 16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permanecendo o conflito de interesse, as PARTES se comprometem a submeter a disputa preferencialmente à CÂMARA DE NEGOCIAÇÃO, CONCILIAÇÃO, MEDIAÇÃO E ARBITRAGEM DA ADMINISTRAÇÃO PÚBLICA ESTADUAL para dirimir os conflitos decorrentes deste contrato de maneira consensual, conforme Lei Complementar Estadual n° 121/19.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8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18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ind w:left="0" w:hanging="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Divulgação e publicação</w:t>
            </w:r>
          </w:p>
        </w:tc>
      </w:tr>
    </w:tbl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8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CONTRATANTE divulgará este contrato no Portal Nacional de Contratações Públicas (PNCP) em até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e o publicará no Diário Oficial do Estado em forma de extrato, no prazo de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10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8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Os prazos contidos no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item 18.1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são contados da data da assinatura do contrato.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9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19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Vigência</w:t>
            </w:r>
          </w:p>
        </w:tc>
      </w:tr>
    </w:tbl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commentRangeStart w:id="31"/>
      <w:r>
        <w:rPr/>
      </w:r>
      <w:r>
        <w:rPr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contrato terá vigência de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{{PRAZO_VIGENCIA_EXTENSO}} meses, com início em {{DATA_INICIO}} e término em {{DATA_FIM}}{{VIGENCIA_COMPLEMENTO}}.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31"/>
      <w:r>
        <w:commentReference w:id="31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Quando o objeto não for concluído no período acima fixado, o prazo de vigência do contrato será automaticamente prorrogado, sem prejuízo da aplicação dos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itens 14.3 e 14.4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quando a não conclusão decorrer de culpa do CONTRATADO.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Antes da prorrogação da vigência do contrato, o CONTRATANTE deverá verificar a regularidade fiscal do CONTRATADO, consultar o CEIS e o CNEP, emitir as certidões negativas de inidoneidade, de impedimento e de débitos trabalhistas e juntá-las ao respectivo processo 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30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20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Casos omissos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2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Os casos omissos serão decididos pelo CONTRATANTE, segundo as disposições contidas na Lei nº 14.133, de 2021, e demais normas federais aplicáveis e, subsidiariamente, segundo as disposições contidas na Lei nº 8.078, de 1990 – Código de Defesa do Consumidor – e normas e princípios gerais dos contratos.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31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21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Foro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0"/>
        </w:numPr>
        <w:pBdr/>
        <w:shd w:val="clear" w:fill="auto"/>
        <w:tabs>
          <w:tab w:val="clear" w:pos="720"/>
          <w:tab w:val="left" w:pos="524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As PARTES elegem o foro da Comarca de Belém-PA para resolver os litígios oriundos deste contrato, observado o disposto na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Cláusula 17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.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  <w:bookmarkStart w:id="7" w:name="bookmark=id.49x2ik5"/>
      <w:bookmarkStart w:id="8" w:name="bookmark=id.49x2ik5"/>
      <w:bookmarkEnd w:id="8"/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  <w:bookmarkStart w:id="9" w:name="bookmark=id.49x2ik5"/>
      <w:bookmarkStart w:id="10" w:name="bookmark=id.3o7alnk"/>
      <w:bookmarkStart w:id="11" w:name="bookmark=id.49x2ik5"/>
      <w:bookmarkStart w:id="12" w:name="bookmark=id.3o7alnk"/>
      <w:bookmarkEnd w:id="11"/>
      <w:bookmarkEnd w:id="12"/>
    </w:p>
    <w:p>
      <w:pPr>
        <w:pStyle w:val="Normal1"/>
        <w:tabs>
          <w:tab w:val="clear" w:pos="720"/>
          <w:tab w:val="left" w:pos="6403" w:leader="none"/>
          <w:tab w:val="left" w:pos="8327" w:leader="none"/>
        </w:tabs>
        <w:spacing w:lineRule="auto" w:line="240" w:before="0" w:after="120"/>
        <w:ind w:left="4536" w:hanging="0"/>
        <w:jc w:val="right"/>
        <w:rPr>
          <w:rFonts w:ascii="Quattrocento Sans" w:hAnsi="Quattrocento Sans" w:eastAsia="Quattrocento Sans" w:cs="Quattrocento Sans"/>
          <w:sz w:val="24"/>
          <w:szCs w:val="24"/>
        </w:rPr>
      </w:pPr>
      <w:bookmarkStart w:id="13" w:name="bookmark=id.3o7alnk"/>
      <w:bookmarkStart w:id="14" w:name="_heading=h.23ckvvd"/>
      <w:bookmarkEnd w:id="13"/>
      <w:bookmarkEnd w:id="14"/>
      <w:r>
        <w:rPr>
          <w:rFonts w:eastAsia="Quattrocento Sans" w:cs="Quattrocento Sans" w:ascii="Quattrocento Sans" w:hAnsi="Quattrocento Sans"/>
          <w:sz w:val="24"/>
          <w:szCs w:val="24"/>
        </w:rPr>
        <w:t xml:space="preserve">Belém-PA, {{DATA_ASSINATURA_EXTENSO}}.</w:t>
      </w:r>
    </w:p>
    <w:p>
      <w:pPr>
        <w:pStyle w:val="Normal1"/>
        <w:spacing w:lineRule="auto" w:line="240" w:before="0" w:after="120"/>
        <w:jc w:val="right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  <w:bookmarkStart w:id="15" w:name="_heading=h.1t3h5sf"/>
      <w:bookmarkStart w:id="16" w:name="_heading=h.1t3h5sf"/>
      <w:bookmarkEnd w:id="16"/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  <w:t>____________________________________________________</w:t>
        <w:br/>
        <w:t xml:space="preserve">{{AUTORIDADE_ASSINATURA}}</w:t>
      </w: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  <mc:AlternateContent>
          <mc:Choice Requires="wps">
            <w:drawing>
              <wp:anchor behindDoc="0" distT="0" distB="0" distL="0" distR="635" simplePos="0" locked="0" layoutInCell="0" allowOverlap="1" relativeHeight="36">
                <wp:simplePos x="0" y="0"/>
                <wp:positionH relativeFrom="column">
                  <wp:posOffset>967740</wp:posOffset>
                </wp:positionH>
                <wp:positionV relativeFrom="paragraph">
                  <wp:posOffset>181610</wp:posOffset>
                </wp:positionV>
                <wp:extent cx="41275" cy="43180"/>
                <wp:effectExtent l="0" t="0" r="0" b="0"/>
                <wp:wrapTopAndBottom/>
                <wp:docPr id="8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00" cy="43200"/>
                        </a:xfrm>
                        <a:custGeom>
                          <a:avLst/>
                          <a:gdLst>
                            <a:gd name="textAreaLeft" fmla="*/ 0 w 23400"/>
                            <a:gd name="textAreaRight" fmla="*/ 23760 w 23400"/>
                            <a:gd name="textAreaTop" fmla="*/ 0 h 24480"/>
                            <a:gd name="textAreaBottom" fmla="*/ 24840 h 24480"/>
                          </a:gdLst>
                          <a:ahLst/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  <w:t xml:space="preserve"/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bookmarkStart w:id="17" w:name="_heading=h.jboxs6hv44q"/>
      <w:bookmarkEnd w:id="17"/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  <w:t xml:space="preserve">{{AUTORIDADE_CARGO}}</w:t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  <w:bookmarkStart w:id="18" w:name="_heading=h.tfxhcn9ko5xb"/>
      <w:bookmarkStart w:id="19" w:name="_heading=h.tfxhcn9ko5xb"/>
      <w:bookmarkEnd w:id="19"/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bookmarkStart w:id="20" w:name="_heading=h.1hmsyys"/>
      <w:bookmarkEnd w:id="20"/>
      <w:r>
        <w:rPr>
          <w:rFonts w:eastAsia="Quattrocento Sans" w:cs="Quattrocento Sans" w:ascii="Quattrocento Sans" w:hAnsi="Quattrocento Sans"/>
          <w:sz w:val="24"/>
          <w:szCs w:val="24"/>
        </w:rPr>
        <w:t>____________________________________________________</w:t>
        <w:br/>
      </w:r>
      <w:r>
        <w:rPr>
          <w:rFonts w:eastAsia="Quattrocento Sans" w:cs="Quattrocento Sans" w:ascii="Quattrocento Sans" w:hAnsi="Quattrocento Sans"/>
          <w:color w:val="4F81BD"/>
          <w:sz w:val="24"/>
          <w:szCs w:val="24"/>
        </w:rPr>
        <mc:AlternateContent>
          <mc:Choice Requires="wps">
            <w:drawing>
              <wp:anchor behindDoc="0" distT="0" distB="0" distL="0" distR="635" simplePos="0" locked="0" layoutInCell="0" allowOverlap="1" relativeHeight="35">
                <wp:simplePos x="0" y="0"/>
                <wp:positionH relativeFrom="column">
                  <wp:posOffset>967740</wp:posOffset>
                </wp:positionH>
                <wp:positionV relativeFrom="paragraph">
                  <wp:posOffset>117475</wp:posOffset>
                </wp:positionV>
                <wp:extent cx="41275" cy="43180"/>
                <wp:effectExtent l="0" t="0" r="0" b="0"/>
                <wp:wrapTopAndBottom/>
                <wp:docPr id="9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00" cy="43200"/>
                        </a:xfrm>
                        <a:custGeom>
                          <a:avLst/>
                          <a:gdLst>
                            <a:gd name="textAreaLeft" fmla="*/ 0 w 23400"/>
                            <a:gd name="textAreaRight" fmla="*/ 23760 w 23400"/>
                            <a:gd name="textAreaTop" fmla="*/ 0 h 24480"/>
                            <a:gd name="textAreaBottom" fmla="*/ 24840 h 24480"/>
                          </a:gdLst>
                          <a:ahLst/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eastAsia="Quattrocento Sans" w:cs="Quattrocento Sans" w:ascii="Quattrocento Sans" w:hAnsi="Quattrocento Sans"/>
          <w:sz w:val="24"/>
          <w:szCs w:val="24"/>
          <w:color w:val="000000"/>
        </w:rPr>
        <w:t xml:space="preserve">{{NOME_CONTRATADA}}</w:t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color w:val="000000"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color w:val="000000"/>
          <w:sz w:val="24"/>
          <w:szCs w:val="24"/>
        </w:rPr>
        <w:t xml:space="preserve">Contratado(a)</w:t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  <w:bookmarkStart w:id="21" w:name="bookmark=id.41mghml"/>
      <w:bookmarkStart w:id="22" w:name="bookmark=id.41mghml"/>
      <w:bookmarkEnd w:id="22"/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  <w:bookmarkStart w:id="23" w:name="bookmark=id.41mghml"/>
      <w:bookmarkStart w:id="24" w:name="bookmark=id.41mghml"/>
      <w:bookmarkEnd w:id="24"/>
    </w:p>
    <w:p>
      <w:pPr>
        <w:pStyle w:val="Normal1"/>
        <w:spacing w:lineRule="auto" w:line="240" w:before="0" w:after="120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  <w:t>TESTEMUNHAS:</w:t>
      </w:r>
      <w:bookmarkStart w:id="25" w:name="bookmark=id.2grqrue"/>
      <w:bookmarkEnd w:id="25"/>
    </w:p>
    <w:p>
      <w:pPr>
        <w:pStyle w:val="Normal1"/>
        <w:tabs>
          <w:tab w:val="clear" w:pos="720"/>
          <w:tab w:val="left" w:pos="4252" w:leader="none"/>
          <w:tab w:val="left" w:pos="4735" w:leader="none"/>
          <w:tab w:val="left" w:pos="8808" w:leader="none"/>
        </w:tabs>
        <w:spacing w:lineRule="auto" w:line="240" w:before="0" w:after="120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  <w:t>1ª</w:t>
      </w:r>
      <w:r>
        <w:rPr>
          <w:rFonts w:eastAsia="Quattrocento Sans" w:cs="Quattrocento Sans" w:ascii="Quattrocento Sans" w:hAnsi="Quattrocento Sans"/>
          <w:sz w:val="24"/>
          <w:szCs w:val="24"/>
          <w:u w:val="single"/>
        </w:rPr>
        <w:tab/>
      </w:r>
      <w:r>
        <w:rPr>
          <w:rFonts w:eastAsia="Quattrocento Sans" w:cs="Quattrocento Sans" w:ascii="Quattrocento Sans" w:hAnsi="Quattrocento Sans"/>
          <w:sz w:val="24"/>
          <w:szCs w:val="24"/>
        </w:rPr>
        <w:tab/>
        <w:t xml:space="preserve">2ª </w:t>
      </w:r>
      <w:r>
        <w:rPr>
          <w:rFonts w:eastAsia="Quattrocento Sans" w:cs="Quattrocento Sans" w:ascii="Quattrocento Sans" w:hAnsi="Quattrocento Sans"/>
          <w:sz w:val="24"/>
          <w:szCs w:val="24"/>
          <w:u w:val="single"/>
        </w:rPr>
        <w:t xml:space="preserve"> </w:t>
        <w:tab/>
      </w:r>
      <w:bookmarkStart w:id="26" w:name="bookmark=id.vx1227"/>
      <w:bookmarkEnd w:id="26"/>
    </w:p>
    <w:p>
      <w:pPr>
        <w:pStyle w:val="Normal1"/>
        <w:tabs>
          <w:tab w:val="clear" w:pos="720"/>
          <w:tab w:val="left" w:pos="4687" w:leader="none"/>
        </w:tabs>
        <w:spacing w:lineRule="auto" w:line="240" w:before="0" w:after="120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  <w:t>CPF Nº</w:t>
        <w:tab/>
        <w:t>CPF Nº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701" w:right="1134" w:gutter="0" w:header="493" w:top="1701" w:footer="663" w:bottom="1134"/>
      <w:pgNumType w:start="1" w:fmt="decimal"/>
      <w:formProt w:val="false"/>
      <w:textDirection w:val="lrTb"/>
      <w:docGrid w:type="default" w:linePitch="100" w:charSpace="4096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RENATA DE AVIZ BATISTA" w:date="2025-08-19T17:18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Adotar o padrão: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CBMPA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CBMPA/CEDEC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CBMPA/FEBOM</w:t>
      </w:r>
    </w:p>
  </w:comment>
  <w:comment w:id="1" w:author="RENATA DE AVIZ BATISTA" w:date="2025-08-20T14:41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CBMPA: 925853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CEDEC: 929902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FEBOM: 929377</w:t>
      </w:r>
    </w:p>
  </w:comment>
  <w:comment w:id="2" w:author="RENATA DE AVIZ BATISTA" w:date="2023-12-04T16:1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ADEQUAR CONFORME O ÓRGÃO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Corpo de Bombeiros Militar do Pará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CNPJ 34.847.236/0001-80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UASG 925853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Coordenadoria Estadual de Defesa Civil (CEDEC)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CNPJ 15.513.102/0001-88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UASG 929902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Fundo Especial de Bombeiros (FEBOM)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CNPJ 44.754.155/0001-99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UASG 929377</w:t>
      </w:r>
    </w:p>
  </w:comment>
  <w:comment w:id="3" w:author="RENATA DE AVIZ BATISTA" w:date="2025-08-19T14:38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Copiar o mesmo objeto do edital/aviso</w:t>
      </w:r>
    </w:p>
  </w:comment>
  <w:comment w:id="4" w:author="RENATA DE AVIZ BATISTA" w:date="2025-08-19T14:40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Citar o número dos itens que irá contratar, se for contratar tudo o que estiver no edital/aviso, pode retirar esta parte do texto.</w:t>
      </w:r>
    </w:p>
  </w:comment>
  <w:comment w:id="5" w:author="RENATA DE AVIZ BATISTA" w:date="2025-08-19T14:42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Verificar as disposições na capa do edital para auxiliar e ratificar no TR.</w:t>
      </w:r>
    </w:p>
  </w:comment>
  <w:comment w:id="6" w:author="RENATA DE AVIZ BATISTA" w:date="2025-08-19T14:42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Verificar as disposições na capa do edital para auxiliar e ratificar no TR.</w:t>
      </w:r>
    </w:p>
  </w:comment>
  <w:comment w:id="7" w:author="RENATA DE AVIZ BATISTA" w:date="2025-08-19T14:42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Verificar as disposições na capa do edital para auxiliar e ratificar no TR.</w:t>
      </w:r>
    </w:p>
  </w:comment>
  <w:comment w:id="8" w:author="RENATA DE AVIZ BATISTA" w:date="2025-08-19T14:4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Verificar as disposições na capa do edital para auxiliar e ratificar no TR.</w:t>
      </w:r>
    </w:p>
  </w:comment>
  <w:comment w:id="9" w:author="RENATA DE AVIZ BATISTA" w:date="2025-08-19T14:4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Verificar as disposições na capa do edital para auxiliar e ratificar no TR.</w:t>
      </w:r>
    </w:p>
  </w:comment>
  <w:comment w:id="10" w:author="RENATA DE AVIZ BATISTA" w:date="2025-08-19T14:4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Verificar as disposições na capa do edital para auxiliar e ratificar no TR.</w:t>
      </w:r>
    </w:p>
  </w:comment>
  <w:comment w:id="11" w:author="RENATA DE AVIZ BATISTA" w:date="2025-08-20T14:40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Adequar conforme cada UASG: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O Estado do Pará, por intermédio do Corpo de Bombeiros Militar do Pará.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O Estado do Pará, por intermédio da Coordenadoria Estadual de Defesa Civil - CEDEC do Corpo de Bombeiros Militar do Pará.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O Estado do Pará, por intermédio do Fundo Especial de Bombeiros – FEBOM do Corpo de Bombeiros Militar do Pará</w:t>
      </w:r>
    </w:p>
  </w:comment>
  <w:comment w:id="12" w:author="RENATA DE AVIZ BATISTA" w:date="2025-08-19T15:0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Preencher com os dados da empresa, ratificado com o cartão CNPJ, QSA e RG.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Se for do CBMPA estes dados podem ser acessados na ARP e/ou na proposta.</w:t>
      </w:r>
    </w:p>
  </w:comment>
  <w:comment w:id="13" w:author="RENATA DE AVIZ BATISTA" w:date="2025-08-19T14:54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Se tratar de processo em que sejamos PARTÍCIPES, deve adequar estes dados para o que constar no PROCESSO.</w:t>
      </w:r>
    </w:p>
  </w:comment>
  <w:comment w:id="14" w:author="RENATA DE AVIZ BATISTA" w:date="2025-08-19T14:59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Após adequar o texto, retirar o que não for aplicável</w:t>
      </w:r>
    </w:p>
  </w:comment>
  <w:comment w:id="15" w:author="RENATA DE AVIZ BATISTA" w:date="2025-08-19T15:01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Conferir se está em consonância com o valor na capa do contrato.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É a mesma tabela que consta na ARP caso seja processo do CBMPA/CEDEC/FEBOM</w:t>
      </w:r>
    </w:p>
  </w:comment>
  <w:comment w:id="16" w:author="RENATA DE AVIZ BATISTA" w:date="2025-08-19T17:02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Atentar que deve ser o mesmo valor da capa e da tabela na cláusula 3</w:t>
      </w:r>
    </w:p>
  </w:comment>
  <w:comment w:id="17" w:author="RENATA DE AVIZ BATISTA" w:date="2025-08-19T17:0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Adequar para: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 xml:space="preserve">Fundo Especial de Bombeiros 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Coordenadoria Estadual de Defesa Civil</w:t>
      </w:r>
    </w:p>
  </w:comment>
  <w:comment w:id="18" w:author="RENATA DE AVIZ BATISTA" w:date="2025-08-19T15:3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Deve está em consonãncia com a informação na capa</w:t>
      </w:r>
    </w:p>
  </w:comment>
  <w:comment w:id="19" w:author="RENATA DE AVIZ BATISTA" w:date="2025-08-19T15:34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Deve está em consonãncia com a capa</w:t>
      </w:r>
    </w:p>
  </w:comment>
  <w:comment w:id="20" w:author="RENATA DE AVIZ BATISTA" w:date="2025-08-19T16:0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Estas informações constam na proposta aprovada</w:t>
      </w:r>
    </w:p>
  </w:comment>
  <w:comment w:id="21" w:author="RENATA DE AVIZ BATISTA" w:date="2025-08-19T16:07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Preencher conforme cada caso, tem que olhar no TR</w:t>
      </w:r>
    </w:p>
  </w:comment>
  <w:comment w:id="22" w:author="RENATA DE AVIZ BATISTA" w:date="2025-08-19T16:07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Preencher conforme cada caso, tem que olhar no TR</w:t>
      </w:r>
    </w:p>
  </w:comment>
  <w:comment w:id="23" w:author="RENATA DE AVIZ BATISTA" w:date="2025-08-19T16:09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Aqui entram os dados do CBMPA, precisa alinhar com a DF o procedimento, caso a caso</w:t>
      </w:r>
    </w:p>
  </w:comment>
  <w:comment w:id="24" w:author="Autor desconhecido" w:date="2026-08-05T10:57:21Z" w:initials="">
    <w:p>
      <w:pPr>
        <w:kinsoku w:val="true"/>
        <w:overflowPunct w:val="false"/>
        <w:autoSpaceDE w:val="true"/>
        <w:bidi w:val="0"/>
        <w:spacing w:before="0" w:after="0" w:lineRule="auto" w:line="240"/>
        <w:ind w:hanging="0"/>
        <w:jc w:val="left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0"/>
          <w:position w:val="0"/>
          <w:sz w:val="20"/>
          <w:sz w:val="20"/>
          <w:szCs w:val="22"/>
          <w:u w:val="none"/>
          <w:shd w:fill="auto" w:val="clear"/>
          <w:vertAlign w:val="baseline"/>
          <w:em w:val="none"/>
          <w:lang w:val="en-US" w:eastAsia="zh-CN" w:bidi="hi-IN"/>
        </w:rPr>
        <w:t>ADEQUAR CASO A CASO.</w:t>
      </w: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0"/>
          <w:position w:val="0"/>
          <w:sz w:val="20"/>
          <w:sz w:val="20"/>
          <w:szCs w:val="22"/>
          <w:u w:val="none"/>
          <w:shd w:fill="auto" w:val="clear"/>
          <w:vertAlign w:val="baseline"/>
          <w:em w:val="none"/>
          <w:lang w:val="en-US" w:eastAsia="zh-CN" w:bidi="hi-IN"/>
        </w:rPr>
        <w:br/>
      </w: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0"/>
          <w:position w:val="0"/>
          <w:sz w:val="20"/>
          <w:sz w:val="20"/>
          <w:szCs w:val="22"/>
          <w:u w:val="none"/>
          <w:shd w:fill="auto" w:val="clear"/>
          <w:vertAlign w:val="baseline"/>
          <w:em w:val="none"/>
          <w:lang w:val="en-US" w:eastAsia="zh-CN" w:bidi="hi-IN"/>
        </w:rPr>
        <w:t>PRECISA AVALIAR SE O ETP E/OU TR ASSIM O EXIGEM..</w:t>
      </w: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0"/>
          <w:position w:val="0"/>
          <w:sz w:val="20"/>
          <w:sz w:val="20"/>
          <w:szCs w:val="22"/>
          <w:u w:val="none"/>
          <w:shd w:fill="auto" w:val="clear"/>
          <w:vertAlign w:val="baseline"/>
          <w:em w:val="none"/>
          <w:lang w:val="en-US" w:eastAsia="zh-CN" w:bidi="hi-IN"/>
        </w:rPr>
        <w:br/>
      </w: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0"/>
          <w:position w:val="0"/>
          <w:sz w:val="20"/>
          <w:sz w:val="20"/>
          <w:szCs w:val="22"/>
          <w:u w:val="none"/>
          <w:shd w:fill="auto" w:val="clear"/>
          <w:vertAlign w:val="baseline"/>
          <w:em w:val="none"/>
          <w:lang w:val="en-US" w:eastAsia="zh-CN" w:bidi="hi-IN"/>
        </w:rPr>
        <w:t>CASO NEGATIVO, DEVERÃO SER RETIRADOS OS ITENS</w:t>
      </w:r>
    </w:p>
  </w:comment>
  <w:comment w:id="25" w:author="RENATA DE AVIZ BATISTA" w:date="2025-08-19T17:06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Adequar caso a caso, conforme o TR e a complexidade do objeto</w:t>
      </w:r>
    </w:p>
  </w:comment>
  <w:comment w:id="26" w:author="RENATA DE AVIZ BATISTA" w:date="2025-08-19T17:06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Adequar caso a caso, conforme o TR e a complexidade do objeto</w:t>
      </w:r>
    </w:p>
  </w:comment>
  <w:comment w:id="27" w:author="RENATA DE AVIZ BATISTA" w:date="2025-08-19T17:06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Adequar caso a caso, conforme o TR e a complexidade do objeto</w:t>
      </w:r>
    </w:p>
  </w:comment>
  <w:comment w:id="28" w:author="RENATA DE AVIZ BATISTA" w:date="2025-08-20T13:28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AGU: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Nota Explicativa: Use a redação do item 14.1 para contratos decorrentes da hipótese de dispensa de licitação prevista no art. 75, inciso VIII, da Lei n° 14.133/2021.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14.1. O contrato será extinto quando vencido o prazo nele estipulado, observado o art. 75, inciso VIII, da Lei n.º 14.133/2021, independentemente de terem sido cumpridas ou não as obrigações de ambas as partes contraentes.</w:t>
      </w:r>
    </w:p>
  </w:comment>
  <w:comment w:id="29" w:author="RENATA DE AVIZ BATISTA" w:date="2025-08-20T13:2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 xml:space="preserve">AGU: 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Nota Explicativa: Use a redação dos itens 12.3, 12.3.1, 12.3.2, 12.3.3 para os contratos de fornecimentos contínuos e de aluguel de equipamentos e à utilização de programas de informática (art. 106, da Lei n.º 14.133, de 2021).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14.1. O contrato será extinto quando vencido o prazo nele estipulado, independentemente de terem sido cumpridas ou não as obrigações de ambas as partes contraentes.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14.1.1. O contrato poderá ser extinto antes do prazo nele fixado, sem ônus para o CONTRATANTE, quando este não dispuser de créditos orçamentários para sua continuidade ou quando entender que o contrato não mais lhe oferece vantagem.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14.1.2. A extinção nesta hipótese ocorrerá na próxima data de aniversário do contrato, desde que haja a notificação do CONTRATADO pelo CONTRATANTE nesse sentido com pelo menos 2 (dois) meses de antecedência desse dia.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14.1.3. Caso a notificação da não-continuidade do contrato de que trata este subitem ocorra com menos de 2 (dois) meses da data de aniversário, a extinção contratual ocorrerá após 2 (dois) meses da data da comunicação.</w:t>
      </w:r>
    </w:p>
  </w:comment>
  <w:comment w:id="30" w:author="RENATA DE AVIZ BATISTA" w:date="2025-08-20T13:2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 xml:space="preserve">AGU: 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Nota Explicativa: Use a redação dos itens 14.1, 14.2, 14.3 e 14.4 para os contratos por escopo (o objeto é contratado para ser prestado em determinado prazo). Ex. Compra pontual de sofás, aquisição e instalação de servidores.</w:t>
      </w:r>
    </w:p>
  </w:comment>
  <w:comment w:id="31" w:author="Office 365" w:date="2025-09-02T10:51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TEXTO AGU - PARA ADEQUAR CONFORME CADA CASO, NO QUE ESTIVER PREVISTO NO TR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O prazo de vigência da contratação é de [indicar o prazo] contados do(a) [indicar o termo inicial da vigência], na forma do artigo 105 da Lei n° 14.133, de 2021.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Nota Explicativa: Utilizar esta redação para contratos de escopo, cuja vigência se fundamenta no art. 105 da Lei n.º 14.133, de 2021.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OU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O prazo de vigência da contratação é de [indicar o prazo] contados do(a) [indicar o termo inicial da vigência], prorrogável sucessivamente por até 10 anos, na forma dos artigos 106 e 107 da Lei n° 14.133, de 2021.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Nota Explicativa 1: Indicar o prazo inicial da contratação, que deverá ser de no máximo 5 (cinco) anos.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Nota Explicativa 2: Utilizar esta redação para contratações de fornecimentos contínuos, conforme arts. 106 e 107 da Lei nº 14.133, de 2021, considerando a definição do art. 6º, XV do mesmo normativo.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Georgia">
    <w:charset w:val="00"/>
    <w:family w:val="roman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Quattrocento Sans">
    <w:charset w:val="00"/>
    <w:family w:val="roman"/>
    <w:pitch w:val="variable"/>
  </w:font>
  <w:font w:name="Arial Unicode MS">
    <w:charset w:val="00"/>
    <w:family w:val="roman"/>
    <w:pitch w:val="variable"/>
  </w:font>
  <w:font w:name="Calibri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ind w:firstLine="720"/>
      <w:jc w:val="center"/>
      <w:rPr>
        <w:b/>
        <w:bCs/>
        <w:color w:val="00000A"/>
        <w:sz w:val="12"/>
        <w:szCs w:val="12"/>
      </w:rPr>
    </w:pPr>
    <w:r>
      <w:rPr>
        <w:b/>
        <w:bCs/>
        <w:color w:val="00000A"/>
        <w:sz w:val="12"/>
        <w:szCs w:val="12"/>
      </w:rPr>
    </w:r>
  </w:p>
  <w:p>
    <w:pPr>
      <w:pStyle w:val="Normal1"/>
      <w:ind w:firstLine="720"/>
      <w:jc w:val="center"/>
      <w:rPr>
        <w:b/>
        <w:bCs/>
        <w:sz w:val="12"/>
        <w:szCs w:val="12"/>
      </w:rPr>
    </w:pPr>
    <w:r>
      <w:drawing>
        <wp:anchor behindDoc="1" distT="0" distB="0" distL="0" distR="0" simplePos="0" locked="0" layoutInCell="1" allowOverlap="1" relativeHeight="0">
          <wp:simplePos x="0" y="0"/>
          <wp:positionH relativeFrom="column">
            <wp:posOffset>32385</wp:posOffset>
          </wp:positionH>
          <wp:positionV relativeFrom="paragraph">
            <wp:posOffset>-14605</wp:posOffset>
          </wp:positionV>
          <wp:extent cx="330200" cy="460375"/>
          <wp:effectExtent l="0" t="0" r="0" b="0"/>
          <wp:wrapNone/>
          <wp:docPr id="13" name="image6.png Copia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6.png Copia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30200" cy="460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color w:val="00000A"/>
        <w:sz w:val="12"/>
        <w:szCs w:val="12"/>
      </w:rPr>
      <w:t>DIRETORIA DE CONTRATAÇÕES E AQUISIÇÕES – DCA / CORPO DE BOMBEIROS MILITAR DO PARÁ</w:t>
    </w:r>
  </w:p>
  <w:p>
    <w:pPr>
      <w:pStyle w:val="Normal1"/>
      <w:ind w:firstLine="720"/>
      <w:jc w:val="center"/>
      <w:rPr>
        <w:sz w:val="12"/>
        <w:szCs w:val="12"/>
      </w:rPr>
    </w:pPr>
    <w:r>
      <w:rPr>
        <w:color w:val="00000A"/>
        <w:sz w:val="12"/>
        <w:szCs w:val="12"/>
      </w:rPr>
      <w:t>Quartel do Comando-Geral – Av. Júlio César, no 3000, Bairro: Marambaia, Belém-Pará, CEP 66.615-055.</w:t>
    </w:r>
  </w:p>
  <w:p>
    <w:pPr>
      <w:pStyle w:val="Normal1"/>
      <w:rPr>
        <w:sz w:val="12"/>
        <w:szCs w:val="12"/>
      </w:rPr>
    </w:pPr>
    <w:r>
      <w:rPr>
        <w:color w:val="00000A"/>
        <w:sz w:val="14"/>
        <w:szCs w:val="14"/>
      </w:rPr>
      <w:t xml:space="preserve">Telefone: (91) 98899-6573 e-mail: </w:t>
    </w:r>
    <w:hyperlink r:id="rId2">
      <w:r>
        <w:rPr>
          <w:color w:val="00000A"/>
          <w:sz w:val="14"/>
          <w:szCs w:val="14"/>
          <w:u w:val="single"/>
        </w:rPr>
        <w:t>contratoscbmpa@gmail.com</w:t>
      </w:r>
    </w:hyperlink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ind w:firstLine="720"/>
      <w:jc w:val="center"/>
      <w:rPr>
        <w:b/>
        <w:bCs/>
        <w:color w:val="00000A"/>
        <w:sz w:val="12"/>
        <w:szCs w:val="12"/>
      </w:rPr>
    </w:pPr>
    <w:r>
      <w:rPr>
        <w:b/>
        <w:bCs/>
        <w:color w:val="00000A"/>
        <w:sz w:val="12"/>
        <w:szCs w:val="12"/>
      </w:rPr>
    </w:r>
  </w:p>
  <w:p>
    <w:pPr>
      <w:pStyle w:val="Normal1"/>
      <w:ind w:firstLine="720"/>
      <w:jc w:val="center"/>
      <w:rPr>
        <w:b/>
        <w:bCs/>
        <w:sz w:val="12"/>
        <w:szCs w:val="12"/>
      </w:rPr>
    </w:pPr>
    <w:r>
      <w:rPr>
        <w:b/>
        <w:bCs/>
        <w:color w:val="00000A"/>
        <w:sz w:val="12"/>
        <w:szCs w:val="12"/>
      </w:rPr>
      <w:drawing>
        <wp:anchor behindDoc="1" distT="0" distB="0" distL="0" distR="0" simplePos="0" locked="0" layoutInCell="0" allowOverlap="1" relativeHeight="20">
          <wp:simplePos x="0" y="0"/>
          <wp:positionH relativeFrom="column">
            <wp:posOffset>32385</wp:posOffset>
          </wp:positionH>
          <wp:positionV relativeFrom="paragraph">
            <wp:posOffset>-14605</wp:posOffset>
          </wp:positionV>
          <wp:extent cx="330200" cy="460375"/>
          <wp:effectExtent l="0" t="0" r="0" b="0"/>
          <wp:wrapNone/>
          <wp:docPr id="14" name="image6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6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30200" cy="460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color w:val="00000A"/>
        <w:sz w:val="12"/>
        <w:szCs w:val="12"/>
      </w:rPr>
      <w:t>DIRETORIA DE CONTRATAÇÕES E AQUISIÇÕES – DCA / CORPO DE BOMBEIROS MILITAR DO PARÁ</w:t>
    </w:r>
  </w:p>
  <w:p>
    <w:pPr>
      <w:pStyle w:val="Normal1"/>
      <w:ind w:firstLine="720"/>
      <w:jc w:val="center"/>
      <w:rPr>
        <w:sz w:val="12"/>
        <w:szCs w:val="12"/>
      </w:rPr>
    </w:pPr>
    <w:r>
      <w:rPr>
        <w:color w:val="00000A"/>
        <w:sz w:val="12"/>
        <w:szCs w:val="12"/>
      </w:rPr>
      <w:t>Quartel do Comando-Geral – Av. Júlio César, no 3000, Bairro: Marambaia, Belém-Pará, CEP 66.615-055.</w:t>
    </w:r>
  </w:p>
  <w:p>
    <w:pPr>
      <w:pStyle w:val="Normal1"/>
      <w:ind w:firstLine="720"/>
      <w:jc w:val="center"/>
      <w:rPr>
        <w:sz w:val="12"/>
        <w:szCs w:val="12"/>
      </w:rPr>
    </w:pPr>
    <w:r>
      <w:rPr>
        <w:color w:val="00000A"/>
        <w:sz w:val="14"/>
        <w:szCs w:val="14"/>
      </w:rPr>
      <w:t xml:space="preserve">Telefone: (91) 98899-6573 e-mail: </w:t>
    </w:r>
    <w:hyperlink r:id="rId2">
      <w:r>
        <w:rPr>
          <w:color w:val="00000A"/>
          <w:sz w:val="14"/>
          <w:szCs w:val="14"/>
          <w:u w:val="single"/>
        </w:rPr>
        <w:t>contratoscbmpa@gmail.com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ind w:firstLine="720"/>
      <w:jc w:val="center"/>
      <w:rPr>
        <w:b/>
        <w:bCs/>
        <w:color w:val="00000A"/>
        <w:sz w:val="12"/>
        <w:szCs w:val="12"/>
      </w:rPr>
    </w:pPr>
    <w:r>
      <w:rPr>
        <w:b/>
        <w:bCs/>
        <w:color w:val="00000A"/>
        <w:sz w:val="12"/>
        <w:szCs w:val="12"/>
      </w:rPr>
    </w:r>
  </w:p>
  <w:p>
    <w:pPr>
      <w:pStyle w:val="Normal1"/>
      <w:ind w:firstLine="720"/>
      <w:jc w:val="center"/>
      <w:rPr>
        <w:b/>
        <w:bCs/>
        <w:sz w:val="12"/>
        <w:szCs w:val="12"/>
      </w:rPr>
    </w:pPr>
    <w:r>
      <w:rPr>
        <w:b/>
        <w:bCs/>
        <w:color w:val="00000A"/>
        <w:sz w:val="12"/>
        <w:szCs w:val="12"/>
      </w:rPr>
      <w:drawing>
        <wp:anchor behindDoc="1" distT="0" distB="0" distL="0" distR="0" simplePos="0" locked="0" layoutInCell="0" allowOverlap="1" relativeHeight="20">
          <wp:simplePos x="0" y="0"/>
          <wp:positionH relativeFrom="column">
            <wp:posOffset>32385</wp:posOffset>
          </wp:positionH>
          <wp:positionV relativeFrom="paragraph">
            <wp:posOffset>-14605</wp:posOffset>
          </wp:positionV>
          <wp:extent cx="330200" cy="460375"/>
          <wp:effectExtent l="0" t="0" r="0" b="0"/>
          <wp:wrapNone/>
          <wp:docPr id="15" name="image6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6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30200" cy="460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color w:val="00000A"/>
        <w:sz w:val="12"/>
        <w:szCs w:val="12"/>
      </w:rPr>
      <w:t>DIRETORIA DE CONTRATAÇÕES E AQUISIÇÕES – DCA / CORPO DE BOMBEIROS MILITAR DO PARÁ</w:t>
    </w:r>
  </w:p>
  <w:p>
    <w:pPr>
      <w:pStyle w:val="Normal1"/>
      <w:ind w:firstLine="720"/>
      <w:jc w:val="center"/>
      <w:rPr>
        <w:sz w:val="12"/>
        <w:szCs w:val="12"/>
      </w:rPr>
    </w:pPr>
    <w:r>
      <w:rPr>
        <w:color w:val="00000A"/>
        <w:sz w:val="12"/>
        <w:szCs w:val="12"/>
      </w:rPr>
      <w:t>Quartel do Comando-Geral – Av. Júlio César, no 3000, Bairro: Marambaia, Belém-Pará, CEP 66.615-055.</w:t>
    </w:r>
  </w:p>
  <w:p>
    <w:pPr>
      <w:pStyle w:val="Normal1"/>
      <w:ind w:firstLine="720"/>
      <w:jc w:val="center"/>
      <w:rPr>
        <w:sz w:val="12"/>
        <w:szCs w:val="12"/>
      </w:rPr>
    </w:pPr>
    <w:r>
      <w:rPr>
        <w:color w:val="00000A"/>
        <w:sz w:val="14"/>
        <w:szCs w:val="14"/>
      </w:rPr>
      <w:t xml:space="preserve">Telefone: (91) 98899-6573 e-mail: </w:t>
    </w:r>
    <w:hyperlink r:id="rId2">
      <w:r>
        <w:rPr>
          <w:color w:val="00000A"/>
          <w:sz w:val="14"/>
          <w:szCs w:val="14"/>
          <w:u w:val="single"/>
        </w:rPr>
        <w:t>contratoscbmpa@gmail.com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left" w:pos="1824" w:leader="none"/>
        <w:tab w:val="left" w:pos="2268" w:leader="none"/>
        <w:tab w:val="center" w:pos="4252" w:leader="none"/>
        <w:tab w:val="center" w:pos="4320" w:leader="none"/>
        <w:tab w:val="center" w:pos="4419" w:leader="none"/>
        <w:tab w:val="right" w:pos="8504" w:leader="none"/>
        <w:tab w:val="right" w:pos="8640" w:leader="none"/>
        <w:tab w:val="right" w:pos="8838" w:leader="none"/>
      </w:tabs>
      <w:spacing w:lineRule="auto" w:line="240" w:before="240" w:after="0"/>
      <w:jc w:val="center"/>
      <w:rPr>
        <w:rFonts w:ascii="Arial" w:hAnsi="Arial" w:eastAsia="Arial" w:cs="Arial"/>
        <w:b/>
        <w:bCs/>
        <w:sz w:val="18"/>
        <w:szCs w:val="18"/>
      </w:rPr>
    </w:pPr>
    <w:r>
      <w:drawing>
        <wp:anchor behindDoc="1" distT="0" distB="0" distL="0" distR="0" simplePos="0" locked="0" layoutInCell="1" allowOverlap="1" relativeHeight="0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l="0" t="0" r="0" b="0"/>
          <wp:wrapNone/>
          <wp:docPr id="10" name="image11.png Copia 2" descr="\\Cbm225\bckp cpl\2022\LOGOMARCA CBMPA E CED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 Copia 2" descr="\\Cbm225\bckp cpl\2022\LOGOMARCA CBMPA E CEDEC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561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sz w:val="18"/>
        <w:szCs w:val="18"/>
      </w:rPr>
      <w:t>CORPO DE BOMBEIROS MILITAR DO PARÁ E</w:t>
    </w:r>
  </w:p>
  <w:p>
    <w:pPr>
      <w:pStyle w:val="Normal1"/>
      <w:tabs>
        <w:tab w:val="clear" w:pos="720"/>
        <w:tab w:val="left" w:pos="1824" w:leader="none"/>
        <w:tab w:val="left" w:pos="2268" w:leader="none"/>
        <w:tab w:val="center" w:pos="4252" w:leader="none"/>
        <w:tab w:val="center" w:pos="4320" w:leader="none"/>
        <w:tab w:val="center" w:pos="4419" w:leader="none"/>
        <w:tab w:val="right" w:pos="8504" w:leader="none"/>
        <w:tab w:val="right" w:pos="8640" w:leader="none"/>
        <w:tab w:val="right" w:pos="8838" w:leader="none"/>
      </w:tabs>
      <w:jc w:val="center"/>
      <w:rPr>
        <w:rFonts w:ascii="Arial" w:hAnsi="Arial" w:eastAsia="Arial" w:cs="Arial"/>
        <w:b/>
        <w:bCs/>
        <w:sz w:val="18"/>
        <w:szCs w:val="18"/>
      </w:rPr>
    </w:pPr>
    <w:bookmarkStart w:id="27" w:name="_heading=h.6fvif8a8oowv_Copia_3"/>
    <w:bookmarkEnd w:id="27"/>
    <w:r>
      <w:rPr>
        <w:b/>
        <w:bCs/>
        <w:sz w:val="18"/>
        <w:szCs w:val="18"/>
      </w:rPr>
      <w:t>COORDENADORIA ESTADUAL DE PROTEÇÃO E DEFESA CIVIL</w:t>
    </w:r>
  </w:p>
  <w:p>
    <w:pPr>
      <w:pStyle w:val="Normal1"/>
      <w:tabs>
        <w:tab w:val="clear" w:pos="720"/>
        <w:tab w:val="left" w:pos="1824" w:leader="none"/>
        <w:tab w:val="left" w:pos="2268" w:leader="none"/>
        <w:tab w:val="center" w:pos="4320" w:leader="none"/>
        <w:tab w:val="center" w:pos="4419" w:leader="none"/>
        <w:tab w:val="right" w:pos="8640" w:leader="none"/>
        <w:tab w:val="right" w:pos="8838" w:leader="none"/>
      </w:tabs>
      <w:jc w:val="center"/>
      <w:rPr>
        <w:sz w:val="18"/>
        <w:szCs w:val="18"/>
      </w:rPr>
    </w:pPr>
    <w:bookmarkStart w:id="28" w:name="_heading=h.ty1qzp5gkstb_Copia_3"/>
    <w:bookmarkEnd w:id="28"/>
    <w:r>
      <w:rPr>
        <w:b/>
        <w:bCs/>
        <w:sz w:val="18"/>
        <w:szCs w:val="18"/>
      </w:rPr>
      <w:t>DIRETORIA DE CONTRATAÇÕES E AQUISIÇÕES</w:t>
    </w:r>
  </w:p>
  <w:p>
    <w:pPr>
      <w:pStyle w:val="Normal1"/>
      <w:jc w:val="center"/>
      <w:rPr>
        <w:b/>
        <w:bCs/>
        <w:color w:val="000000"/>
      </w:rPr>
    </w:pPr>
    <w:r>
      <w:rPr>
        <w:b/>
        <w:bCs/>
        <w:color w:val="000000"/>
        <w:sz w:val="18"/>
        <w:szCs w:val="18"/>
      </w:rPr>
      <w:t xml:space="preserve"> </w:t>
    </w:r>
    <w:r>
      <w:rPr>
        <w:b/>
        <w:bCs/>
        <w:color w:val="000000"/>
        <w:sz w:val="18"/>
        <w:szCs w:val="18"/>
      </w:rPr>
      <w:t>SEÇÃO DE CONTRATOS E CONVÊNIOS</w:t>
    </w:r>
  </w:p>
  <w:p>
    <w:pPr>
      <w:pStyle w:val="Normal1"/>
      <w:rPr>
        <w:sz w:val="20"/>
        <w:szCs w:val="20"/>
      </w:rPr>
    </w:pPr>
    <w:r>
      <w:rPr>
        <w:sz w:val="20"/>
        <w:szCs w:val="20"/>
      </w:rPr>
      <w:t xml:space="preserve">Processo nº {{NUM_PAE}}</w:t>
    </w:r>
    <w:r>
      <w:rPr>
        <w:color w:val="4F81BD"/>
        <w:sz w:val="20"/>
        <w:szCs w:val="20"/>
      </w:rPr>
      <w:t xml:space="preserve"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left" w:pos="1824" w:leader="none"/>
        <w:tab w:val="left" w:pos="2268" w:leader="none"/>
        <w:tab w:val="center" w:pos="4252" w:leader="none"/>
        <w:tab w:val="center" w:pos="4320" w:leader="none"/>
        <w:tab w:val="center" w:pos="4419" w:leader="none"/>
        <w:tab w:val="right" w:pos="8504" w:leader="none"/>
        <w:tab w:val="right" w:pos="8640" w:leader="none"/>
        <w:tab w:val="right" w:pos="8838" w:leader="none"/>
      </w:tabs>
      <w:spacing w:lineRule="auto" w:line="240" w:before="240" w:after="0"/>
      <w:jc w:val="center"/>
      <w:rPr>
        <w:rFonts w:ascii="Arial" w:hAnsi="Arial" w:eastAsia="Arial" w:cs="Arial"/>
        <w:b/>
        <w:bCs/>
        <w:sz w:val="18"/>
        <w:szCs w:val="18"/>
      </w:rPr>
    </w:pPr>
    <w:r>
      <w:rPr>
        <w:b/>
        <w:bCs/>
        <w:sz w:val="18"/>
        <w:szCs w:val="18"/>
      </w:rPr>
      <w:drawing>
        <wp:anchor behindDoc="1" distT="0" distB="0" distL="0" distR="0" simplePos="0" locked="0" layoutInCell="0" allowOverlap="1" relativeHeight="34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l="0" t="0" r="0" b="0"/>
          <wp:wrapNone/>
          <wp:docPr id="11" name="image11.png" descr="\\Cbm225\bckp cpl\2022\LOGOMARCA CBMPA E CED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11.png" descr="\\Cbm225\bckp cpl\2022\LOGOMARCA CBMPA E CEDEC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561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sz w:val="18"/>
        <w:szCs w:val="18"/>
      </w:rPr>
      <w:t>CORPO DE BOMBEIROS MILITAR DO PARÁ E</w:t>
    </w:r>
  </w:p>
  <w:p>
    <w:pPr>
      <w:pStyle w:val="Normal1"/>
      <w:tabs>
        <w:tab w:val="clear" w:pos="720"/>
        <w:tab w:val="left" w:pos="1824" w:leader="none"/>
        <w:tab w:val="left" w:pos="2268" w:leader="none"/>
        <w:tab w:val="center" w:pos="4252" w:leader="none"/>
        <w:tab w:val="center" w:pos="4320" w:leader="none"/>
        <w:tab w:val="center" w:pos="4419" w:leader="none"/>
        <w:tab w:val="right" w:pos="8504" w:leader="none"/>
        <w:tab w:val="right" w:pos="8640" w:leader="none"/>
        <w:tab w:val="right" w:pos="8838" w:leader="none"/>
      </w:tabs>
      <w:jc w:val="center"/>
      <w:rPr>
        <w:rFonts w:ascii="Arial" w:hAnsi="Arial" w:eastAsia="Arial" w:cs="Arial"/>
        <w:b/>
        <w:bCs/>
        <w:sz w:val="18"/>
        <w:szCs w:val="18"/>
      </w:rPr>
    </w:pPr>
    <w:bookmarkStart w:id="29" w:name="_heading=h.6fvif8a8oowv"/>
    <w:bookmarkEnd w:id="29"/>
    <w:r>
      <w:rPr>
        <w:b/>
        <w:bCs/>
        <w:sz w:val="18"/>
        <w:szCs w:val="18"/>
      </w:rPr>
      <w:t>COORDENADORIA ESTADUAL DE PROTEÇÃO E DEFESA CIVIL</w:t>
    </w:r>
  </w:p>
  <w:p>
    <w:pPr>
      <w:pStyle w:val="Normal1"/>
      <w:tabs>
        <w:tab w:val="clear" w:pos="720"/>
        <w:tab w:val="left" w:pos="1824" w:leader="none"/>
        <w:tab w:val="left" w:pos="2268" w:leader="none"/>
        <w:tab w:val="center" w:pos="4320" w:leader="none"/>
        <w:tab w:val="center" w:pos="4419" w:leader="none"/>
        <w:tab w:val="right" w:pos="8640" w:leader="none"/>
        <w:tab w:val="right" w:pos="8838" w:leader="none"/>
      </w:tabs>
      <w:jc w:val="center"/>
      <w:rPr>
        <w:sz w:val="18"/>
        <w:szCs w:val="18"/>
      </w:rPr>
    </w:pPr>
    <w:bookmarkStart w:id="30" w:name="_heading=h.ty1qzp5gkstb"/>
    <w:bookmarkEnd w:id="30"/>
    <w:r>
      <w:rPr>
        <w:b/>
        <w:bCs/>
        <w:sz w:val="18"/>
        <w:szCs w:val="18"/>
      </w:rPr>
      <w:t>DIRETORIA DE CONTRATAÇÕES E AQUISIÇÕES</w:t>
    </w:r>
  </w:p>
  <w:p>
    <w:pPr>
      <w:pStyle w:val="Normal1"/>
      <w:jc w:val="center"/>
      <w:rPr>
        <w:b/>
        <w:bCs/>
        <w:color w:val="000000"/>
      </w:rPr>
    </w:pPr>
    <w:r>
      <w:rPr>
        <w:b/>
        <w:bCs/>
        <w:color w:val="000000"/>
        <w:sz w:val="18"/>
        <w:szCs w:val="18"/>
      </w:rPr>
      <w:t xml:space="preserve"> </w:t>
    </w:r>
    <w:r>
      <w:rPr>
        <w:b/>
        <w:bCs/>
        <w:color w:val="000000"/>
        <w:sz w:val="18"/>
        <w:szCs w:val="18"/>
      </w:rPr>
      <w:t>SEÇÃO DE CONTRATOS E CONVÊNIOS</w:t>
    </w:r>
  </w:p>
  <w:p>
    <w:pPr>
      <w:pStyle w:val="Normal1"/>
      <w:spacing w:lineRule="auto" w:line="240" w:before="0" w:after="120"/>
      <w:jc w:val="right"/>
      <w:rPr>
        <w:sz w:val="20"/>
        <w:szCs w:val="20"/>
      </w:rPr>
    </w:pPr>
    <w:r>
      <w:rPr>
        <w:sz w:val="20"/>
        <w:szCs w:val="20"/>
      </w:rPr>
      <w:t xml:space="preserve">Processo nº {{NUM_PAE}}</w:t>
    </w:r>
    <w:r>
      <w:rPr>
        <w:color w:val="4F81BD"/>
        <w:sz w:val="20"/>
        <w:szCs w:val="20"/>
      </w:rPr>
      <w:t xml:space="preserve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left" w:pos="1824" w:leader="none"/>
        <w:tab w:val="left" w:pos="2268" w:leader="none"/>
        <w:tab w:val="center" w:pos="4252" w:leader="none"/>
        <w:tab w:val="center" w:pos="4320" w:leader="none"/>
        <w:tab w:val="center" w:pos="4419" w:leader="none"/>
        <w:tab w:val="right" w:pos="8504" w:leader="none"/>
        <w:tab w:val="right" w:pos="8640" w:leader="none"/>
        <w:tab w:val="right" w:pos="8838" w:leader="none"/>
      </w:tabs>
      <w:spacing w:lineRule="auto" w:line="240" w:before="240" w:after="0"/>
      <w:jc w:val="center"/>
      <w:rPr>
        <w:rFonts w:ascii="Arial" w:hAnsi="Arial" w:eastAsia="Arial" w:cs="Arial"/>
        <w:b/>
        <w:bCs/>
        <w:sz w:val="18"/>
        <w:szCs w:val="18"/>
      </w:rPr>
    </w:pPr>
    <w:r>
      <w:rPr>
        <w:b/>
        <w:bCs/>
        <w:sz w:val="18"/>
        <w:szCs w:val="18"/>
      </w:rPr>
      <w:drawing>
        <wp:anchor behindDoc="1" distT="0" distB="0" distL="0" distR="0" simplePos="0" locked="0" layoutInCell="0" allowOverlap="1" relativeHeight="34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l="0" t="0" r="0" b="0"/>
          <wp:wrapNone/>
          <wp:docPr id="12" name="image11.png" descr="\\Cbm225\bckp cpl\2022\LOGOMARCA CBMPA E CED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11.png" descr="\\Cbm225\bckp cpl\2022\LOGOMARCA CBMPA E CEDEC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561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sz w:val="18"/>
        <w:szCs w:val="18"/>
      </w:rPr>
      <w:t>CORPO DE BOMBEIROS MILITAR DO PARÁ E</w:t>
    </w:r>
  </w:p>
  <w:p>
    <w:pPr>
      <w:pStyle w:val="Normal1"/>
      <w:tabs>
        <w:tab w:val="clear" w:pos="720"/>
        <w:tab w:val="left" w:pos="1824" w:leader="none"/>
        <w:tab w:val="left" w:pos="2268" w:leader="none"/>
        <w:tab w:val="center" w:pos="4252" w:leader="none"/>
        <w:tab w:val="center" w:pos="4320" w:leader="none"/>
        <w:tab w:val="center" w:pos="4419" w:leader="none"/>
        <w:tab w:val="right" w:pos="8504" w:leader="none"/>
        <w:tab w:val="right" w:pos="8640" w:leader="none"/>
        <w:tab w:val="right" w:pos="8838" w:leader="none"/>
      </w:tabs>
      <w:jc w:val="center"/>
      <w:rPr>
        <w:rFonts w:ascii="Arial" w:hAnsi="Arial" w:eastAsia="Arial" w:cs="Arial"/>
        <w:b/>
        <w:bCs/>
        <w:sz w:val="18"/>
        <w:szCs w:val="18"/>
      </w:rPr>
    </w:pPr>
    <w:bookmarkStart w:id="31" w:name="_heading=h.6fvif8a8oowv"/>
    <w:bookmarkEnd w:id="31"/>
    <w:r>
      <w:rPr>
        <w:b/>
        <w:bCs/>
        <w:sz w:val="18"/>
        <w:szCs w:val="18"/>
      </w:rPr>
      <w:t>COORDENADORIA ESTADUAL DE PROTEÇÃO E DEFESA CIVIL</w:t>
    </w:r>
  </w:p>
  <w:p>
    <w:pPr>
      <w:pStyle w:val="Normal1"/>
      <w:tabs>
        <w:tab w:val="clear" w:pos="720"/>
        <w:tab w:val="left" w:pos="1824" w:leader="none"/>
        <w:tab w:val="left" w:pos="2268" w:leader="none"/>
        <w:tab w:val="center" w:pos="4320" w:leader="none"/>
        <w:tab w:val="center" w:pos="4419" w:leader="none"/>
        <w:tab w:val="right" w:pos="8640" w:leader="none"/>
        <w:tab w:val="right" w:pos="8838" w:leader="none"/>
      </w:tabs>
      <w:jc w:val="center"/>
      <w:rPr>
        <w:sz w:val="18"/>
        <w:szCs w:val="18"/>
      </w:rPr>
    </w:pPr>
    <w:bookmarkStart w:id="32" w:name="_heading=h.ty1qzp5gkstb"/>
    <w:bookmarkEnd w:id="32"/>
    <w:r>
      <w:rPr>
        <w:b/>
        <w:bCs/>
        <w:sz w:val="18"/>
        <w:szCs w:val="18"/>
      </w:rPr>
      <w:t>DIRETORIA DE CONTRATAÇÕES E AQUISIÇÕES</w:t>
    </w:r>
  </w:p>
  <w:p>
    <w:pPr>
      <w:pStyle w:val="Normal1"/>
      <w:jc w:val="center"/>
      <w:rPr>
        <w:b/>
        <w:bCs/>
        <w:color w:val="000000"/>
      </w:rPr>
    </w:pPr>
    <w:r>
      <w:rPr>
        <w:b/>
        <w:bCs/>
        <w:color w:val="000000"/>
        <w:sz w:val="18"/>
        <w:szCs w:val="18"/>
      </w:rPr>
      <w:t xml:space="preserve"> </w:t>
    </w:r>
    <w:r>
      <w:rPr>
        <w:b/>
        <w:bCs/>
        <w:color w:val="000000"/>
        <w:sz w:val="18"/>
        <w:szCs w:val="18"/>
      </w:rPr>
      <w:t>SEÇÃO DE CONTRATOS E CONVÊNIOS</w:t>
    </w:r>
  </w:p>
  <w:p>
    <w:pPr>
      <w:pStyle w:val="Normal1"/>
      <w:spacing w:lineRule="auto" w:line="240" w:before="0" w:after="120"/>
      <w:jc w:val="right"/>
      <w:rPr>
        <w:sz w:val="20"/>
        <w:szCs w:val="20"/>
      </w:rPr>
    </w:pPr>
    <w:r>
      <w:rPr>
        <w:sz w:val="20"/>
        <w:szCs w:val="20"/>
      </w:rPr>
      <w:t xml:space="preserve">Processo nº {{NUM_PAE}}</w:t>
    </w:r>
    <w:r>
      <w:rPr>
        <w:color w:val="4F81BD"/>
        <w:sz w:val="20"/>
        <w:szCs w:val="20"/>
      </w:rPr>
      <w:t xml:space="preserve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2"/>
      <w:numFmt w:val="decimal"/>
      <w:lvlText w:val="%1."/>
      <w:lvlJc w:val="left"/>
      <w:pPr>
        <w:tabs>
          <w:tab w:val="num" w:pos="0"/>
        </w:tabs>
        <w:ind w:left="360" w:hanging="360"/>
      </w:pPr>
      <w:rPr>
        <w:b w:val="false"/>
        <w:bCs w:val="fals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4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>
        <w:b w:val="false"/>
        <w:bCs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240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>
        <w:b w:val="false"/>
        <w:bCs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040" w:hanging="1440"/>
      </w:pPr>
      <w:rPr>
        <w:b w:val="false"/>
        <w:bCs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6120" w:hanging="1800"/>
      </w:pPr>
      <w:rPr>
        <w:b w:val="false"/>
        <w:bCs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840" w:hanging="1800"/>
      </w:pPr>
      <w:rPr>
        <w:b w:val="false"/>
        <w:bCs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2160"/>
      </w:pPr>
      <w:rPr>
        <w:b w:val="false"/>
        <w:bCs w:val="false"/>
      </w:rPr>
    </w:lvl>
  </w:abstractNum>
  <w:abstractNum w:abstractNumId="2">
    <w:lvl w:ilvl="0">
      <w:start w:val="6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3">
    <w:lvl w:ilvl="0">
      <w:start w:val="10"/>
      <w:numFmt w:val="decimal"/>
      <w:lvlText w:val="%1."/>
      <w:lvlJc w:val="left"/>
      <w:pPr>
        <w:tabs>
          <w:tab w:val="num" w:pos="0"/>
        </w:tabs>
        <w:ind w:left="465" w:hanging="465"/>
      </w:pPr>
      <w:rPr>
        <w:b/>
        <w:bCs/>
      </w:rPr>
    </w:lvl>
    <w:lvl w:ilvl="1">
      <w:start w:val="2"/>
      <w:numFmt w:val="decimal"/>
      <w:lvlText w:val="%1.%2."/>
      <w:lvlJc w:val="left"/>
      <w:pPr>
        <w:tabs>
          <w:tab w:val="num" w:pos="0"/>
        </w:tabs>
        <w:ind w:left="144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240" w:hanging="1080"/>
      </w:pPr>
      <w:rPr>
        <w:b/>
        <w:bCs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>
        <w:b/>
        <w:bCs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040" w:hanging="1440"/>
      </w:pPr>
      <w:rPr>
        <w:b/>
        <w:bCs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  <w:rPr>
        <w:b/>
        <w:bCs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840" w:hanging="1800"/>
      </w:pPr>
      <w:rPr>
        <w:b/>
        <w:bCs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2160"/>
      </w:pPr>
      <w:rPr>
        <w:b/>
        <w:bCs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44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24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0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84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2160"/>
      </w:pPr>
      <w:rPr/>
    </w:lvl>
  </w:abstractNum>
  <w:abstractNum w:abstractNumId="7">
    <w:lvl w:ilvl="0">
      <w:start w:val="12"/>
      <w:numFmt w:val="decimal"/>
      <w:lvlText w:val="%1."/>
      <w:lvlJc w:val="left"/>
      <w:pPr>
        <w:tabs>
          <w:tab w:val="num" w:pos="0"/>
        </w:tabs>
        <w:ind w:left="390" w:hanging="39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44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24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0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84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2160"/>
      </w:pPr>
      <w:rPr/>
    </w:lvl>
  </w:abstractNum>
  <w:abstractNum w:abstractNumId="8"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  <w:rPr>
        <w:sz w:val="24"/>
        <w:i w:val="false"/>
        <w:b/>
        <w:szCs w:val="24"/>
        <w:iCs w:val="false"/>
        <w:bCs/>
        <w:rFonts w:ascii="Calibri" w:hAnsi="Calibri" w:eastAsia="Calibri" w:cs="Calibr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2"/>
      <w:numFmt w:val="lowerLetter"/>
      <w:lvlText w:val="%1."/>
      <w:lvlJc w:val="left"/>
      <w:pPr>
        <w:tabs>
          <w:tab w:val="num" w:pos="0"/>
        </w:tabs>
        <w:ind w:left="720" w:hanging="360"/>
      </w:pPr>
      <w:rPr>
        <w:sz w:val="24"/>
        <w:i w:val="false"/>
        <w:b/>
        <w:szCs w:val="24"/>
        <w:iCs w:val="false"/>
        <w:bCs/>
        <w:rFonts w:ascii="Calibri" w:hAnsi="Calibri" w:eastAsia="Calibri" w:cs="Calibr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7"/>
      <w:numFmt w:val="lowerLetter"/>
      <w:lvlText w:val="%1."/>
      <w:lvlJc w:val="left"/>
      <w:pPr>
        <w:tabs>
          <w:tab w:val="num" w:pos="0"/>
        </w:tabs>
        <w:ind w:left="720" w:hanging="360"/>
      </w:pPr>
      <w:rPr>
        <w:sz w:val="24"/>
        <w:i w:val="false"/>
        <w:b/>
        <w:szCs w:val="24"/>
        <w:iCs w:val="false"/>
        <w:bCs/>
        <w:rFonts w:ascii="Calibri" w:hAnsi="Calibri" w:eastAsia="Calibri" w:cs="Calibr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3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13">
    <w:lvl w:ilvl="0">
      <w:start w:val="13"/>
      <w:numFmt w:val="decimal"/>
      <w:lvlText w:val="%1."/>
      <w:lvlJc w:val="left"/>
      <w:pPr>
        <w:tabs>
          <w:tab w:val="num" w:pos="0"/>
        </w:tabs>
        <w:ind w:left="405" w:hanging="40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44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24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0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84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2160"/>
      </w:pPr>
      <w:rPr/>
    </w:lvl>
  </w:abstractNum>
  <w:abstractNum w:abstractNumId="14">
    <w:lvl w:ilvl="0">
      <w:start w:val="14"/>
      <w:numFmt w:val="decimal"/>
      <w:lvlText w:val="%1."/>
      <w:lvlJc w:val="left"/>
      <w:pPr>
        <w:tabs>
          <w:tab w:val="num" w:pos="0"/>
        </w:tabs>
        <w:ind w:left="390" w:hanging="39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12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53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29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70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400" w:hanging="2160"/>
      </w:pPr>
      <w:rPr/>
    </w:lvl>
  </w:abstractNum>
  <w:abstractNum w:abstractNumId="15">
    <w:lvl w:ilvl="0">
      <w:start w:val="15"/>
      <w:numFmt w:val="decimal"/>
      <w:lvlText w:val="%1."/>
      <w:lvlJc w:val="left"/>
      <w:pPr>
        <w:tabs>
          <w:tab w:val="num" w:pos="0"/>
        </w:tabs>
        <w:ind w:left="405" w:hanging="40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11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50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25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64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39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78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53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280" w:hanging="2160"/>
      </w:pPr>
      <w:rPr/>
    </w:lvl>
  </w:abstractNum>
  <w:abstractNum w:abstractNumId="16">
    <w:lvl w:ilvl="0">
      <w:start w:val="16"/>
      <w:numFmt w:val="decimal"/>
      <w:lvlText w:val="%1."/>
      <w:lvlJc w:val="left"/>
      <w:pPr>
        <w:tabs>
          <w:tab w:val="num" w:pos="0"/>
        </w:tabs>
        <w:ind w:left="405" w:hanging="40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12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53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29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70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400" w:hanging="2160"/>
      </w:pPr>
      <w:rPr/>
    </w:lvl>
  </w:abstractNum>
  <w:abstractNum w:abstractNumId="17">
    <w:lvl w:ilvl="0">
      <w:start w:val="17"/>
      <w:numFmt w:val="decimal"/>
      <w:lvlText w:val="%1."/>
      <w:lvlJc w:val="left"/>
      <w:pPr>
        <w:tabs>
          <w:tab w:val="num" w:pos="0"/>
        </w:tabs>
        <w:ind w:left="375" w:hanging="37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12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53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29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70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400" w:hanging="2160"/>
      </w:pPr>
      <w:rPr/>
    </w:lvl>
  </w:abstractNum>
  <w:abstractNum w:abstractNumId="18">
    <w:lvl w:ilvl="0">
      <w:start w:val="18"/>
      <w:numFmt w:val="decimal"/>
      <w:lvlText w:val="%1."/>
      <w:lvlJc w:val="left"/>
      <w:pPr>
        <w:tabs>
          <w:tab w:val="num" w:pos="0"/>
        </w:tabs>
        <w:ind w:left="405" w:hanging="40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9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7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20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8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31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9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42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160" w:hanging="2160"/>
      </w:pPr>
      <w:rPr/>
    </w:lvl>
  </w:abstractNum>
  <w:abstractNum w:abstractNumId="19">
    <w:lvl w:ilvl="0">
      <w:start w:val="19"/>
      <w:numFmt w:val="decimal"/>
      <w:lvlText w:val="%1."/>
      <w:lvlJc w:val="left"/>
      <w:pPr>
        <w:tabs>
          <w:tab w:val="num" w:pos="0"/>
        </w:tabs>
        <w:ind w:left="405" w:hanging="40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12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53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29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70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400" w:hanging="2160"/>
      </w:pPr>
      <w:rPr/>
    </w:lvl>
  </w:abstractNum>
  <w:abstractNum w:abstractNumId="20">
    <w:lvl w:ilvl="0">
      <w:start w:val="21"/>
      <w:numFmt w:val="decimal"/>
      <w:lvlText w:val="%1."/>
      <w:lvlJc w:val="left"/>
      <w:pPr>
        <w:tabs>
          <w:tab w:val="num" w:pos="0"/>
        </w:tabs>
        <w:ind w:left="390" w:hanging="39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48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25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37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414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26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603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715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8280" w:hanging="21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2">
    <w:lvl w:ilvl="0">
      <w:start w:val="20"/>
      <w:numFmt w:val="decimal"/>
      <w:lvlText w:val="%1."/>
      <w:lvlJc w:val="left"/>
      <w:pPr>
        <w:tabs>
          <w:tab w:val="num" w:pos="0"/>
        </w:tabs>
        <w:ind w:left="465" w:hanging="46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48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25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37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414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26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603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715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8280" w:hanging="2160"/>
      </w:pPr>
      <w:rPr/>
    </w:lvl>
  </w:abstractNum>
  <w:abstractNum w:abstractNumId="23">
    <w:lvl w:ilvl="0">
      <w:start w:val="4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2160"/>
      </w:pPr>
      <w:rPr/>
    </w:lvl>
  </w:abstractNum>
  <w:abstractNum w:abstractNumId="24">
    <w:lvl w:ilvl="0">
      <w:start w:val="5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25">
    <w:lvl w:ilvl="0">
      <w:start w:val="7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26">
    <w:lvl w:ilvl="0">
      <w:start w:val="8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27">
    <w:lvl w:ilvl="0">
      <w:start w:val="9"/>
      <w:numFmt w:val="decimal"/>
      <w:lvlText w:val="%1."/>
      <w:lvlJc w:val="left"/>
      <w:pPr>
        <w:tabs>
          <w:tab w:val="num" w:pos="0"/>
        </w:tabs>
        <w:ind w:left="375" w:hanging="375"/>
      </w:pPr>
      <w:rPr/>
    </w:lvl>
    <w:lvl w:ilvl="1">
      <w:start w:val="2"/>
      <w:numFmt w:val="decimal"/>
      <w:lvlText w:val="%1.%2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28">
    <w:lvl w:ilvl="0">
      <w:start w:val="10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35" w:hanging="360"/>
      </w:pPr>
      <w:rPr>
        <w:b/>
        <w:bCs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70" w:hanging="720"/>
      </w:pPr>
      <w:rPr>
        <w:b/>
        <w:bCs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205" w:hanging="1080"/>
      </w:pPr>
      <w:rPr>
        <w:b/>
        <w:bCs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580" w:hanging="1080"/>
      </w:pPr>
      <w:rPr>
        <w:b/>
        <w:bCs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315" w:hanging="1440"/>
      </w:pPr>
      <w:rPr>
        <w:b/>
        <w:bCs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690" w:hanging="1440"/>
      </w:pPr>
      <w:rPr>
        <w:b/>
        <w:bCs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425" w:hanging="1800"/>
      </w:pPr>
      <w:rPr>
        <w:b/>
        <w:bCs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4800" w:hanging="1800"/>
      </w:pPr>
      <w:rPr>
        <w:b/>
        <w:bCs/>
      </w:rPr>
    </w:lvl>
  </w:abstractNum>
  <w:abstractNum w:abstractNumId="29"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Normal1"/>
    <w:next w:val="Normal1"/>
    <w:qFormat/>
    <w:pPr>
      <w:ind w:left="124" w:hanging="124"/>
      <w:jc w:val="both"/>
    </w:pPr>
    <w:rPr>
      <w:b/>
      <w:bCs/>
      <w:color w:val="000000"/>
      <w:sz w:val="24"/>
      <w:szCs w:val="24"/>
    </w:rPr>
  </w:style>
  <w:style w:type="paragraph" w:styleId="Ttulo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color w:val="000000"/>
      <w:sz w:val="36"/>
      <w:szCs w:val="36"/>
    </w:rPr>
  </w:style>
  <w:style w:type="paragraph" w:styleId="Ttulo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color w:val="000000"/>
      <w:sz w:val="28"/>
      <w:szCs w:val="28"/>
    </w:rPr>
  </w:style>
  <w:style w:type="paragraph" w:styleId="Ttulo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color w:val="000000"/>
      <w:sz w:val="24"/>
      <w:szCs w:val="24"/>
    </w:rPr>
  </w:style>
  <w:style w:type="paragraph" w:styleId="Ttulo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color w:val="000000"/>
    </w:rPr>
  </w:style>
  <w:style w:type="paragraph" w:styleId="Ttulo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color w:val="00000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801c1"/>
    <w:rPr/>
  </w:style>
  <w:style w:type="character" w:styleId="RodapChar" w:customStyle="1">
    <w:name w:val="Rodapé Char"/>
    <w:basedOn w:val="DefaultParagraphFont"/>
    <w:uiPriority w:val="99"/>
    <w:qFormat/>
    <w:rsid w:val="002801c1"/>
    <w:rPr/>
  </w:style>
  <w:style w:type="character" w:styleId="LinkdaInternet">
    <w:name w:val="Hyperlink"/>
    <w:rPr>
      <w:color w:val="000080"/>
      <w:u w:val="single"/>
    </w:rPr>
  </w:style>
  <w:style w:type="character" w:styleId="Linkdainternetvisitado">
    <w:name w:val="FollowedHyperlink"/>
    <w:rPr>
      <w:color w:val="800000"/>
      <w:u w:val="single"/>
    </w:rPr>
  </w:style>
  <w:style w:type="character" w:styleId="TextodecomentrioChar" w:customStyle="1">
    <w:name w:val="Texto de comentário Char"/>
    <w:basedOn w:val="DefaultParagraphFont"/>
    <w:link w:val="Annotationtext"/>
    <w:uiPriority w:val="99"/>
    <w:qFormat/>
    <w:rPr>
      <w:sz w:val="20"/>
      <w:szCs w:val="20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1f4da3"/>
    <w:rPr>
      <w:b/>
      <w:bCs/>
      <w:sz w:val="20"/>
      <w:szCs w:val="20"/>
    </w:rPr>
  </w:style>
  <w:style w:type="character" w:styleId="Ttulo1Char" w:customStyle="1">
    <w:name w:val="Título 1 Char"/>
    <w:basedOn w:val="DefaultParagraphFont"/>
    <w:uiPriority w:val="9"/>
    <w:qFormat/>
    <w:rsid w:val="004c6975"/>
    <w:rPr>
      <w:b/>
      <w:color w:val="000000"/>
      <w:sz w:val="24"/>
      <w:szCs w:val="24"/>
    </w:rPr>
  </w:style>
  <w:style w:type="paragraph" w:styleId="Ttulo">
    <w:name w:val="Título"/>
    <w:basedOn w:val="Normal1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1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Lucida Sans"/>
    </w:rPr>
  </w:style>
  <w:style w:type="paragraph" w:styleId="Legenda">
    <w:name w:val="Caption"/>
    <w:basedOn w:val="Normal1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1"/>
    <w:qFormat/>
    <w:pPr>
      <w:suppressLineNumbers/>
    </w:pPr>
    <w:rPr>
      <w:rFonts w:cs="Lucida Sans"/>
    </w:rPr>
  </w:style>
  <w:style w:type="paragraph" w:styleId="Normal1" w:default="1">
    <w:name w:val="LO-normal"/>
    <w:qFormat/>
    <w:pPr>
      <w:widowControl w:val="fals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tulododocumento">
    <w:name w:val="Title"/>
    <w:basedOn w:val="Normal1"/>
    <w:next w:val="Normal1"/>
    <w:qFormat/>
    <w:pPr>
      <w:keepNext w:val="true"/>
      <w:spacing w:lineRule="auto" w:line="240"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Caption1">
    <w:name w:val="caption1"/>
    <w:basedOn w:val="Normal1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bealhoeRodap" w:customStyle="1">
    <w:name w:val="Cabeçalho e Rodapé"/>
    <w:basedOn w:val="Normal1"/>
    <w:qFormat/>
    <w:pPr/>
    <w:rPr/>
  </w:style>
  <w:style w:type="paragraph" w:styleId="Cabealho">
    <w:name w:val="Header"/>
    <w:basedOn w:val="Normal1"/>
    <w:link w:val="CabealhoChar"/>
    <w:uiPriority w:val="99"/>
    <w:unhideWhenUsed/>
    <w:rsid w:val="002801c1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Rodap">
    <w:name w:val="Footer"/>
    <w:basedOn w:val="Normal1"/>
    <w:link w:val="RodapChar"/>
    <w:uiPriority w:val="99"/>
    <w:unhideWhenUsed/>
    <w:rsid w:val="002801c1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Normal11" w:customStyle="1">
    <w:name w:val="normal1"/>
    <w:qFormat/>
    <w:rsid w:val="002801c1"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PT" w:eastAsia="zh-CN" w:bidi="hi-IN"/>
    </w:rPr>
  </w:style>
  <w:style w:type="paragraph" w:styleId="Default" w:customStyle="1">
    <w:name w:val="Default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" w:cs="Arial"/>
      <w:color w:val="000000"/>
      <w:kern w:val="0"/>
      <w:sz w:val="24"/>
      <w:szCs w:val="22"/>
      <w:lang w:val="pt-PT" w:eastAsia="pt-BR" w:bidi="ar-SA"/>
    </w:rPr>
  </w:style>
  <w:style w:type="paragraph" w:styleId="Contedodatabela" w:customStyle="1">
    <w:name w:val="Conteúdo da tabela"/>
    <w:basedOn w:val="Normal1"/>
    <w:qFormat/>
    <w:pPr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Annotationtext">
    <w:name w:val="annotation text"/>
    <w:basedOn w:val="Normal1"/>
    <w:link w:val="TextodecomentrioChar"/>
    <w:uiPriority w:val="99"/>
    <w:unhideWhenUsed/>
    <w:qFormat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/>
    <w:unhideWhenUsed/>
    <w:qFormat/>
    <w:rsid w:val="001f4da3"/>
    <w:pPr/>
    <w:rPr>
      <w:b/>
      <w:bCs/>
    </w:rPr>
  </w:style>
  <w:style w:type="paragraph" w:styleId="Pargrafo" w:customStyle="1">
    <w:name w:val="Parágrafo"/>
    <w:basedOn w:val="Normal1"/>
    <w:qFormat/>
    <w:rsid w:val="000b3f30"/>
    <w:pPr>
      <w:widowControl/>
      <w:spacing w:lineRule="auto" w:line="36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4"/>
      <w:lang w:val="pt-BR" w:eastAsia="en-US"/>
    </w:rPr>
  </w:style>
  <w:style w:type="paragraph" w:styleId="ListParagraph">
    <w:name w:val="List Paragraph"/>
    <w:basedOn w:val="Normal1"/>
    <w:uiPriority w:val="34"/>
    <w:qFormat/>
    <w:rsid w:val="002d1866"/>
    <w:pPr>
      <w:spacing w:before="0" w:after="0"/>
      <w:ind w:left="720" w:hanging="0"/>
      <w:contextualSpacing/>
    </w:pPr>
    <w:rPr/>
  </w:style>
  <w:style w:type="paragraph" w:styleId="Normal2">
    <w:name w:val="normal2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PT" w:eastAsia="pt-BR" w:bidi="ar-SA"/>
    </w:rPr>
  </w:style>
  <w:style w:type="paragraph" w:styleId="Subttulo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1f4da3"/>
    <w:rPr>
      <w:rFonts w:asciiTheme="minorHAnsi" w:hAnsiTheme="minorHAnsi" w:eastAsiaTheme="minorHAnsi" w:cstheme="minorBidi"/>
      <w:lang w:val="pt-BR" w:eastAsia="en-US"/>
      <w:sz w:val="24"/>
      <w:szCs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comments" Target="comments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ontratoscbmpa@gmail.com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ontratoscbmpa@gmail.com" TargetMode="Externa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ontratoscbmpa@gmail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JnmU9B8tLDk0gXr6QuocCLr2UAA==">CgMxLjAaJwoBMBIiCiAIBCocCgtBQUFCcmt5WkgwRRAIGgtBQUFCcmt5WkgwRRonCgExEiIKIAgEKhwKC0FBQUJxM0VSRnJvEAgaC0FBQUJxM0VSRnJvGicKATISIgogCAQqHAoLQUFBQnEzRVJGckUQCBoLQUFBQnEzRVJGckUaJwoBMxIiCiAIBCocCgtBQUFCcTNFUkZyQRAIGgtBQUFCcTNFUkZyQRonCgE0EiIKIAgEKhwKC0FBQUJxM0VSRnNJEAgaC0FBQUJxM0VSRnNJGicKATUSIgogCAQqHAoLQUFBQnEzRVJGckkQCBoLQUFBQnEzRVJGckkaJwoBNhIiCiAIBCocCgtBQUFCcTNFUkZzTRAIGgtBQUFCcTNFUkZzTRonCgE3EiIKIAgEKhwKC0FBQUJxM0VSRnNjEAgaC0FBQUJxM0VSRnNjGicKATgSIgogCAQqHAoLQUFBQnEzRVJGc1EQCBoLQUFBQnEzRVJGc1EaMAoBORIrCikIB0IlChFRdWF0dHJvY2VudG8gU2FucxIQQXJpYWwgVW5pY29kZSBNUxoxCgIxMBIrCikIB0IlChFRdWF0dHJvY2VudG8gU2FucxIQQXJpYWwgVW5pY29kZSBNUxoxCgIxMRIrCikIB0IlChFRdWF0dHJvY2VudG8gU2FucxIQQXJpYWwgVW5pY29kZSBNUxoxCgIxMhIrCikIB0IlChFRdWF0dHJvY2VudG8gU2FucxIQQXJpYWwgVW5pY29kZSBNUxooCgIxMxIiCiAIBCocCgtBQUFCcTNFUkZxMBAIGgtBQUFCcTNFUkZxMBooCgIxNBIiCiAIBCocCgtBQUFCcTNFUkZyTRAIGgtBQUFCcTNFUkZyTRooCgIxNRIiCiAIBCocCgtBQUFCcTNFUkZzRRAIGgtBQUFCcTNFUkZzRRooCgIxNhIiCiAIBCocCgtBQUFCcTNFUkZzaxAIGgtBQUFCcTNFUkZzaxooCgIxNxIiCiAIBCocCgtBQUFCcTNFUkZxNBAIGgtBQUFCcTNFUkZxNBooCgIxOBIiCiAIBCocCgtBQUFCcTNFUkZzVRAIGgtBQUFCcTNFUkZzVRooCgIxORIiCiAIBCocCgtBQUFCcTNFUkZyZxAIGgtBQUFCcTNFUkZyZxooCgIyMBIiCiAIBCocCgtBQUFCcTNFUkZycxAIGgtBQUFCcTNFUkZycxooCgIyMRIiCiAIBCocCgtBQUFCcmt5WkgwSRAIGgtBQUFCcmt5WkgwSRooCgIyMhIiCiAIBCocCgtBQUFCcTNFUkZyMBAIGgtBQUFCcTNFUkZyMBooCgIyMxIiCiAIBCocCgtBQUFCcTNFUkZyWRAIGgtBQUFCcTNFUkZyWRooCgIyNBIiCiAIBCocCgtBQUFCcTNFUkZyURAIGgtBQUFCcTNFUkZyURooCgIyNRIiCiAIBCocCgtBQUFCcTNFUkZxOBAIGgtBQUFCcTNFUkZxOBoxCgIyNhIrCikIB0IlChFRdWF0dHJvY2VudG8gU2FucxIQQXJpYWwgVW5pY29kZSBNUxooCgIyNxIiCiAIBCocCgtBQUFCcTNFUkZyOBAIGgtBQUFCcTNFUkZyOBoxCgIyOBIrCikIB0IlChFRdWF0dHJvY2VudG8gU2FucxIQQXJpYWwgVW5pY29kZSBNUxooCgIyORIiCiAIBCocCgtBQUFCcTNFUkZzbxAIGgtBQUFCcTNFUkZzbxooCgIzMBIiCiAIBCocCgtBQUFCcTNFUkZyYxAIGgtBQUFCcTNFUkZyYxooCgIzMRIiCiAIBCocCgtBQUFCcTNFUkZzZxAIGgtBQUFCcTNFUkZzZxooCgIzMhIiCiAIBCocCgtBQUFCcTNFUkZyVRAIGgtBQUFCcTNFUkZyVRooCgIzMxIiCiAIBCocCgtBQUFCcTNFUkZyNBAIGgtBQUFCcTNFUkZyNBooCgIzNBIiCiAIBCocCgtBQUFCcTNFUkZzQRAIGgtBQUFCcTNFUkZzQRooCgIzNRIiCiAIBCocCgtBQUFCcTNFUkZxdxAIGgtBQUFCcTNFUkZxdxooCgIzNhIiCiAIBCocCgtBQUFCcmt5WkgwQRAIGgtBQUFCcmt5WkgwQSLFAwoLQUFBQnEzRVJGcjgSmgMKC0FBQUJxM0VSRnI4EgtBQUFCcTNFUkZyOBo+Cgl0ZXh0L2h0bWwSMVByZWVuY2hlciBjb25mb3JtZSBjYWRhIGNhc28sIHRlbSBxdWUgb2xoYXIgbm8gVFIiPwoKdGV4dC9wbGFpbhIxUHJlZW5jaGVyIGNvbmZvcm1lIGNhZGEgY2FzbywgdGVtIHF1ZSBvbGhhciBubyBUUipPChZSRU5BVEEgREUgQVZJWiBCQVRJU1RBGjUvL3NzbC5nc3RhdGljLmNvbS9kb2NzL2NvbW1vbi9ibHVlX3NpbGhvdWV0dGU5Ni0wLnBuZzCg6dWYjDM4oOnVmIwzclEKFlJFTkFUQSBERSBBVklaIEJBVElTVEEaNwo1Ly9zc2wuZ3N0YXRpYy5jb20vZG9jcy9jb21tb24vYmx1ZV9zaWxob3VldHRlOTYtMC5wbmd4AIgBAZoBBggAEAAYAKoBMxIxUHJlZW5jaGVyIGNvbmZvcm1lIGNhZGEgY2FzbywgdGVtIHF1ZSBvbGhhciBubyBUUrABALgBAcgBABig6dWYjDMgoOnVmIwzMABCCWtpeC5jbXQyMiLaAwoLQUFBQnEzRVJGc1USrwMKC0FBQUJxM0VSRnNVEgtBQUFCcTNFUkZzVRpFCgl0ZXh0L2h0bWwSOEFww7NzIGFkZXF1YXIgbyB0ZXh0bywgcmV0aXJhciBvIHF1ZSBuw6NvIGZvciBhcGxpY8OhdmVsIkYKCnRleHQvcGxhaW4SOEFww7NzIGFkZXF1YXIgbyB0ZXh0bywgcmV0aXJhciBvIHF1ZSBuw6NvIGZvciBhcGxpY8OhdmVsKk8KFlJFTkFUQSBERSBBVklaIEJBVElTVEEaNS8vc3NsLmdzdGF0aWMuY29tL2RvY3MvY29tbW9uL2JsdWVfc2lsaG91ZXR0ZTk2LTAucG5nMKDm3JaMMzig5tyWjDNyUQoWUkVOQVRBIERFIEFWSVogQkFUSVNUQRo3CjUvL3NzbC5nc3RhdGljLmNvbS9kb2NzL2NvbW1vbi9ibHVlX3NpbGhvdWV0dGU5Ni0wLnBuZ3gAiAEBmgEGCAAQABgAqgE6EjhBcMOzcyBhZGVxdWFyIG8gdGV4dG8sIHJldGlyYXIgbyBxdWUgbsOjbyBmb3IgYXBsaWPDoXZlbLABALgBAcgBABig5tyWjDMgoObclowzMABCCWtpeC5jbXQxNCKSDAoLQUFBQnEzRVJGcjQS5wsKC0FBQUJxM0VSRnI0EgtBQUFCcTNFUkZyNBqwAwoJdGV4dC9odG1sEqIDQUdVOjxicj48YnI+Tm90YSBFeHBsaWNhdGl2YTogVXNlIGEgcmVkYcOnw6NvIGRvIGl0ZW0gMTQuMSBwYXJhIGNvbnRyYXRvcyBkZWNvcnJlbnRlcyBkYSBoaXDDs3Rlc2UgZGUgZGlzcGVuc2EgZGUgbGljaXRhw6fDo28gcHJldmlzdGEgbm8gYXJ0LiA3NSwgaW5jaXNvIFZJSUksIGRhIExlaSBuwrAgMTQuMTMzLzIwMjEuPGJyPjxicj4xNC4xLiBPIGNvbnRyYXRvIHNlcsOhIGV4dGludG8gcXVhbmRvIHZlbmNpZG8gbyBwcmF6byBuZWxlIGVzdGlwdWxhZG8sIG9ic2VydmFkbyBvIGFydC4gNzUsIGluY2lzbyBWSUlJLCBkYSBMZWkgbi7CuiAxNC4xMzMvMjAyMSwgaW5kZXBlbmRlbnRlbWVudGUgZGUgdGVyZW0gc2lkbyBjdW1wcmlkYXMgb3UgbsOjbyBhcyBvYnJpZ2HDp8O1ZXMgZGUgYW1iYXMgYXMgcGFydGVzIGNvbnRyYWVudGVzLiKlAwoKdGV4dC9wbGFpbhKWA0FHVToKCk5vdGEgRXhwbGljYXRpdmE6IFVzZSBhIHJlZGHDp8OjbyBkbyBpdGVtIDE0LjEgcGFyYSBjb250cmF0b3MgZGVjb3JyZW50ZXMgZGEgaGlww7N0ZXNlIGRlIGRpc3BlbnNhIGRlIGxpY2l0YcOnw6NvIHByZXZpc3RhIG5vIGFydC4gNzUsIGluY2lzbyBWSUlJLCBkYSBMZWkgbsKwIDE0LjEzMy8yMDIxLgoKMTQuMS4gTyBjb250cmF0byBzZXLDoSBleHRpbnRvIHF1YW5kbyB2ZW5jaWRvIG8gcHJhem8gbmVsZSBlc3RpcHVsYWRvLCBvYnNlcnZhZG8gbyBhcnQuIDc1LCBpbmNpc28gVklJSSwgZGEgTGVpIG4uwrogMTQuMTMzLzIwMjEsIGluZGVwZW5kZW50ZW1lbnRlIGRlIHRlcmVtIHNpZG8gY3VtcHJpZGFzIG91IG7Do28gYXMgb2JyaWdhw6fDtWVzIGRlIGFtYmFzIGFzIHBhcnRlcyBjb250cmFlbnRlcy4qTwoWUkVOQVRBIERFIEFWSVogQkFUSVNUQRo1Ly9zc2wuZ3N0YXRpYy5jb20vZG9jcy9jb21tb24vYmx1ZV9zaWxob3VldHRlOTYtMC5wbmcwgP6ovYwzOID+qL2MM3JRChZSRU5BVEEgREUgQVZJWiBCQVRJU1RBGjcKNS8vc3NsLmdzdGF0aWMuY29tL2RvY3MvY29tbW9uL2JsdWVfc2lsaG91ZXR0ZTk2LTAucG5neACIAQGaAQYIABAAGACqAaUDEqIDQUdVOjxicj48YnI+Tm90YSBFeHBsaWNhdGl2YTogVXNlIGEgcmVkYcOnw6NvIGRvIGl0ZW0gMTQuMSBwYXJhIGNvbnRyYXRvcyBkZWNvcnJlbnRlcyBkYSBoaXDDs3Rlc2UgZGUgZGlzcGVuc2EgZGUgbGljaXRhw6fDo28gcHJldmlzdGEgbm8gYXJ0LiA3NSwgaW5jaXNvIFZJSUksIGRhIExlaSBuwrAgMTQuMTMzLzIwMjEuPGJyPjxicj4xNC4xLiBPIGNvbnRyYXRvIHNlcsOhIGV4dGludG8gcXVhbmRvIHZlbmNpZG8gbyBwcmF6byBuZWxlIGVzdGlwdWxhZG8sIG9ic2VydmFkbyBvIGFydC4gNzUsIGluY2lzbyBWSUlJLCBkYSBMZWkgbi7CuiAxNC4xMzMvMjAyMSwgaW5kZXBlbmRlbnRlbWVudGUgZGUgdGVyZW0gc2lkbyBjdW1wcmlkYXMgb3UgbsOjbyBhcyBvYnJpZ2HDp8O1ZXMgZGUgYW1iYXMgYXMgcGFydGVzIGNvbnRyYWVudGVzLrABALgBAcgBABiA/qi9jDMggP6ovYwzMABCCWtpeC5jbXQyNyKBBAoLQUFBQnEzRVJGcnMS1gMKC0FBQUJxM0VSRnJzEgtBQUFCcTNFUkZycxpSCgl0ZXh0L2h0bWwSRUF0ZW50YXIgcXVlIGRldmUgc2VyIG8gbWVzbW8gdmFsb3IgZGEgY2FwYSBlIGRhIHRhYmVsYSBuYSBjbMOhdXN1bGEgMyJTCgp0ZXh0L3BsYWluEkVBdGVudGFyIHF1ZSBkZXZlIHNlciBvIG1lc21vIHZhbG9yIGRhIGNhcGEgZSBkYSB0YWJlbGEgbmEgY2zDoXVzdWxhIDMqTwoWUkVOQVRBIERFIEFWSVogQkFUSVNUQRo1Ly9zc2wuZ3N0YXRpYy5jb20vZG9jcy9jb21tb24vYmx1ZV9zaWxob3VldHRlOTYtMC5wbmcwwJ6fmowzOMCen5qMM3JRChZSRU5BVEEgREUgQVZJWiBCQVRJU1RBGjcKNS8vc3NsLmdzdGF0aWMuY29tL2RvY3MvY29tbW9uL2JsdWVfc2lsaG91ZXR0ZTk2LTAucG5neACIAQGaAQYIABAAGACqAUcSRUF0ZW50YXIgcXVlIGRldmUgc2VyIG8gbWVzbW8gdmFsb3IgZGEgY2FwYSBlIGRhIHRhYmVsYSBuYSBjbMOhdXN1bGEgM7ABALgBAcgBABjAnp+ajDMgwJ6fmowzMABCCWtpeC5jbXQxNiKYBAoLQUFBQnEzRVJGc1ES7gMKC0FBQUJxM0VSRnNREgtBQUFCcTNFUkZzURpaCgl0ZXh0L2h0bWwSTVZlcmlmaWNhciBhcyBkaXNwb3Npw6fDtWVzIG5hIGNhcGEgZG8gZWRpdGFsIHBhcmEgYXV4aWxpYXIgZSByYXRpZmljYXIgbm8gVFIuIlsKCnRleHQvcGxhaW4STVZlcmlmaWNhciBhcyBkaXNwb3Npw6fDtWVzIG5hIGNhcGEgZG8gZWRpdGFsIHBhcmEgYXV4aWxpYXIgZSByYXRpZmljYXIgbm8gVFIuKk8KFlJFTkFUQSBERSBBVklaIEJBVElTVEEaNS8vc3NsLmdzdGF0aWMuY29tL2RvY3MvY29tbW9uL2JsdWVfc2lsaG91ZXR0ZTk2LTAucG5nMKCaopaMMzigmqKWjDNyUQoWUkVOQVRBIERFIEFWSVogQkFUSVNUQRo3CjUvL3NzbC5nc3RhdGljLmNvbS9kb2NzL2NvbW1vbi9ibHVlX3NpbGhvdWV0dGU5Ni0wLnBuZ3gAiAEBmgEGCAAQABgAqgFPEk1WZXJpZmljYXIgYXMgZGlzcG9zacOnw7VlcyBuYSBjYXBhIGRvIGVkaXRhbCBwYXJhIGF1eGlsaWFyIGUgcmF0aWZpY2FyIG5vIFRSLrABALgBAcgBABigmqKWjDMgoJqilowzMABCCGtpeC5jbXQ4ItEDCgtBQUFCcTNFUkZyMBKmAwoLQUFBQnEzRVJGcjASC0FBQUJxM0VSRnIwGkIKCXRleHQvaHRtbBI1RGV2ZSBlc3TDoSBlbSBjb25zb27Do25jaWEgY29tIGEgaW5mb3JtYcOnw6NvIG5hIGNhcGEiQwoKdGV4dC9wbGFpbhI1RGV2ZSBlc3TDoSBlbSBjb25zb27Do25jaWEgY29tIGEgaW5mb3JtYcOnw6NvIG5hIGNhcGEqTwoWUkVOQVRBIERFIEFWSVogQkFUSVNUQRo1Ly9zc2wuZ3N0YXRpYy5jb20vZG9jcy9jb21tb24vYmx1ZV9zaWxob3VldHRlOTYtMC5wbmcw4KfZl4wzOOCn2ZeMM3JRChZSRU5BVEEgREUgQVZJWiBCQVRJU1RBGjcKNS8vc3NsLmdzdGF0aWMuY29tL2RvY3MvY29tbW9uL2JsdWVfc2lsaG91ZXR0ZTk2LTAucG5neACIAQGaAQYIABAAGACqATcSNURldmUgZXN0w6EgZW0gY29uc29uw6NuY2lhIGNvbSBhIGluZm9ybWHDp8OjbyBuYSBjYXBhsAEAuAEByAEAGOCn2ZeMMyDgp9mXjDMwAEIJa2l4LmNtdDE4IrgDCgtBQUFCcTNFUkZybxKOAwoLQUFBQnEzRVJGcm8SC0FBQUJxM0VSRnJvGjwKCXRleHQvaHRtbBIvQ0JNUEE6IDkyNTg1Mzxicj5DRURFQzogOTI5OTAyPGJyPkZFQk9NOiA5MjkzNzciNwoKdGV4dC9wbGFpbhIpQ0JNUEE6IDkyNTg1MwpDRURFQzogOTI5OTAyCkZFQk9NOiA5MjkzNzcqTwoWUkVOQVRBIERFIEFWSVogQkFUSVNUQRo1Ly9zc2wuZ3N0YXRpYy5jb20vZG9jcy9jb21tb24vYmx1ZV9zaWxob3VldHRlOTYtMC5wbmcw4Ki0v4wzOOCotL+MM3JRChZSRU5BVEEgREUgQVZJWiBCQVRJU1RBGjcKNS8vc3NsLmdzdGF0aWMuY29tL2RvY3MvY29tbW9uL2JsdWVfc2lsaG91ZXR0ZTk2LTAucG5neACIAQGaAQYIABAAGACqATESL0NCTVBBOiA5MjU4NTM8YnI+Q0VERUM6IDkyOTkwMjxicj5GRUJPTTogOTI5Mzc3sAEAuAEByAEAGOCotL+MMyDgqLS/jDMwAEIIa2l4LmNtdDEimAQKC0FBQUJxM0VSRnNNEu4DCgtBQUFCcTNFUkZzTRILQUFBQnEzRVJGc00aWgoJdGV4dC9odG1sEk1WZXJpZmljYXIgYXMgZGlzcG9zacOnw7VlcyBuYSBjYXBhIGRvIGVkaXRhbCBwYXJhIGF1eGlsaWFyIGUgcmF0aWZpY2FyIG5vIFRSLiJbCgp0ZXh0L3BsYWluEk1WZXJpZmljYXIgYXMgZGlzcG9zacOnw7VlcyBuYSBjYXBhIGRvIGVkaXRhbCBwYXJhIGF1eGlsaWFyIGUgcmF0aWZpY2FyIG5vIFRSLipPChZSRU5BVEEgREUgQVZJWiBCQVRJU1RBGjUvL3NzbC5nc3RhdGljLmNvbS9kb2NzL2NvbW1vbi9ibHVlX3NpbGhvdWV0dGU5Ni0wLnBuZzDAxZ6WjDM4wMWelowzclEKFlJFTkFUQSBERSBBVklaIEJBVElTVEEaNwo1Ly9zc2wuZ3N0YXRpYy5jb20vZG9jcy9jb21tb24vYmx1ZV9zaWxob3VldHRlOTYtMC5wbmd4AIgBAZoBBggAEAAYAKoBTxJNVmVyaWZpY2FyIGFzIGRpc3Bvc2nDp8O1ZXMgbmEgY2FwYSBkbyBlZGl0YWwgcGFyYSBhdXhpbGlhciBlIHJhdGlmaWNhciBubyBUUi6wAQC4AQHIAQAYwMWelowzIMDFnpaMMzAAQghraXguY210NiKxBAoLQUFBQnJreVpIMEkShgQKC0FBQUJya3laSDBJEgtBQUFCcmt5WkgwSRpkCgl0ZXh0L2h0bWwSV0FkZXF1YXIgcGFyYTo8YnI+RnVuZG8gRXNwZWNpYWwgZGUgQm9tYmVpcm9zIDxicj5Db29yZGVuYWRvcmlhIEVzdGFkdWFsIGRlIERlZmVzYSBDaXZpbCJfCgp0ZXh0L3BsYWluElFBZGVxdWFyIHBhcmE6CkZ1bmRvIEVzcGVjaWFsIGRlIEJvbWJlaXJvcyAKQ29vcmRlbmFkb3JpYSBFc3RhZHVhbCBkZSBEZWZlc2EgQ2l2aWwqTwoWUkVOQVRBIERFIEFWSVogQkFUSVNUQRo1Ly9zc2wuZ3N0YXRpYy5jb20vZG9jcy9jb21tb24vYmx1ZV9zaWxob3VldHRlOTYtMC5wbmcwoPOimowzOKDzopqMM3JRChZSRU5BVEEgREUgQVZJWiBCQVRJU1RBGjcKNS8vc3NsLmdzdGF0aWMuY29tL2RvY3MvY29tbW9uL2JsdWVfc2lsaG91ZXR0ZTk2LTAucG5neACIAQGaAQYIABAAGACqAVkSV0FkZXF1YXIgcGFyYTo8YnI+RnVuZG8gRXNwZWNpYWwgZGUgQm9tYmVpcm9zIDxicj5Db29yZGVuYWRvcmlhIEVzdGFkdWFsIGRlIERlZmVzYSBDaXZpbLABALgBAcgBABig86KajDMgoPOimowzMABCCWtpeC5jbXQxNyLDBQoLQUFBQnEzRVJGc0kSmQUKC0FBQUJxM0VSRnNJEgtBQUFCcTNFUkZzSRqSAQoJdGV4dC9odG1sEoQBQ2l0YXIgbyBuw7ptZXJvIGRvcyBpdGVucyBxdWUgaXLDoSBjb250cmF0YXIsIHNlIGZvciBjb250cmF0YXIgdHVkbyBvIHF1ZSBlc3RpdmVyIG5vIGVkaXRhbC9hdmlzbywgcG9kZSByZXRpcmFyIGVzdGEgcGFydGUgZG8gdGV4dG8uIpMBCgp0ZXh0L3BsYWluEoQBQ2l0YXIgbyBuw7ptZXJvIGRvcyBpdGVucyBxdWUgaXLDoSBjb250cmF0YXIsIHNlIGZvciBjb250cmF0YXIgdHVkbyBvIHF1ZSBlc3RpdmVyIG5vIGVkaXRhbC9hdmlzbywgcG9kZSByZXRpcmFyIGVzdGEgcGFydGUgZG8gdGV4dG8uKk8KFlJFTkFUQSBERSBBVklaIEJBVElTVEEaNS8vc3NsLmdzdGF0aWMuY29tL2RvY3MvY29tbW9uL2JsdWVfc2lsaG91ZXR0ZTk2LTAucG5nMICcl5aMMziAnJeWjDNyUQoWUkVOQVRBIERFIEFWSVogQkFUSVNUQRo3CjUvL3NzbC5nc3RhdGljLmNvbS9kb2NzL2NvbW1vbi9ibHVlX3NpbGhvdWV0dGU5Ni0wLnBuZ3gAiAEBmgEGCAAQABgAqgGHARKEAUNpdGFyIG8gbsO6bWVybyBkb3MgaXRlbnMgcXVlIGlyw6EgY29udHJhdGFyLCBzZSBmb3IgY29udHJhdGFyIHR1ZG8gbyBxdWUgZXN0aXZlciBubyBlZGl0YWwvYXZpc28sIHBvZGUgcmV0aXJhciBlc3RhIHBhcnRlIGRvIHRleHRvLrABALgBAcgBABiAnJeWjDMggJyXlowzMABCCGtpeC5jbXQ0IvEFCgtBQUFCcTNFUkZyZxLGBQoLQUFBQnEzRVJGcmcSC0FBQUJxM0VSRnJnGqMBCgl0ZXh0L2h0bWwSlQFDb25mZXJpciBzZSBlc3TDoSBlbSBjb25zb27Dom5jaWEgY29tIG8gdmFsb3IgbmEgY2FwYSBkbyBjb250cmF0by48YnI+PGJyPsOJIGEgbWVzbWEgdGFiZWxhIHF1ZSBjb25zdGEgbmEgQVJQIGNhc28gc2VqYSBwcm9jZXNzbyBkbyBDQk1QQS9DRURFQy9GRUJPTSKeAQoKdGV4dC9wbGFpbhKPAUNvbmZlcmlyIHNlIGVzdMOhIGVtIGNvbnNvbsOibmNpYSBjb20gbyB2YWxvciBuYSBjYXBhIGRvIGNvbnRyYXRvLgoKw4kgYSBtZXNtYSB0YWJlbGEgcXVlIGNvbnN0YSBuYSBBUlAgY2FzbyBzZWphIHByb2Nlc3NvIGRvIENCTVBBL0NFREVDL0ZFQk9NKk8KFlJFTkFUQSBERSBBVklaIEJBVElTVEEaNS8vc3NsLmdzdGF0aWMuY29tL2RvY3MvY29tbW9uL2JsdWVfc2lsaG91ZXR0ZTk2LTAucG5nMOCP5JaMMzjgj+SWjDNyUQoWUkVOQVRBIERFIEFWSVogQkFUSVNUQRo3CjUvL3NzbC5nc3RhdGljLmNvbS9kb2NzL2NvbW1vbi9ibHVlX3NpbGhvdWV0dGU5Ni0wLnBuZ3gAiAEBmgEGCAAQABgAqgGYARKVAUNvbmZlcmlyIHNlIGVzdMOhIGVtIGNvbnNvbsOibmNpYSBjb20gbyB2YWxvciBuYSBjYXBhIGRvIGNvbnRyYXRvLjxicj48YnI+w4kgYSBtZXNtYSB0YWJlbGEgcXVlIGNvbnN0YSBuYSBBUlAgY2FzbyBzZWphIHByb2Nlc3NvIGRvIENCTVBBL0NFREVDL0ZFQk9NsAEAuAEByAEAGOCP5JaMMyDgj+SWjDMwAEIJa2l4LmNtdDE1ItADCgtBQUFCcmt5WkgwRRKmAwoLQUFBQnJreVpIMEUSC0FBQUJya3laSDBFGkUKCXRleHQvaHRtbBI4QWRvdGFyIG8gcGFkcsOjbzo8YnI+Q0JNUEE8YnI+Q0JNUEEvQ0VERUM8YnI+Q0JNUEEvRkVCT00iPQoKdGV4dC9wbGFpbhIvQWRvdGFyIG8gcGFkcsOjbzoKQ0JNUEEKQ0JNUEEvQ0VERUMKQ0JNUEEvRkVCT00qTwoWUkVOQVRBIERFIEFWSVogQkFUSVNUQRo1Ly9zc2wuZ3N0YXRpYy5jb20vZG9jcy9jb21tb24vYmx1ZV9zaWxob3VldHRlOTYtMC5wbmcwwOrZmowzOMDq2ZqMM3JRChZSRU5BVEEgREUgQVZJWiBCQVRJU1RBGjcKNS8vc3NsLmdzdGF0aWMuY29tL2RvY3MvY29tbW9uL2JsdWVfc2lsaG91ZXR0ZTk2LTAucG5neACIAQGaAQYIABAAGACqAToSOEFkb3RhciBvIHBhZHLDo286PGJyPkNCTVBBPGJyPkNCTVBBL0NFREVDPGJyPkNCTVBBL0ZFQk9NsAEAuAEByAEAGMDq2ZqMMyDA6tmajDMwAEIIa2l4LmNtdDAi5woKC0FBQUJxM0VSRnNFErwKCgtBQUFCcTNFUkZzRRILQUFBQnEzRVJGc0Ua+QIKCXRleHQvaHRtbBLrAkFkZXF1YXIgY29uZm9ybWUgY2FkYSBVQVNHOjxicj48YnI+TyBFc3RhZG8gZG8gUGFyw6EsIHBvciBpbnRlcm3DqWRpbyBkbyBDb3JwbyBkZSBCb21iZWlyb3MgTWlsaXRhciBkbyBQYXLDoS48YnI+PGJyPk8gRXN0YWRvIGRvIFBhcsOhLCBwb3IgaW50ZXJtw6lkaW8gZGEgQ29vcmRlbmFkb3JpYSBFc3RhZHVhbCBkZSBEZWZlc2EgQ2l2aWwgLSBDRURFQyBkbyBDb3JwbyBkZSBCb21iZWlyb3MgTWlsaXRhciBkbyBQYXLDoS48YnI+PGJyPk8gRXN0YWRvIGRvIFBhcsOhLCBwb3IgaW50ZXJtw6lkaW8gZG8gRnVuZG8gRXNwZWNpYWwgZGUgQm9tYmVpcm9zIOKAkyBGRUJPTSBkbyBDb3JwbyBkZSBCb21iZWlyb3MgTWlsaXRhciBkbyBQYXLDoSLoAgoKdGV4dC9wbGFpbhLZAkFkZXF1YXIgY29uZm9ybWUgY2FkYSBVQVNHOgoKTyBFc3RhZG8gZG8gUGFyw6EsIHBvciBpbnRlcm3DqWRpbyBkbyBDb3JwbyBkZSBCb21iZWlyb3MgTWlsaXRhciBkbyBQYXLDoS4KCk8gRXN0YWRvIGRvIFBhcsOhLCBwb3IgaW50ZXJtw6lkaW8gZGEgQ29vcmRlbmFkb3JpYSBFc3RhZHVhbCBkZSBEZWZlc2EgQ2l2aWwgLSBDRURFQyBkbyBDb3JwbyBkZSBCb21iZWlyb3MgTWlsaXRhciBkbyBQYXLDoS4KCk8gRXN0YWRvIGRvIFBhcsOhLCBwb3IgaW50ZXJtw6lkaW8gZG8gRnVuZG8gRXNwZWNpYWwgZGUgQm9tYmVpcm9zIOKAkyBGRUJPTSBkbyBDb3JwbyBkZSBCb21iZWlyb3MgTWlsaXRhciBkbyBQYXLDoSpPChZSRU5BVEEgREUgQVZJWiBCQVRJU1RBGjUvL3NzbC5nc3RhdGljLmNvbS9kb2NzL2NvbW1vbi9ibHVlX3NpbGhvdWV0dGU5Ni0wLnBuZzCA1LC/jDM4gNSwv4wzclEKFlJFTkFUQSBERSBBVklaIEJBVElTVEEaNwo1Ly9zc2wuZ3N0YXRpYy5jb20vZG9jcy9jb21tb24vYmx1ZV9zaWxob3VldHRlOTYtMC5wbmd4AIgBAZoBBggAEAAYAKoB7gIS6wJBZGVxdWFyIGNvbmZvcm1lIGNhZGEgVUFTRzo8YnI+PGJyPk8gRXN0YWRvIGRvIFBhcsOhLCBwb3IgaW50ZXJtw6lkaW8gZG8gQ29ycG8gZGUgQm9tYmVpcm9zIE1pbGl0YXIgZG8gUGFyw6EuPGJyPjxicj5PIEVzdGFkbyBkbyBQYXLDoSwgcG9yIGludGVybcOpZGlvIGRhIENvb3JkZW5hZG9yaWEgRXN0YWR1YWwgZGUgRGVmZXNhIENpdmlsIC0gQ0VERUMgZG8gQ29ycG8gZGUgQm9tYmVpcm9zIE1pbGl0YXIgZG8gUGFyw6EuPGJyPjxicj5PIEVzdGFkbyBkbyBQYXLDoSwgcG9yIGludGVybcOpZGlvIGRvIEZ1bmRvIEVzcGVjaWFsIGRlIEJvbWJlaXJvcyDigJMgRkVCT00gZG8gQ29ycG8gZGUgQm9tYmVpcm9zIE1pbGl0YXIgZG8gUGFyw6GwAQC4AQHIAQAYgNSwv4wzIIDUsL+MMzAAQglraXguY210MTEi6QMKC0FBQUJxM0VSRnJjEr4DCgtBQUFCcTNFUkZyYxILQUFBQnEzRVJGcmMaSgoJdGV4dC9odG1sEj1BZGVxdWFyIGNhc28gYSBjYXNvLCBjb25mb3JtZSBvIFRSIGUgYSBjb21wbGV4aWRhZGUgZG8gb2JqZXRvIksKCnRleHQvcGxhaW4SPUFkZXF1YXIgY2FzbyBhIGNhc28sIGNvbmZvcm1lIG8gVFIgZSBhIGNvbXBsZXhpZGFkZSBkbyBvYmpldG8qTwoWUkVOQVRBIERFIEFWSVogQkFUSVNUQRo1Ly9zc2wuZ3N0YXRpYy5jb20vZG9jcy9jb21tb24vYmx1ZV9zaWxob3VldHRlOTYtMC5wbmcwwPGtmowzOMDxrZqMM3JRChZSRU5BVEEgREUgQVZJWiBCQVRJU1RBGjcKNS8vc3NsLmdzdGF0aWMuY29tL2RvY3MvY29tbW9uL2JsdWVfc2lsaG91ZXR0ZTk2LTAucG5neACIAQGaAQYIABAAGACqAT8SPUFkZXF1YXIgY2FzbyBhIGNhc28sIGNvbmZvcm1lIG8gVFIgZSBhIGNvbXBsZXhpZGFkZSBkbyBvYmpldG+wAQC4AQHIAQAYwPGtmowzIMDxrZqMMzAAQglraXguY210MjQi3hwKC0FBQUJxM0VSRnNBErMcCgtBQUFCcTNFUkZzQRILQUFBQnEzRVJGc0Ea9wgKCXRleHQvaHRtbBLpCEFHVTogPGJyPjxicj5Ob3RhIEV4cGxpY2F0aXZhOiBVc2UgYSByZWRhw6fDo28gZG9zIGl0ZW5zIDEyLjMsIDEyLjMuMSwgMTIuMy4yLCAxMi4zLjMgcGFyYSBvcyBjb250cmF0b3MgZGUgZm9ybmVjaW1lbnRvcyBjb250w61udW9zIGUgZGUgYWx1Z3VlbCBkZSBlcXVpcGFtZW50b3MgZSDDoCB1dGlsaXphw6fDo28gZGUgcHJvZ3JhbWFzIGRlIGluZm9ybcOhdGljYSAoYXJ0LiAxMDYsIGRhIExlaSBuLsK6IDE0LjEzMywgZGUgMjAyMSkuPGJyPjxicj4xNC4xLiBPIGNvbnRyYXRvIHNlcsOhIGV4dGludG8gcXVhbmRvIHZlbmNpZG8gbyBwcmF6byBuZWxlIGVzdGlwdWxhZG8sIGluZGVwZW5kZW50ZW1lbnRlIGRlIHRlcmVtIHNpZG8gY3VtcHJpZGFzIG91IG7Do28gYXMgb2JyaWdhw6fDtWVzIGRlIGFtYmFzIGFzIHBhcnRlcyBjb250cmFlbnRlcy48YnI+MTQuMS4xLiBPIGNvbnRyYXRvIHBvZGVyw6Egc2VyIGV4dGludG8gYW50ZXMgZG8gcHJhem8gbmVsZSBmaXhhZG8sIHNlbSDDtG51cyBwYXJhIG8gQ09OVFJBVEFOVEUsIHF1YW5kbyBlc3RlIG7Do28gZGlzcHVzZXIgZGUgY3LDqWRpdG9zIG9yw6dhbWVudMOhcmlvcyBwYXJhIHN1YSBjb250aW51aWRhZGUgb3UgcXVhbmRvIGVudGVuZGVyIHF1ZSBvIGNvbnRyYXRvIG7Do28gbWFpcyBsaGUgb2ZlcmVjZSB2YW50YWdlbS48YnI+MTQuMS4yLiBBIGV4dGluw6fDo28gbmVzdGEgaGlww7N0ZXNlIG9jb3JyZXLDoSBuYSBwcsOzeGltYSBkYXRhIGRlIGFuaXZlcnPDoXJpbyBkbyBjb250cmF0bywgZGVzZGUgcXVlIGhhamEgYSBub3RpZmljYcOnw6NvIGRvIENPTlRSQVRBRE8gcGVsbyBDT05UUkFUQU5URSBuZXNzZSBzZW50aWRvIGNvbSBwZWxvIG1lbm9zIDIgKGRvaXMpIG1lc2VzIGRlIGFudGVjZWTDqm5jaWEgZGVzc2UgZGlhLjxicj4xNC4xLjMuIENhc28gYSBub3RpZmljYcOnw6NvIGRhIG7Do28tY29udGludWlkYWRlIGRvIGNvbnRyYXRvIGRlIHF1ZSB0cmF0YSBlc3RlIHN1Yml0ZW0gb2NvcnJhIGNvbSBtZW5vcyBkZSAyIChkb2lzKSBtZXNlcyBkYSBkYXRhIGRlIGFuaXZlcnPDoXJpbywgYSBleHRpbsOnw6NvIGNvbnRyYXR1YWwgb2NvcnJlcsOhIGFww7NzIDIgKGRvaXMpIG1lc2VzIGRhIGRhdGEgZGEgY29tdW5pY2HDp8Ojby4i4wgKCnRleHQvcGxhaW4S1AhBR1U6IAoKTm90YSBFeHBsaWNhdGl2YTogVXNlIGEgcmVkYcOnw6NvIGRvcyBpdGVucyAxMi4zLCAxMi4zLjEsIDEyLjMuMiwgMTIuMy4zIHBhcmEgb3MgY29udHJhdG9zIGRlIGZvcm5lY2ltZW50b3MgY29udMOtbnVvcyBlIGRlIGFsdWd1ZWwgZGUgZXF1aXBhbWVudG9zIGUgw6AgdXRpbGl6YcOnw6NvIGRlIHByb2dyYW1hcyBkZSBpbmZvcm3DoXRpY2EgKGFydC4gMTA2LCBkYSBMZWkgbi7CuiAxNC4xMzMsIGRlIDIwMjEpLgoKMTQuMS4gTyBjb250cmF0byBzZXLDoSBleHRpbnRvIHF1YW5kbyB2ZW5jaWRvIG8gcHJhem8gbmVsZSBlc3RpcHVsYWRvLCBpbmRlcGVuZGVudGVtZW50ZSBkZSB0ZXJlbSBzaWRvIGN1bXByaWRhcyBvdSBuw6NvIGFzIG9icmlnYcOnw7VlcyBkZSBhbWJhcyBhcyBwYXJ0ZXMgY29udHJhZW50ZXMuCjE0LjEuMS4gTyBjb250cmF0byBwb2RlcsOhIHNlciBleHRpbnRvIGFudGVzIGRvIHByYXpvIG5lbGUgZml4YWRvLCBzZW0gw7RudXMgcGFyYSBvIENPTlRSQVRBTlRFLCBxdWFuZG8gZXN0ZSBuw6NvIGRpc3B1c2VyIGRlIGNyw6lkaXRvcyBvcsOnYW1lbnTDoXJpb3MgcGFyYSBzdWEgY29udGludWlkYWRlIG91IHF1YW5kbyBlbnRlbmRlciBxdWUgbyBjb250cmF0byBuw6NvIG1haXMgbGhlIG9mZXJlY2UgdmFudGFnZW0uCjE0LjEuMi4gQSBleHRpbsOnw6NvIG5lc3RhIGhpcMOzdGVzZSBvY29ycmVyw6EgbmEgcHLDs3hpbWEgZGF0YSBkZSBhbml2ZXJzw6FyaW8gZG8gY29udHJhdG8sIGRlc2RlIHF1ZSBoYWphIGEgbm90aWZpY2HDp8OjbyBkbyBDT05UUkFUQURPIHBlbG8gQ09OVFJBVEFOVEUgbmVzc2Ugc2VudGlkbyBjb20gcGVsbyBtZW5vcyAyIChkb2lzKSBtZXNlcyBkZSBhbnRlY2Vkw6puY2lhIGRlc3NlIGRpYS4KMTQuMS4zLiBDYXNvIGEgbm90aWZpY2HDp8OjbyBkYSBuw6NvLWNvbnRpbnVpZGFkZSBkbyBjb250cmF0byBkZSBxdWUgdHJhdGEgZXN0ZSBzdWJpdGVtIG9jb3JyYSBjb20gbWVub3MgZGUgMiAoZG9pcykgbWVzZXMgZGEgZGF0YSBkZSBhbml2ZXJzw6FyaW8sIGEgZXh0aW7Dp8OjbyBjb250cmF0dWFsIG9jb3JyZXLDoSBhcMOzcyAyIChkb2lzKSBtZXNlcyBkYSBkYXRhIGRhIGNvbXVuaWNhw6fDo28uKk8KFlJFTkFUQSBERSBBVklaIEJBVElTVEEaNS8vc3NsLmdzdGF0aWMuY29tL2RvY3MvY29tbW9uL2JsdWVfc2lsaG91ZXR0ZTk2LTAucG5nMKDWlr2MMzig1pa9jDNyUQoWUkVOQVRBIERFIEFWSVogQkFUSVNUQRo3CjUvL3NzbC5nc3RhdGljLmNvbS9kb2NzL2NvbW1vbi9ibHVlX3NpbGhvdWV0dGU5Ni0wLnBuZ3gAiAEBmgEGCAAQABgAqgHsCBLpCEFHVTogPGJyPjxicj5Ob3RhIEV4cGxpY2F0aXZhOiBVc2UgYSByZWRhw6fDo28gZG9zIGl0ZW5zIDEyLjMsIDEyLjMuMSwgMTIuMy4yLCAxMi4zLjMgcGFyYSBvcyBjb250cmF0b3MgZGUgZm9ybmVjaW1lbnRvcyBjb250w61udW9zIGUgZGUgYWx1Z3VlbCBkZSBlcXVpcGFtZW50b3MgZSDDoCB1dGlsaXphw6fDo28gZGUgcHJvZ3JhbWFzIGRlIGluZm9ybcOhdGljYSAoYXJ0LiAxMDYsIGRhIExlaSBuLsK6IDE0LjEzMywgZGUgMjAyMSkuPGJyPjxicj4xNC4xLiBPIGNvbnRyYXRvIHNlcsOhIGV4dGludG8gcXVhbmRvIHZlbmNpZG8gbyBwcmF6byBuZWxlIGVzdGlwdWxhZG8sIGluZGVwZW5kZW50ZW1lbnRlIGRlIHRlcmVtIHNpZG8gY3VtcHJpZGFzIG91IG7Do28gYXMgb2JyaWdhw6fDtWVzIGRlIGFtYmFzIGFzIHBhcnRlcyBjb250cmFlbnRlcy48YnI+MTQuMS4xLiBPIGNvbnRyYXRvIHBvZGVyw6Egc2VyIGV4dGludG8gYW50ZXMgZG8gcHJhem8gbmVsZSBmaXhhZG8sIHNlbSDDtG51cyBwYXJhIG8gQ09OVFJBVEFOVEUsIHF1YW5kbyBlc3RlIG7Do28gZGlzcHVzZXIgZGUgY3LDqWRpdG9zIG9yw6dhbWVudMOhcmlvcyBwYXJhIHN1YSBjb250aW51aWRhZGUgb3UgcXVhbmRvIGVudGVuZGVyIHF1ZSBvIGNvbnRyYXRvIG7Do28gbWFpcyBsaGUgb2ZlcmVjZSB2YW50YWdlbS48YnI+MTQuMS4yLiBBIGV4dGluw6fDo28gbmVzdGEgaGlww7N0ZXNlIG9jb3JyZXLDoSBuYSBwcsOzeGltYSBkYXRhIGRlIGFuaXZlcnPDoXJpbyBkbyBjb250cmF0bywgZGVzZGUgcXVlIGhhamEgYSBub3RpZmljYcOnw6NvIGRvIENPTlRSQVRBRE8gcGVsbyBDT05UUkFUQU5URSBuZXNzZSBzZW50aWRvIGNvbSBwZWxvIG1lbm9zIDIgKGRvaXMpIG1lc2VzIGRlIGFudGVjZWTDqm5jaWEgZGVzc2UgZGlhLjxicj4xNC4xLjMuIENhc28gYSBub3RpZmljYcOnw6NvIGRhIG7Do28tY29udGludWlkYWRlIGRvIGNvbnRyYXRvIGRlIHF1ZSB0cmF0YSBlc3RlIHN1Yml0ZW0gb2NvcnJhIGNvbSBtZW5vcyBkZSAyIChkb2lzKSBtZXNlcyBkYSBkYXRhIGRlIGFuaXZlcnPDoXJpbywgYSBleHRpbsOnw6NvIGNvbnRyYXR1YWwgb2NvcnJlcsOhIGFww7NzIDIgKGRvaXMpIG1lc2VzIGRhIGRhdGEgZGEgY29tdW5pY2HDp8Ojby6wAQC4AQHIAQAYoNaWvYwzIKDWlr2MMzAAQglraXguY210MjgilAgKC0FBQUJxM0VSRnF3EukHCgtBQUFCcTNFUkZxdxILQUFBQnEzRVJGcXcahAIKCXRleHQvaHRtbBL2AUFHVTogPGJyPjxicj5Ob3RhIEV4cGxpY2F0aXZhOiBVc2UgYSByZWRhw6fDo28gZG9zIGl0ZW5zIDE0LjEsIDE0LjIsIDE0LjMgZSAxNC40IHBhcmEgb3MgY29udHJhdG9zIHBvciBlc2NvcG8gKG8gb2JqZXRvIMOpIGNvbnRyYXRhZG8gcGFyYSBzZXIgcHJlc3RhZG8gZW0gZGV0ZXJtaW5hZG8gcHJhem8pLiBFeC4gQ29tcHJhIHBvbnR1YWwgZGUgc29mw6FzLCBhcXVpc2nDp8OjbyBlIGluc3RhbGHDp8OjbyBkZSBzZXJ2aWRvcmVzLiL/AQoKdGV4dC9wbGFpbhLwAUFHVTogCgpOb3RhIEV4cGxpY2F0aXZhOiBVc2UgYSByZWRhw6fDo28gZG9zIGl0ZW5zIDE0LjEsIDE0LjIsIDE0LjMgZSAxNC40IHBhcmEgb3MgY29udHJhdG9zIHBvciBlc2NvcG8gKG8gb2JqZXRvIMOpIGNvbnRyYXRhZG8gcGFyYSBzZXIgcHJlc3RhZG8gZW0gZGV0ZXJtaW5hZG8gcHJhem8pLiBFeC4gQ29tcHJhIHBvbnR1YWwgZGUgc29mw6FzLCBhcXVpc2nDp8OjbyBlIGluc3RhbGHDp8OjbyBkZSBzZXJ2aWRvcmVzLipPChZSRU5BVEEgREUgQVZJWiBCQVRJU1RBGjUvL3NzbC5nc3RhdGljLmNvbS9kb2NzL2NvbW1vbi9ibHVlX3NpbGhvdWV0dGU5Ni0wLnBuZzCg1pa9jDM4oNaWvYwzclEKFlJFTkFUQSBERSBBVklaIEJBVElTVEEaNwo1Ly9zc2wuZ3N0YXRpYy5jb20vZG9jcy9jb21tb24vYmx1ZV9zaWxob3VldHRlOTYtMC5wbmd4AIgBAZoBBggAEAAYAKoB+QES9gFBR1U6IDxicj48YnI+Tm90YSBFeHBsaWNhdGl2YTogVXNlIGEgcmVkYcOnw6NvIGRvcyBpdGVucyAxNC4xLCAxNC4yLCAxNC4zIGUgMTQuNCBwYXJhIG9zIGNvbnRyYXRvcyBwb3IgZXNjb3BvIChvIG9iamV0byDDqSBjb250cmF0YWRvIHBhcmEgc2VyIHByZXN0YWRvIGVtIGRldGVybWluYWRvIHByYXpvKS4gRXguIENvbXByYSBwb250dWFsIGRlIHNvZsOhcywgYXF1aXNpw6fDo28gZSBpbnN0YWxhw6fDo28gZGUgc2Vydmlkb3Jlcy6wAQC4AQHIAQAYoNaWvYwzIKDWlr2MMzAAQglraXguY210MjkioQMKC0FBQUJxM0VSRnJZEvYCCgtBQUFCcTNFUkZyWRILQUFBQnEzRVJGclkaMgoJdGV4dC9odG1sEiVEZXZlIGVzdMOhIGVtIGNvbnNvbsOjbmNpYSBjb20gYSBjYXBhIjMKCnRleHQvcGxhaW4SJURldmUgZXN0w6EgZW0gY29uc29uw6NuY2lhIGNvbSBhIGNhcGEqTwoWUkVOQVRBIERFIEFWSVogQkFUSVNUQRo1Ly9zc2wuZ3N0YXRpYy5jb20vZG9jcy9jb21tb24vYmx1ZV9zaWxob3VldHRlOTYtMC5wbmcwwPzcl4wzOMD83JeMM3JRChZSRU5BVEEgREUgQVZJWiBCQVRJU1RBGjcKNS8vc3NsLmdzdGF0aWMuY29tL2RvY3MvY29tbW9uL2JsdWVfc2lsaG91ZXR0ZTk2LTAucG5neACIAQGaAQYIABAAGACqAScSJURldmUgZXN0w6EgZW0gY29uc29uw6NuY2lhIGNvbSBhIGNhcGGwAQC4AQHIAQAYwPzcl4wzIMD83JeMMzAAQglraXguY210MTkixQMKC0FBQUJxM0VSRnE4EpoDCgtBQUFCcTNFUkZxOBILQUFBQnEzRVJGcTgaPgoJdGV4dC9odG1sEjFQcmVlbmNoZXIgY29uZm9ybWUgY2FkYSBjYXNvLCB0ZW0gcXVlIG9saGFyIG5vIFRSIj8KCnRleHQvcGxhaW4SMVByZWVuY2hlciBjb25mb3JtZSBjYWRhIGNhc28sIHRlbSBxdWUgb2xoYXIgbm8gVFIqTwoWUkVOQVRBIERFIEFWSVogQkFUSVNUQRo1Ly9zc2wuZ3N0YXRpYy5jb20vZG9jcy9jb21tb24vYmx1ZV9zaWxob3VldHRlOTYtMC5wbmcwoOnVmIwzOKDp1ZiMM3JRChZSRU5BVEEgREUgQVZJWiBCQVRJU1RBGjcKNS8vc3NsLmdzdGF0aWMuY29tL2RvY3MvY29tbW9uL2JsdWVfc2lsaG91ZXR0ZTk2LTAucG5neACIAQGaAQYIABAAGACqATMSMVByZWVuY2hlciBjb25mb3JtZSBjYWRhIGNhc28sIHRlbSBxdWUgb2xoYXIgbm8gVFKwAQC4AQHIAQAYoOnVmIwzIKDp1ZiMMzAAQglraXguY210MjEi6QMKC0FBQUJxM0VSRnJVEr4DCgtBQUFCcTNFUkZyVRILQUFBQnEzRVJGclUaSgoJdGV4dC9odG1sEj1BZGVxdWFyIGNhc28gYSBjYXNvLCBjb25mb3JtZSBvIFRSIGUgYSBjb21wbGV4aWRhZGUgZG8gb2JqZXRvIksKCnRleHQvcGxhaW4SPUFkZXF1YXIgY2FzbyBhIGNhc28sIGNvbmZvcm1lIG8gVFIgZSBhIGNvbXBsZXhpZGFkZSBkbyBvYmpldG8qTwoWUkVOQVRBIERFIEFWSVogQkFUSVNUQRo1Ly9zc2wuZ3N0YXRpYy5jb20vZG9jcy9jb21tb24vYmx1ZV9zaWxob3VldHRlOTYtMC5wbmcwwPGtmowzOMDxrZqMM3JRChZSRU5BVEEgREUgQVZJWiBCQVRJU1RBGjcKNS8vc3NsLmdzdGF0aWMuY29tL2RvY3MvY29tbW9uL2JsdWVfc2lsaG91ZXR0ZTk2LTAucG5neACIAQGaAQYIABAAGACqAT8SPUFkZXF1YXIgY2FzbyBhIGNhc28sIGNvbmZvcm1lIG8gVFIgZSBhIGNvbXBsZXhpZGFkZSBkbyBvYmpldG+wAQC4AQHIAQAYwPGtmowzIMDxrZqMMzAAQglraXguY210MjYi8AQKC0FBQUJxM0VSRnE0EsUECgtBQUFCcTNFUkZxNBILQUFBQnEzRVJGcTQadwoJdGV4dC9odG1sEmpTZSB0cmF0YXIgZGUgcHJvY2Vzc28gZW0gcXVlIHNlamFtb3MgUEFSVMONQ0lQRVMsIGRldmUgYWRlcXVhciBlc3RlcyBkYWRvcyBwYXJhIG8gcXVlIGNvbnN0YXIgbm8gUFJPQ0VTU08uIngKCnRleHQvcGxhaW4SalNlIHRyYXRhciBkZSBwcm9jZXNzbyBlbSBxdWUgc2VqYW1vcyBQQVJUw41DSVBFUywgZGV2ZSBhZGVxdWFyIGVzdGVzIGRhZG9zIHBhcmEgbyBxdWUgY29uc3RhciBubyBQUk9DRVNTTy4qTwoWUkVOQVRBIERFIEFWSVogQkFUSVNUQRo1Ly9zc2wuZ3N0YXRpYy5jb20vZG9jcy9jb21tb24vYmx1ZV9zaWxob3VldHRlOTYtMC5wbmcwwL7KlowzOMC+ypaMM3JRChZSRU5BVEEgREUgQVZJWiBCQVRJU1RBGjcKNS8vc3NsLmdzdGF0aWMuY29tL2RvY3MvY29tbW9uL2JsdWVfc2lsaG91ZXR0ZTk2LTAucG5neACIAQGaAQYIABAAGACqAWwSalNlIHRyYXRhciBkZSBwcm9jZXNzbyBlbSBxdWUgc2VqYW1vcyBQQVJUw41DSVBFUywgZGV2ZSBhZGVxdWFyIGVzdGVzIGRhZG9zIHBhcmEgbyBxdWUgY29uc3RhciBubyBQUk9DRVNTTy6wAQC4AQHIAQAYwL7KlowzIMC+ypaMMzAAQglraXguY210MTMirRgKC0FBQUJya3laSDBBEoIYCgtBQUFCcmt5WkgwQRILQUFBQnJreVpIMEEaxgcKCXRleHQvaHRtbBK4B1RFWFRPIEFHVSAtIFBBUkEgQURFUVVBUiBDT05GT1JNRSBDQURBIENBU08sIE5PIFFVRSBFU1RJVkVSIFBSRVZJU1RPIE5PIFRSPGJyPjxicj5PIHByYXpvIGRlIHZpZ8OqbmNpYSBkYSBjb250cmF0YcOnw6NvIMOpIGRlIFtpbmRpY2FyIG8gcHJhem9dIGNvbnRhZG9zIGRvKGEpIFtpbmRpY2FyIG8gdGVybW8gaW5pY2lhbCBkYSB2aWfDqm5jaWFdLCBuYSBmb3JtYSBkbyBhcnRpZ28gMTA1IGRhIExlaSBuwrAgMTQuMTMzLCBkZSAyMDIxLjxicj5Ob3RhIEV4cGxpY2F0aXZhOiBVdGlsaXphciBlc3RhIHJlZGHDp8OjbyBwYXJhIGNvbnRyYXRvcyBkZSBlc2NvcG8sIGN1amEgdmlnw6puY2lhIHNlIGZ1bmRhbWVudGEgbm8gYXJ0LiAxMDUgZGEgTGVpIG4uwrogMTQuMTMzLCBkZSAyMDIxLjxicj48YnI+PGJyPk9VPGJyPk8gcHJhem8gZGUgdmlnw6puY2lhIGRhIGNvbnRyYXRhw6fDo28gw6kgZGUgW2luZGljYXIgbyBwcmF6b10gY29udGFkb3MgZG8oYSkgW2luZGljYXIgbyB0ZXJtbyBpbmljaWFsIGRhIHZpZ8OqbmNpYV0sIHByb3Jyb2fDoXZlbCBzdWNlc3NpdmFtZW50ZSBwb3IgYXTDqSAxMCBhbm9zLCBuYSBmb3JtYSBkb3MgYXJ0aWdvcyAxMDYgZSAxMDcgZGEgTGVpIG7CsCAxNC4xMzMsIGRlIDIwMjEuPGJyPk5vdGEgRXhwbGljYXRpdmEgMTogSW5kaWNhciBvIHByYXpvIGluaWNpYWwgZGEgY29udHJhdGHDp8OjbywgcXVlIGRldmVyw6Egc2VyIGRlIG5vIG3DoXhpbW8gNSAoY2luY28pIGFub3MuPGJyPk5vdGEgRXhwbGljYXRpdmEgMjogVXRpbGl6YXIgZXN0YSByZWRhw6fDo28gcGFyYSBjb250cmF0YcOnw7VlcyBkZSBmb3JuZWNpbWVudG9zIGNvbnTDrW51b3MsIGNvbmZvcm1lIGFydHMuIDEwNiBlIDEwNyBkYSBMZWkgbsK6IDE0LjEzMywgZGUgMjAyMSwgY29uc2lkZXJhbmRvIGEgZGVmaW5pw6fDo28gZG8gYXJ0LiA2wrosIFhWIGRvIG1lc21vIG5vcm1hdGl2by4irAcKCnRleHQvcGxhaW4SnQdURVhUTyBBR1UgLSBQQVJBIEFERVFVQVIgQ09ORk9STUUgQ0FEQSBDQVNPLCBOTyBRVUUgRVNUSVZFUiBQUkVWSVNUTyBOTyBUUgoKTyBwcmF6byBkZSB2aWfDqm5jaWEgZGEgY29udHJhdGHDp8OjbyDDqSBkZSBbaW5kaWNhciBvIHByYXpvXSBjb250YWRvcyBkbyhhKSBbaW5kaWNhciBvIHRlcm1vIGluaWNpYWwgZGEgdmlnw6puY2lhXSwgbmEgZm9ybWEgZG8gYXJ0aWdvIDEwNSBkYSBMZWkgbsKwIDE0LjEzMywgZGUgMjAyMS4KTm90YSBFeHBsaWNhdGl2YTogVXRpbGl6YXIgZXN0YSByZWRhw6fDo28gcGFyYSBjb250cmF0b3MgZGUgZXNjb3BvLCBjdWphIHZpZ8OqbmNpYSBzZSBmdW5kYW1lbnRhIG5vIGFydC4gMTA1IGRhIExlaSBuLsK6IDE0LjEzMywgZGUgMjAyMS4KCgpPVQpPIHByYXpvIGRlIHZpZ8OqbmNpYSBkYSBjb250cmF0YcOnw6NvIMOpIGRlIFtpbmRpY2FyIG8gcHJhem9dIGNvbnRhZG9zIGRvKGEpIFtpbmRpY2FyIG8gdGVybW8gaW5pY2lhbCBkYSB2aWfDqm5jaWFdLCBwcm9ycm9nw6F2ZWwgc3VjZXNzaXZhbWVudGUgcG9yIGF0w6kgMTAgYW5vcywgbmEgZm9ybWEgZG9zIGFydGlnb3MgMTA2IGUgMTA3IGRhIExlaSBuwrAgMTQuMTMzLCBkZSAyMDIxLgpOb3RhIEV4cGxpY2F0aXZhIDE6IEluZGljYXIgbyBwcmF6byBpbmljaWFsIGRhIGNvbnRyYXRhw6fDo28sIHF1ZSBkZXZlcsOhIHNlciBkZSBubyBtw6F4aW1vIDUgKGNpbmNvKSBhbm9zLgpOb3RhIEV4cGxpY2F0aXZhIDI6IFV0aWxpemFyIGVzdGEgcmVkYcOnw6NvIHBhcmEgY29udHJhdGHDp8O1ZXMgZGUgZm9ybmVjaW1lbnRvcyBjb250w61udW9zLCBjb25mb3JtZSBhcnRzLiAxMDYgZSAxMDcgZGEgTGVpIG7CuiAxNC4xMzMsIGRlIDIwMjEsIGNvbnNpZGVyYW5kbyBhIGRlZmluacOnw6NvIGRvIGFydC4gNsK6LCBYViBkbyBtZXNtbyBub3JtYXRpdm8uKkMKCk9mZmljZSAzNjUaNS8vc3NsLmdzdGF0aWMuY29tL2RvY3MvY29tbW9uL2JsdWVfc2lsaG91ZXR0ZTk2LTAucG5nMKDctNCQMzig3LTQkDNyRQoKT2ZmaWNlIDM2NRo3CjUvL3NzbC5nc3RhdGljLmNvbS9kb2NzL2NvbW1vbi9ibHVlX3NpbGhvdWV0dGU5Ni0wLnBuZ3gAiAEBmgEGCAAQABgAqgG7BxK4B1RFWFRPIEFHVSAtIFBBUkEgQURFUVVBUiBDT05GT1JNRSBDQURBIENBU08sIE5PIFFVRSBFU1RJVkVSIFBSRVZJU1RPIE5PIFRSPGJyPjxicj5PIHByYXpvIGRlIHZpZ8OqbmNpYSBkYSBjb250cmF0YcOnw6NvIMOpIGRlIFtpbmRpY2FyIG8gcHJhem9dIGNvbnRhZG9zIGRvKGEpIFtpbmRpY2FyIG8gdGVybW8gaW5pY2lhbCBkYSB2aWfDqm5jaWFdLCBuYSBmb3JtYSBkbyBhcnRpZ28gMTA1IGRhIExlaSBuwrAgMTQuMTMzLCBkZSAyMDIxLjxicj5Ob3RhIEV4cGxpY2F0aXZhOiBVdGlsaXphciBlc3RhIHJlZGHDp8OjbyBwYXJhIGNvbnRyYXRvcyBkZSBlc2NvcG8sIGN1amEgdmlnw6puY2lhIHNlIGZ1bmRhbWVudGEgbm8gYXJ0LiAxMDUgZGEgTGVpIG4uwrogMTQuMTMzLCBkZSAyMDIxLjxicj48YnI+PGJyPk9VPGJyPk8gcHJhem8gZGUgdmlnw6puY2lhIGRhIGNvbnRyYXRhw6fDo28gw6kgZGUgW2luZGljYXIgbyBwcmF6b10gY29udGFkb3MgZG8oYSkgW2luZGljYXIgbyB0ZXJtbyBpbmljaWFsIGRhIHZpZ8OqbmNpYV0sIHByb3Jyb2fDoXZlbCBzdWNlc3NpdmFtZW50ZSBwb3IgYXTDqSAxMCBhbm9zLCBuYSBmb3JtYSBkb3MgYXJ0aWdvcyAxMDYgZSAxMDcgZGEgTGVpIG7CsCAxNC4xMzMsIGRlIDIwMjEuPGJyPk5vdGEgRXhwbGljYXRpdmEgMTogSW5kaWNhciBvIHByYXpvIGluaWNpYWwgZGEgY29udHJhdGHDp8OjbywgcXVlIGRldmVyw6Egc2VyIGRlIG5vIG3DoXhpbW8gNSAoY2luY28pIGFub3MuPGJyPk5vdGEgRXhwbGljYXRpdmEgMjogVXRpbGl6YXIgZXN0YSByZWRhw6fDo28gcGFyYSBjb250cmF0YcOnw7VlcyBkZSBmb3JuZWNpbWVudG9zIGNvbnTDrW51b3MsIGNvbmZvcm1lIGFydHMuIDEwNiBlIDEwNyBkYSBMZWkgbsK6IDE0LjEzMywgZGUgMjAyMSwgY29uc2lkZXJhbmRvIGEgZGVmaW5pw6fDo28gZG8gYXJ0LiA2wrosIFhWIGRvIG1lc21vIG5vcm1hdGl2by6wAQC4AQHIAQAYoNy00JAzIKDctNCQMzAAQglraXguY210MzAiwgMKC0FBQUJxM0VSRnJREpcDCgtBQUFCcTNFUkZyURILQUFBQnEzRVJGclEaPQoJdGV4dC9odG1sEjBFc3RhcyBpbmZvcm1hw6fDtWVzIGNvbnN0YW0gbmEgcHJvcG9zdGEgYXByb3ZhZGEiPgoKdGV4dC9wbGFpbhIwRXN0YXMgaW5mb3JtYcOnw7VlcyBjb25zdGFtIG5hIHByb3Bvc3RhIGFwcm92YWRhKk8KFlJFTkFUQSBERSBBVklaIEJBVElTVEEaNS8vc3NsLmdzdGF0aWMuY29tL2RvY3MvY29tbW9uL2JsdWVfc2lsaG91ZXR0ZTk2LTAucG5nMKCWx5iMMziglseYjDNyUQoWUkVOQVRBIERFIEFWSVogQkFUSVNUQRo3CjUvL3NzbC5nc3RhdGljLmNvbS9kb2NzL2NvbW1vbi9ibHVlX3NpbGhvdWV0dGU5Ni0wLnBuZ3gAiAEBmgEGCAAQABgAqgEyEjBFc3RhcyBpbmZvcm1hw6fDtWVzIGNvbnN0YW0gbmEgcHJvcG9zdGEgYXByb3ZhZGGwAQC4AQHIAQAYoJbHmIwzIKCWx5iMMzAAQglraXguY210MjAimAQKC0FBQUJxM0VSRnEwEu4DCgtBQUFCcTNFUkZxMBILQUFBQnEzRVJGcTAaWgoJdGV4dC9odG1sEk1WZXJpZmljYXIgYXMgZGlzcG9zacOnw7VlcyBuYSBjYXBhIGRvIGVkaXRhbCBwYXJhIGF1eGlsaWFyIGUgcmF0aWZpY2FyIG5vIFRSLiJbCgp0ZXh0L3BsYWluEk1WZXJpZmljYXIgYXMgZGlzcG9zacOnw7VlcyBuYSBjYXBhIGRvIGVkaXRhbCBwYXJhIGF1eGlsaWFyIGUgcmF0aWZpY2FyIG5vIFRSLipPChZSRU5BVEEgREUgQVZJWiBCQVRJU1RBGjUvL3NzbC5nc3RhdGljLmNvbS9kb2NzL2NvbW1vbi9ibHVlX3NpbGhvdWV0dGU5Ni0wLnBuZzCgmqKWjDM4oJqilowzclEKFlJFTkFUQSBERSBBVklaIEJBVElTVEEaNwo1Ly9zc2wuZ3N0YXRpYy5jb20vZG9jcy9jb21tb24vYmx1ZV9zaWxob3VldHRlOTYtMC5wbmd4AIgBAZoBBggAEAAYAKoBTxJNVmVyaWZpY2FyIGFzIGRpc3Bvc2nDp8O1ZXMgbmEgY2FwYSBkbyBlZGl0YWwgcGFyYSBhdXhpbGlhciBlIHJhdGlmaWNhciBubyBUUi6wAQC4AQHIAQAYoJqilowzIKCaopaMMzAAQghraXguY210OSKrBAoLQUFBQnEzRVJGc28SgAQKC0FBQUJxM0VSRnNvEgtBQUFCcTNFUkZzbxpgCgl0ZXh0L2h0bWwSU0FxdWkgZW50cmFtIG9zIGRhZG9zIGRvIENCTVBBLCBwcmVjaXNhIGFsaW5oYXIgY29tIGEgREYgbyBwcm9jZWRpbWVudG8sIGNhc28gYSBjYXNvImEKCnRleHQvcGxhaW4SU0FxdWkgZW50cmFtIG9zIGRhZG9zIGRvIENCTVBBLCBwcmVjaXNhIGFsaW5oYXIgY29tIGEgREYgbyBwcm9jZWRpbWVudG8sIGNhc28gYSBjYXNvKk8KFlJFTkFUQSBERSBBVklaIEJBVElTVEEaNS8vc3NsLmdzdGF0aWMuY29tL2RvY3MvY29tbW9uL2JsdWVfc2lsaG91ZXR0ZTk2LTAucG5nMOCS3ZiMMzjgkt2YjDNyUQoWUkVOQVRBIERFIEFWSVogQkFUSVNUQRo3CjUvL3NzbC5nc3RhdGljLmNvbS9kb2NzL2NvbW1vbi9ibHVlX3NpbGhvdWV0dGU5Ni0wLnBuZ3gAiAEBmgEGCAAQABgAqgFVElNBcXVpIGVudHJhbSBvcyBkYWRvcyBkbyBDQk1QQSwgcHJlY2lzYSBhbGluaGFyIGNvbSBhIERGIG8gcHJvY2VkaW1lbnRvLCBjYXNvIGEgY2Fzb7ABALgBAcgBABjgkt2YjDMg4JLdmIwzMABCCWtpeC5jbXQyMyKZBAoLQUFBQnEzRVJGck0S7gMKC0FBQUJxM0VSRnJNEgtBQUFCcTNFUkZyTRpaCgl0ZXh0L2h0bWwSTVZlcmlmaWNhciBhcyBkaXNwb3Npw6fDtWVzIG5hIGNhcGEgZG8gZWRpdGFsIHBhcmEgYXV4aWxpYXIgZSByYXRpZmljYXIgbm8gVFIuIlsKCnRleHQvcGxhaW4STVZlcmlmaWNhciBhcyBkaXNwb3Npw6fDtWVzIG5hIGNhcGEgZG8gZWRpdGFsIHBhcmEgYXV4aWxpYXIgZSByYXRpZmljYXIgbm8gVFIuKk8KFlJFTkFUQSBERSBBVklaIEJBVElTVEEaNS8vc3NsLmdzdGF0aWMuY29tL2RvY3MvY29tbW9uL2JsdWVfc2lsaG91ZXR0ZTk2LTAucG5nMKCaopaMMzigmqKWjDNyUQoWUkVOQVRBIERFIEFWSVogQkFUSVNUQRo3CjUvL3NzbC5nc3RhdGljLmNvbS9kb2NzL2NvbW1vbi9ibHVlX3NpbGhvdWV0dGU5Ni0wLnBuZ3gAiAEBmgEGCAAQABgAqgFPEk1WZXJpZmljYXIgYXMgZGlzcG9zacOnw7VlcyBuYSBjYXBhIGRvIGVkaXRhbCBwYXJhIGF1eGlsaWFyIGUgcmF0aWZpY2FyIG5vIFRSLrABALgBAcgBABigmqKWjDMgoJqilowzMABCCWtpeC5jbXQxMCL6BQoLQUFBQnEzRVJGc2sSzwUKC0FBQUJxM0VSRnNrEgtBQUFCcTNFUkZzaxqlAQoJdGV4dC9odG1sEpcBUHJlZW5jaGVyIGNvbSBvcyBkYWRvcyBkYSBlbXByZXNhLCByYXRpZmljYWRvIGNvbSBvIGNhcnTDo28gQ05QSiwgUVNBIGUgUkcuPGJyPlNlIGZvciBkbyBDQk1QQSBlc3RlcyBkYWRvcyBwb2RlbSBzZXIgYWNlc3NhZG9zIG5hIEFSUCBlL291IG5hIHByb3Bvc3RhLiKjAQoKdGV4dC9wbGFpbhKUAVByZWVuY2hlciBjb20gb3MgZGFkb3MgZGEgZW1wcmVzYSwgcmF0aWZpY2FkbyBjb20gbyBjYXJ0w6NvIENOUEosIFFTQSBlIFJHLgpTZSBmb3IgZG8gQ0JNUEEgZXN0ZXMgZGFkb3MgcG9kZW0gc2VyIGFjZXNzYWRvcyBuYSBBUlAgZS9vdSBuYSBwcm9wb3N0YS4qTwoWUkVOQVRBIERFIEFWSVogQkFUSVNUQRo1Ly9zc2wuZ3N0YXRpYy5jb20vZG9jcy9jb21tb24vYmx1ZV9zaWxob3VldHRlOTYtMC5wbmcwoLnrlowzOKC565aMM3JRChZSRU5BVEEgREUgQVZJWiBCQVRJU1RBGjcKNS8vc3NsLmdzdGF0aWMuY29tL2RvY3MvY29tbW9uL2JsdWVfc2lsaG91ZXR0ZTk2LTAucG5neACIAQGaAQYIABAAGACqAZoBEpcBUHJlZW5jaGVyIGNvbSBvcyBkYWRvcyBkYSBlbXByZXNhLCByYXRpZmljYWRvIGNvbSBvIGNhcnTDo28gQ05QSiwgUVNBIGUgUkcuPGJyPlNlIGZvciBkbyBDQk1QQSBlc3RlcyBkYWRvcyBwb2RlbSBzZXIgYWNlc3NhZG9zIG5hIEFSUCBlL291IG5hIHByb3Bvc3RhLrABALgBAcgBABigueuWjDMgoLnrlowzMABCCWtpeC5jbXQxMiKYBAoLQUFBQnEzRVJGckkS7gMKC0FBQUJxM0VSRnJJEgtBQUFCcTNFUkZySRpaCgl0ZXh0L2h0bWwSTVZlcmlmaWNhciBhcyBkaXNwb3Npw6fDtWVzIG5hIGNhcGEgZG8gZWRpdGFsIHBhcmEgYXV4aWxpYXIgZSByYXRpZmljYXIgbm8gVFIuIlsKCnRleHQvcGxhaW4STVZlcmlmaWNhciBhcyBkaXNwb3Npw6fDtWVzIG5hIGNhcGEgZG8gZWRpdGFsIHBhcmEgYXV4aWxpYXIgZSByYXRpZmljYXIgbm8gVFIuKk8KFlJFTkFUQSBERSBBVklaIEJBVElTVEEaNS8vc3NsLmdzdGF0aWMuY29tL2RvY3MvY29tbW9uL2JsdWVfc2lsaG91ZXR0ZTk2LTAucG5nMMDFnpaMMzjAxZ6WjDNyUQoWUkVOQVRBIERFIEFWSVogQkFUSVNUQRo3CjUvL3NzbC5nc3RhdGljLmNvbS9kb2NzL2NvbW1vbi9ibHVlX3NpbGhvdWV0dGU5Ni0wLnBuZ3gAiAEBmgEGCAAQABgAqgFPEk1WZXJpZmljYXIgYXMgZGlzcG9zacOnw7VlcyBuYSBjYXBhIGRvIGVkaXRhbCBwYXJhIGF1eGlsaWFyIGUgcmF0aWZpY2FyIG5vIFRSLrABALgBAcgBABjAxZ6WjDMgwMWelowzMABCCGtpeC5jbXQ1IukDCgtBQUFCcTNFUkZzZxK+AwoLQUFBQnEzRVJGc2cSC0FBQUJxM0VSRnNnGkoKCXRleHQvaHRtbBI9QWRlcXVhciBjYXNvIGEgY2FzbywgY29uZm9ybWUgbyBUUiBlIGEgY29tcGxleGlkYWRlIGRvIG9iamV0byJLCgp0ZXh0L3BsYWluEj1BZGVxdWFyIGNhc28gYSBjYXNvLCBjb25mb3JtZSBvIFRSIGUgYSBjb21wbGV4aWRhZGUgZG8gb2JqZXRvKk8KFlJFTkFUQSBERSBBVklaIEJBVElTVEEaNS8vc3NsLmdzdGF0aWMuY29tL2RvY3MvY29tbW9uL2JsdWVfc2lsaG91ZXR0ZTk2LTAucG5nMMDxrZqMMzjA8a2ajDNyUQoWUkVOQVRBIERFIEFWSVogQkFUSVNUQRo3CjUvL3NzbC5nc3RhdGljLmNvbS9kb2NzL2NvbW1vbi9ibHVlX3NpbGhvdWV0dGU5Ni0wLnBuZ3gAiAEBmgEGCAAQABgAqgE/Ej1BZGVxdWFyIGNhc28gYSBjYXNvLCBjb25mb3JtZSBvIFRSIGUgYSBjb21wbGV4aWRhZGUgZG8gb2JqZXRvsAEAuAEByAEAGMDxrZqMMyDA8a2ajDMwAEIJa2l4LmNtdDI1Iv8ICgtBQUFCcTNFUkZyRRLVCAoLQUFBQnEzRVJGckUSC0FBQUJxM0VSRnJFGrICCgl0ZXh0L2h0bWwSpAJBREVRVUFSIENPTkZPUk1FIE8gw5NSR8ODTzxicj48YnI+Q29ycG8gZGUgQm9tYmVpcm9zIE1pbGl0YXIgZG8gUGFyw6E8YnI+Q05QSiAzNC44NDcuMjM2LzAwMDEtODA8YnI+VUFTRyA5MjU4NTM8YnI+PGJyPkNvb3JkZW5hZG9yaWEgRXN0YWR1YWwgZGUgRGVmZXNhIENpdmlsIChDRURFQyk8YnI+Q05QSiAxNS41MTMuMTAyLzAwMDEtODg8YnI+VUFTRyA5Mjk5MDI8YnI+PGJyPkZ1bmRvIEVzcGVjaWFsIGRlIEJvbWJlaXJvcyAoRkVCT00pPGJyPkNOUEogNDQuNzU0LjE1NS8wMDAxLTk5PGJyPlVBU0cgOTI5Mzc3Io8CCgp0ZXh0L3BsYWluEoACQURFUVVBUiBDT05GT1JNRSBPIMOTUkfDg08KCkNvcnBvIGRlIEJvbWJlaXJvcyBNaWxpdGFyIGRvIFBhcsOhCkNOUEogMzQuODQ3LjIzNi8wMDAxLTgwClVBU0cgOTI1ODUzCgpDb29yZGVuYWRvcmlhIEVzdGFkdWFsIGRlIERlZmVzYSBDaXZpbCAoQ0VERUMpCkNOUEogMTUuNTEzLjEwMi8wMDAxLTg4ClVBU0cgOTI5OTAyCgpGdW5kbyBFc3BlY2lhbCBkZSBCb21iZWlyb3MgKEZFQk9NKQpDTlBKIDQ0Ljc1NC4xNTUvMDAwMS05OQpVQVNHIDkyOTM3NypPChZSRU5BVEEgREUgQVZJWiBCQVRJU1RBGjUvL3NzbC5nc3RhdGljLmNvbS9kb2NzL2NvbW1vbi9ibHVlX3NpbGhvdWV0dGU5Ni0wLnBuZzDg5eqswzE44OXqrMMxclEKFlJFTkFUQSBERSBBVklaIEJBVElTVEEaNwo1Ly9zc2wuZ3N0YXRpYy5jb20vZG9jcy9jb21tb24vYmx1ZV9zaWxob3VldHRlOTYtMC5wbmd4AIgBAZoBBggAEAAYAKoBpwISpAJBREVRVUFSIENPTkZPUk1FIE8gw5NSR8ODTzxicj48YnI+Q29ycG8gZGUgQm9tYmVpcm9zIE1pbGl0YXIgZG8gUGFyw6E8YnI+Q05QSiAzNC44NDcuMjM2LzAwMDEtODA8YnI+VUFTRyA5MjU4NTM8YnI+PGJyPkNvb3JkZW5hZG9yaWEgRXN0YWR1YWwgZGUgRGVmZXNhIENpdmlsIChDRURFQyk8YnI+Q05QSiAxNS41MTMuMTAyLzAwMDEtODg8YnI+VUFTRyA5Mjk5MDI8YnI+PGJyPkZ1bmRvIEVzcGVjaWFsIGRlIEJvbWJlaXJvcyAoRkVCT00pPGJyPkNOUEogNDQuNzU0LjE1NS8wMDAxLTk5PGJyPlVBU0cgOTI5Mzc3sAEAuAEByAEAGODl6qzDMSDg5eqswzEwAEIIa2l4LmNtdDIimAQKC0FBQUJxM0VSRnNjEu4DCgtBQUFCcTNFUkZzYxILQUFBQnEzRVJGc2MaWgoJdGV4dC9odG1sEk1WZXJpZmljYXIgYXMgZGlzcG9zacOnw7VlcyBuYSBjYXBhIGRvIGVkaXRhbCBwYXJhIGF1eGlsaWFyIGUgcmF0aWZpY2FyIG5vIFRSLiJbCgp0ZXh0L3BsYWluEk1WZXJpZmljYXIgYXMgZGlzcG9zacOnw7VlcyBuYSBjYXBhIGRvIGVkaXRhbCBwYXJhIGF1eGlsaWFyIGUgcmF0aWZpY2FyIG5vIFRSLipPChZSRU5BVEEgREUgQVZJWiBCQVRJU1RBGjUvL3NzbC5nc3RhdGljLmNvbS9kb2NzL2NvbW1vbi9ibHVlX3NpbGhvdWV0dGU5Ni0wLnBuZzDAxZ6WjDM4wMWelowzclEKFlJFTkFUQSBERSBBVklaIEJBVElTVEEaNwo1Ly9zc2wuZ3N0YXRpYy5jb20vZG9jcy9jb21tb24vYmx1ZV9zaWxob3VldHRlOTYtMC5wbmd4AIgBAZoBBggAEAAYAKoBTxJNVmVyaWZpY2FyIGFzIGRpc3Bvc2nDp8O1ZXMgbmEgY2FwYSBkbyBlZGl0YWwgcGFyYSBhdXhpbGlhciBlIHJhdGlmaWNhciBubyBUUi6wAQC4AQHIAQAYwMWelowzIMDFnpaMMzAAQghraXguY210NyKgAwoLQUFBQnEzRVJGckES9gIKC0FBQUJxM0VSRnJBEgtBQUFCcTNFUkZyQRoyCgl0ZXh0L2h0bWwSJUNvcGlhciBvIG1lc21vIG9iamV0byBkbyBlZGl0YWwvYXZpc28iMwoKdGV4dC9wbGFpbhIlQ29waWFyIG8gbWVzbW8gb2JqZXRvIGRvIGVkaXRhbC9hdmlzbypPChZSRU5BVEEgREUgQVZJWiBCQVRJU1RBGjUvL3NzbC5nc3RhdGljLmNvbS9kb2NzL2NvbW1vbi9ibHVlX3NpbGhvdWV0dGU5Ni0wLnBuZzDA8o+WjDM4wPKPlowzclEKFlJFTkFUQSBERSBBVklaIEJBVElTVEEaNwo1Ly9zc2wuZ3N0YXRpYy5jb20vZG9jcy9jb21tb24vYmx1ZV9zaWxob3VldHRlOTYtMC5wbmd4AIgBAZoBBggAEAAYAKoBJxIlQ29waWFyIG8gbWVzbW8gb2JqZXRvIGRvIGVkaXRhbC9hdmlzb7ABALgBAcgBABjA8o+WjDMgwPKPlowzMABCCGtpeC5jbXQzMglpZC5namRneHMyCmlkLjMwajB6bGwyCmlkLjFmb2I5dGUyDmguanFrNXl4OXI2a3NvMg5oLjFpYWtpbXdvc3ZqNzIOaC56OTNwYjlxZXFhbTUyCmlkLjQ5eDJpazUyCmlkLjNvN2FsbmsyCWguMjNja3Z2ZDIJaC4xdDNoNXNmMg1oLmpib3hzNmh2NDRxMg5oLnRmeGhjbjlrbzV4YjIJaC4xaG1zeXlzMgppZC40MW1naG1sMgppZC4yZ3JxcnVlMglpZC52eDEyMjcyDmguNmZ2aWY4YThvb3d2Mg5oLnR5MXF6cDVna3N0YjgAciExblNkUGxjTmVOc0hBNUl0SEJncnVvM2VYelhvRERTY2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LibreOffice/7.5.2.2$Windows_X86_64 LibreOffice_project/53bb9681a964705cf672590721dbc85eb4d0c3a2</Application>
  <AppVersion>15.0000</AppVersion>
  <Pages>14</Pages>
  <Words>4184</Words>
  <Characters>23210</Characters>
  <CharactersWithSpaces>27063</CharactersWithSpaces>
  <Paragraphs>313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2025-09-02T13:52:00Z</dcterms:created>
  <dc:creator>ALUIZIO LUIZ AZEVEDO DE ARAUJO</dc:creator>
  <dc:description/>
  <dc:language>pt-BR</dc:language>
  <cp:lastModifiedBy/>
  <dcterms:modified xsi:type="dcterms:W3CDTF">2026-08-05T10:58:05Z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2022-05-16T00:00:00Z</vt:lpwstr>
  </property>
  <property fmtid="{D5CDD505-2E9C-101B-9397-08002B2CF9AE}" pid="3" name="Creator">
    <vt:lpwstr>Writer</vt:lpwstr>
  </property>
  <property fmtid="{D5CDD505-2E9C-101B-9397-08002B2CF9AE}" pid="4" name="HyperlinksChanged">
    <vt:lpwstr>false</vt:lpwstr>
  </property>
  <property fmtid="{D5CDD505-2E9C-101B-9397-08002B2CF9AE}" pid="5" name="LastSaved">
    <vt:lpwstr>2022-05-16T00:00:00Z</vt:lpwstr>
  </property>
  <property fmtid="{D5CDD505-2E9C-101B-9397-08002B2CF9AE}" pid="6" name="LinksUpToDate">
    <vt:lpwstr>false</vt:lpwstr>
  </property>
  <property fmtid="{D5CDD505-2E9C-101B-9397-08002B2CF9AE}" pid="7" name="ScaleCrop">
    <vt:lpwstr>false</vt:lpwstr>
  </property>
  <property fmtid="{D5CDD505-2E9C-101B-9397-08002B2CF9AE}" pid="8" name="ShareDoc">
    <vt:lpwstr>false</vt:lpwstr>
  </property>
</Properties>
</file>