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
        <w:tblW w:w="9061" w:type="dxa"/>
        <w:jc w:val="left"/>
        <w:tblInd w:w="-108" w:type="dxa"/>
        <w:tblLayout w:type="fixed"/>
        <w:tblCellMar>
          <w:top w:w="0" w:type="dxa"/>
          <w:left w:w="108" w:type="dxa"/>
          <w:bottom w:w="0" w:type="dxa"/>
          <w:right w:w="108" w:type="dxa"/>
        </w:tblCellMar>
        <w:tblLook w:val="0400"/>
      </w:tblPr>
      <w:tblGrid>
        <w:gridCol w:w="9061"/>
      </w:tblGrid>
      <w:tr>
        <w:trPr/>
        <w:tc>
          <w:tcPr>
            <w:tcW w:w="9061" w:type="dxa"/>
            <w:tcBorders>
              <w:top w:val="single" w:sz="4" w:space="0" w:color="000000"/>
              <w:left w:val="single" w:sz="4" w:space="0" w:color="000000"/>
              <w:bottom w:val="single" w:sz="4" w:space="0" w:color="000000"/>
              <w:right w:val="single" w:sz="4" w:space="0" w:color="000000"/>
            </w:tcBorders>
            <w:shd w:fill="FFFF00"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MINUTA</w:t>
            </w:r>
          </w:p>
        </w:tc>
      </w:tr>
    </w:tbl>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CONTRATO Nº {{NUM_CONTRATO}}</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PAE nº {{NUM_PAE}}</w:t>
      </w:r>
    </w:p>
    <w:tbl>
      <w:tblPr>
        <w:tblStyle w:val="Table2"/>
        <w:tblW w:w="9064" w:type="dxa"/>
        <w:jc w:val="center"/>
        <w:tblInd w:w="0" w:type="dxa"/>
        <w:tblLayout w:type="fixed"/>
        <w:tblCellMar>
          <w:top w:w="0" w:type="dxa"/>
          <w:left w:w="108" w:type="dxa"/>
          <w:bottom w:w="0" w:type="dxa"/>
          <w:right w:w="108" w:type="dxa"/>
        </w:tblCellMar>
        <w:tblLook w:val="0400"/>
      </w:tblPr>
      <w:tblGrid>
        <w:gridCol w:w="1425"/>
        <w:gridCol w:w="2462"/>
        <w:gridCol w:w="1169"/>
        <w:gridCol w:w="1083"/>
        <w:gridCol w:w="1081"/>
        <w:gridCol w:w="1843"/>
      </w:tblGrid>
      <w:tr>
        <w:trPr/>
        <w:tc>
          <w:tcPr>
            <w:tcW w:w="9063" w:type="dxa"/>
            <w:gridSpan w:val="6"/>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RESUMO</w:t>
            </w:r>
          </w:p>
        </w:tc>
      </w:tr>
      <w:tr>
        <w:trPr>
          <w:trHeight w:val="60" w:hRule="atLeast"/>
        </w:trPr>
        <w:tc>
          <w:tcPr>
            <w:tcW w:w="1425" w:type="dxa"/>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pic:cNvPicPr>
                            <a:picLocks noChangeAspect="1" noChangeArrowheads="1"/>
                          </pic:cNvPicPr>
                        </pic:nvPicPr>
                        <pic:blipFill>
                          <a:blip r:embed="rId2"/>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Contratante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Estado do Pará</w:t>
            </w:r>
            <w:r>
              <w:rPr>
                <w:rFonts w:eastAsia="Quattrocento Sans" w:cs="Quattrocento Sans" w:ascii="Calibri" w:hAnsi="Calibri"/>
                <w:b w:val="false"/>
                <w:bCs w:val="false"/>
                <w:i w:val="false"/>
                <w:iCs w:val="false"/>
                <w:smallCaps/>
                <w:strike w:val="false"/>
                <w:dstrike w:val="false"/>
                <w:color w:val="000000"/>
                <w:position w:val="0"/>
                <w:sz w:val="22"/>
                <w:sz w:val="22"/>
                <w:szCs w:val="22"/>
                <w:u w:val="none"/>
                <w:shd w:fill="auto" w:val="clear"/>
                <w:vertAlign w:val="baseline"/>
              </w:rPr>
              <w:t xml:space="preserve"> | </w:t>
            </w:r>
            <w:bookmarkStart w:id="0" w:name="bookmark=id.gjdgxs"/>
            <w:bookmarkEnd w:id="0"/>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{{ORGAO_NOME}}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CNPJ</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nº </w:t>
            </w:r>
            <w:bookmarkStart w:id="1" w:name="bookmark=id.30j0zll"/>
            <w:bookmarkEnd w:id="1"/>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{{ORGAO_CNPJ}}.</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UASG:</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{{ORGAO_UASG}}</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Contratado</w:t>
            </w:r>
          </w:p>
          <w:p>
            <w:pPr>
              <w:pStyle w:val="LO-normal"/>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{{NOME_CONTRATADA}}</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CNPJ nº {{CNPJ_CONTRATADA}}.</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Objeto</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r>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t xml:space="preserve">{{OBJETO_CAP}}.</w:t>
            </w:r>
          </w:p>
        </w:tc>
      </w:tr>
      <w:tr>
        <w:trPr>
          <w:trHeight w:val="31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4"/>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Entrega</w:t>
            </w:r>
          </w:p>
        </w:tc>
      </w:tr>
      <w:tr>
        <w:trPr>
          <w:trHeight w:val="2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{{FORMA_ENTREGA}}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Em até {{PRAZO_ENTREGA_EXTENSO}} dias após o recebimento da nota de empenho.</w:t>
            </w:r>
          </w:p>
        </w:tc>
      </w:tr>
      <w:tr>
        <w:trPr>
          <w:trHeight w:val="33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Local</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pPr>
            <w:r>
              <w:rPr>
                <w:rFonts w:eastAsia="Quattrocento Sans" w:cs="Quattrocento Sans" w:ascii="Calibri" w:hAnsi="Calibri"/>
                <w:i w:val="false"/>
                <w:iCs w:val="false"/>
                <w:caps w:val="false"/>
                <w:smallCaps w:val="false"/>
                <w:strike w:val="false"/>
                <w:dstrike w:val="false"/>
                <w:position w:val="0"/>
                <w:sz w:val="22"/>
                <w:sz w:val="22"/>
                <w:szCs w:val="22"/>
                <w:u w:val="none"/>
                <w:shd w:fill="auto" w:val="clear"/>
                <w:vertAlign w:val="baseline"/>
              </w:rPr>
            </w:r>
            <w:r>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t xml:space="preserve">{{LOCAL_ENTREGA}}</w:t>
            </w:r>
          </w:p>
        </w:tc>
      </w:tr>
      <w:tr>
        <w:trPr>
          <w:trHeight w:val="42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Valor total</w:t>
            </w:r>
          </w:p>
        </w:tc>
      </w:tr>
      <w:tr>
        <w:trPr>
          <w:trHeight w:val="42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 {{VALOR_GLOBAL}}.</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rHeight w:val="21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Reajuste</w:t>
            </w:r>
          </w:p>
        </w:tc>
      </w:tr>
      <w:tr>
        <w:trPr>
          <w:trHeight w:val="6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Índice</w:t>
            </w:r>
          </w:p>
        </w:tc>
        <w:tc>
          <w:tcPr>
            <w:tcW w:w="11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{{CHK_IPCA}}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IPCA</w:t>
            </w:r>
          </w:p>
        </w:tc>
        <w:tc>
          <w:tcPr>
            <w:tcW w:w="108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{{CHK_INPC}}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INPC</w:t>
            </w:r>
          </w:p>
        </w:tc>
        <w:tc>
          <w:tcPr>
            <w:tcW w:w="10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{{CHK_INCC}}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INCC</w:t>
            </w:r>
          </w:p>
        </w:tc>
        <w:tc>
          <w:tcPr>
            <w:tcW w:w="184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{{CHK_IGPM}}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IGPM</w:t>
            </w:r>
          </w:p>
        </w:tc>
      </w:tr>
      <w:tr>
        <w:trPr>
          <w:trHeight w:val="7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Período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cada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12 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 contar de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{{DATA_ORCAMENTO}}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(data do orçamento estimado).</w:t>
            </w:r>
          </w:p>
        </w:tc>
      </w:tr>
      <w:tr>
        <w:trPr>
          <w:trHeight w:val="37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Pagamento</w:t>
            </w:r>
          </w:p>
        </w:tc>
      </w:tr>
      <w:tr>
        <w:trPr>
          <w:trHeight w:val="4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Ordem bancária.</w:t>
            </w:r>
          </w:p>
        </w:tc>
      </w:tr>
      <w:tr>
        <w:trPr>
          <w:trHeight w:val="41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rPr>
              <w:t xml:space="preserve">{{PRAZO_PAGAMENTO}} </w:t>
            </w: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position w:val="0"/>
                <w:sz w:val="22"/>
                <w:sz w:val="22"/>
                <w:szCs w:val="22"/>
                <w:u w:val="none"/>
                <w:shd w:fill="auto" w:val="clear"/>
                <w:vertAlign w:val="baseline"/>
              </w:rPr>
              <w:t>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a contar do recebimento da nota fiscal ou fatura atestada pelo fiscal do contrato.</w:t>
            </w:r>
          </w:p>
        </w:tc>
      </w:tr>
      <w:tr>
        <w:trPr>
          <w:trHeight w:val="58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45770" cy="393700"/>
                  <wp:effectExtent l="0" t="0" r="0" b="0"/>
                  <wp:docPr id="5" name="image1.png"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Forma&#10;&#10;Descrição gerada automaticamente com confiança média"/>
                          <pic:cNvPicPr>
                            <a:picLocks noChangeAspect="1" noChangeArrowheads="1"/>
                          </pic:cNvPicPr>
                        </pic:nvPicPr>
                        <pic:blipFill>
                          <a:blip r:embed="rId6"/>
                          <a:stretch>
                            <a:fillRect/>
                          </a:stretch>
                        </pic:blipFill>
                        <pic:spPr bwMode="auto">
                          <a:xfrm>
                            <a:off x="0" y="0"/>
                            <a:ext cx="445770" cy="3937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Fiscalização</w:t>
            </w:r>
          </w:p>
        </w:tc>
      </w:tr>
      <w:tr>
        <w:trPr>
          <w:trHeight w:val="58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A fiscalização do contrato será feita pelo servidor </w:t>
            </w:r>
            <w:r>
              <w:rPr>
                <w:rFonts w:eastAsia="Quattrocento Sans" w:cs="Quattrocento Sans" w:ascii="Calibri" w:hAnsi="Calibri"/>
                <w:b/>
                <w:bCs/>
              </w:rPr>
              <w:t xml:space="preserve">{{FISCAL_TITULAR}}</w:t>
            </w:r>
            <w:r>
              <w:rPr>
                <w:rFonts w:eastAsia="Quattrocento Sans" w:cs="Quattrocento Sans" w:ascii="Calibri" w:hAnsi="Calibri"/>
              </w:rPr>
              <w:t xml:space="preserve">, matrícula nº </w:t>
            </w:r>
            <w:r>
              <w:rPr>
                <w:rFonts w:eastAsia="Quattrocento Sans" w:cs="Quattrocento Sans" w:ascii="Calibri" w:hAnsi="Calibri"/>
                <w:b/>
                <w:bCs/>
              </w:rPr>
              <w:t xml:space="preserve">{{MATRICULA_TITULAR}}</w:t>
            </w:r>
            <w:r>
              <w:rPr>
                <w:rFonts w:eastAsia="Quattrocento Sans" w:cs="Quattrocento Sans" w:ascii="Calibri" w:hAnsi="Calibri"/>
              </w:rPr>
              <w:t xml:space="preserve">, fiscal titular e pelo servidor {{</w:t>
            </w:r>
            <w:r>
              <w:rPr>
                <w:rFonts w:eastAsia="Quattrocento Sans" w:cs="Quattrocento Sans" w:ascii="Calibri" w:hAnsi="Calibri"/>
                <w:b/>
                <w:bCs/>
              </w:rPr>
              <w:t xml:space="preserve">FISCAL_SUPLENTE}}</w:t>
            </w:r>
            <w:r>
              <w:rPr>
                <w:rFonts w:eastAsia="Quattrocento Sans" w:cs="Quattrocento Sans" w:ascii="Calibri" w:hAnsi="Calibri"/>
              </w:rPr>
              <w:t xml:space="preserve">, matrícula nº {{</w:t>
            </w:r>
            <w:r>
              <w:rPr>
                <w:rFonts w:eastAsia="Quattrocento Sans" w:cs="Quattrocento Sans" w:ascii="Calibri" w:hAnsi="Calibri"/>
                <w:b/>
                <w:bCs/>
              </w:rPr>
              <w:t xml:space="preserve">MATRICULA_SUPLENTE}}</w:t>
            </w:r>
            <w:r>
              <w:rPr>
                <w:rFonts w:eastAsia="Quattrocento Sans" w:cs="Quattrocento Sans" w:ascii="Calibri" w:hAnsi="Calibri"/>
              </w:rPr>
              <w:t xml:space="preserve">, fiscal suplente, ambos lotados no {{SETOR_FISCAL}}.</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Vigência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color w:val="4F81BD"/>
              </w:rPr>
              <w:t xml:space="preserve">{{PRAZO_VIGENCIA_EXTENSO}} meses.</w:t>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Início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color w:val="000000"/>
              </w:rPr>
              <w:t xml:space="preserve">{{DATA_INICIO}}</w:t>
            </w:r>
          </w:p>
        </w:tc>
      </w:tr>
      <w:tr>
        <w:trPr>
          <w:trHeight w:val="157"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EE0000"/>
                <w:position w:val="0"/>
                <w:sz w:val="22"/>
                <w:sz w:val="22"/>
                <w:szCs w:val="22"/>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EE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Fim</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color w:val="000000"/>
              </w:rPr>
              <w:t xml:space="preserve">{{DATA_FIM}}</w:t>
            </w:r>
          </w:p>
        </w:tc>
      </w:tr>
    </w:tbl>
    <w:p>
      <w:pPr>
        <w:pStyle w:val="LO-normal"/>
        <w:keepNext w:val="false"/>
        <w:keepLines w:val="false"/>
        <w:pageBreakBefore w:val="false"/>
        <w:widowControl w:val="false"/>
        <w:shd w:val="clear" w:fill="auto"/>
        <w:spacing w:lineRule="auto" w:line="240"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2" w:name="bookmark=id.1fob9te"/>
      <w:bookmarkStart w:id="3" w:name="bookmark=id.1fob9te"/>
      <w:bookmarkEnd w:id="3"/>
      <w:r>
        <w:br w:type="page"/>
      </w:r>
    </w:p>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4" w:name="bookmark=id.1fob9te_Copia_1"/>
      <w:bookmarkStart w:id="5" w:name="bookmark=id.1fob9te_Copia_1"/>
      <w:bookmarkEnd w:id="5"/>
    </w:p>
    <w:tbl>
      <w:tblPr>
        <w:tblStyle w:val="Table3"/>
        <w:tblW w:w="9067" w:type="dxa"/>
        <w:jc w:val="center"/>
        <w:tblInd w:w="0" w:type="dxa"/>
        <w:tblLayout w:type="fixed"/>
        <w:tblCellMar>
          <w:top w:w="0" w:type="dxa"/>
          <w:left w:w="108" w:type="dxa"/>
          <w:bottom w:w="0" w:type="dxa"/>
          <w:right w:w="108" w:type="dxa"/>
        </w:tblCellMar>
        <w:tblLook w:val="0400"/>
      </w:tblPr>
      <w:tblGrid>
        <w:gridCol w:w="9067"/>
      </w:tblGrid>
      <w:tr>
        <w:trPr/>
        <w:tc>
          <w:tcPr>
            <w:tcW w:w="9067" w:type="dxa"/>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mc:AlternateContent>
                <mc:Choice Requires="wps">
                  <w:drawing>
                    <wp:anchor behindDoc="0" distT="5080" distB="5715" distL="0" distR="635" simplePos="0" locked="0" layoutInCell="0" allowOverlap="1" relativeHeight="27">
                      <wp:simplePos x="0" y="0"/>
                      <wp:positionH relativeFrom="column">
                        <wp:posOffset>-18415</wp:posOffset>
                      </wp:positionH>
                      <wp:positionV relativeFrom="paragraph">
                        <wp:posOffset>-18415</wp:posOffset>
                      </wp:positionV>
                      <wp:extent cx="673100" cy="673100"/>
                      <wp:effectExtent l="0" t="5080" r="635" b="5715"/>
                      <wp:wrapNone/>
                      <wp:docPr id="7" name="Shape 2"/>
                      <a:graphic xmlns:a="http://schemas.openxmlformats.org/drawingml/2006/main">
                        <a:graphicData uri="http://schemas.microsoft.com/office/word/2010/wordprocessingShape">
                          <wps:wsp>
                            <wps:cNvSpPr/>
                            <wps:spPr>
                              <a:xfrm>
                                <a:off x="0" y="0"/>
                                <a:ext cx="673200" cy="673200"/>
                              </a:xfrm>
                              <a:custGeom>
                                <a:avLst/>
                                <a:gdLst>
                                  <a:gd name="textAreaLeft" fmla="*/ 0 w 381600"/>
                                  <a:gd name="textAreaRight" fmla="*/ 382320 w 381600"/>
                                  <a:gd name="textAreaTop" fmla="*/ 0 h 381600"/>
                                  <a:gd name="textAreaBottom" fmla="*/ 382320 h 381600"/>
                                </a:gdLst>
                                <a:ah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CLÁUSULAS CONTRATUAIS</w:t>
            </w:r>
          </w:p>
        </w:tc>
      </w:tr>
    </w:tbl>
    <w:p>
      <w:pPr>
        <w:pStyle w:val="LO-normal"/>
        <w:keepNext w:val="false"/>
        <w:keepLines w:val="false"/>
        <w:pageBreakBefore w:val="false"/>
        <w:widowControl w:val="false"/>
        <w:shd w:val="clear" w:fill="auto"/>
        <w:spacing w:lineRule="auto" w:line="240" w:before="0" w:after="120"/>
        <w:ind w:left="4536"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Partes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5"/>
        <w:tblW w:w="9070" w:type="dxa"/>
        <w:jc w:val="left"/>
        <w:tblInd w:w="-108" w:type="dxa"/>
        <w:tblLayout w:type="fixed"/>
        <w:tblCellMar>
          <w:top w:w="0" w:type="dxa"/>
          <w:left w:w="108" w:type="dxa"/>
          <w:bottom w:w="0" w:type="dxa"/>
          <w:right w:w="108" w:type="dxa"/>
        </w:tblCellMar>
        <w:tblLook w:val="0400"/>
      </w:tblPr>
      <w:tblGrid>
        <w:gridCol w:w="1834"/>
        <w:gridCol w:w="7235"/>
      </w:tblGrid>
      <w:tr>
        <w:trPr>
          <w:trHeight w:val="1634" w:hRule="atLeast"/>
        </w:trPr>
        <w:tc>
          <w:tcPr>
            <w:tcW w:w="1834" w:type="dxa"/>
            <w:tcBorders/>
            <w:shd w:fill="DBEEF3" w:val="clear"/>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Contratante</w:t>
            </w:r>
          </w:p>
        </w:tc>
        <w:tc>
          <w:tcPr>
            <w:tcW w:w="7235" w:type="dxa"/>
            <w:tcBorders/>
            <w:shd w:fill="DBEEF3" w:val="clear"/>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smallCaps/>
                <w:sz w:val="24"/>
                <w:szCs w:val="24"/>
              </w:rPr>
              <w:t xml:space="preserve">O Estado do Pará</w:t>
            </w:r>
            <w:r>
              <w:rPr>
                <w:rFonts w:eastAsia="Quattrocento Sans" w:cs="Quattrocento Sans" w:ascii="Calibri" w:hAnsi="Calibri"/>
                <w:i w:val="false"/>
                <w:iCs w:val="false"/>
                <w:smallCaps/>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por intermédio {{ORGAO_INTERMEDIO}},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CNPJ nº </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{{ORGAO_CNPJ}}</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sede na Av. Júlio César, nº 3.000, Marambaia, CEP 66.615-055, Belém-Pará, neste ato representado pelo </w:t>
            </w:r>
            <w:r>
              <w:rPr>
                <w:rFonts w:eastAsia="Quattrocento Sans" w:cs="Quattrocento Sans" w:ascii="Calibri" w:hAnsi="Calibri"/>
                <w:sz w:val="24"/>
                <w:szCs w:val="24"/>
              </w:rPr>
              <w:t xml:space="preserve">Exmo. Sr. {{AUTORIDADE_NOME}} – {{AUTORIDADE_POSTO}} – {{AUTORIDADE_CARGO}}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Presidente do Comitê de Gestão e Administração Superior do Fundo Especial de Bombeiros.</w:t>
            </w:r>
          </w:p>
        </w:tc>
      </w:tr>
      <w:tr>
        <w:trPr/>
        <w:tc>
          <w:tcPr>
            <w:tcW w:w="1834" w:type="dxa"/>
            <w:tcBorders/>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Contratado</w:t>
            </w:r>
          </w:p>
        </w:tc>
        <w:tc>
          <w:tcPr>
            <w:tcW w:w="7235" w:type="dxa"/>
            <w:tcBorders/>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{{NOME_CONTRATADA}}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CNPJ nº {{CNPJ_CONTRATADA}}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com sede na {{ENDERECO_CONTRATADA}}, e-mail: {{EMAIL_CONTRATADA}}, telefone: {{TELEFONE_CONTRATADA}}, </w:t>
            </w:r>
            <w:r>
              <w:rPr>
                <w:rFonts w:eastAsia="Quattrocento Sans" w:cs="Quattrocento Sans" w:ascii="Calibri" w:hAnsi="Calibri"/>
                <w:color w:val="4F81BD"/>
                <w:sz w:val="24"/>
                <w:szCs w:val="24"/>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neste ato representado por {{NOME_REPRESENTANTE}}</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RG nº {{RG_REPRESENTANTE}}, CPF nº {{CPF_REPRESENTANTE}}, com domicílio na {{ENDERECO_REPRESENTANTE}}.</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6" w:name="_heading=h.hrg5cszdeuc6"/>
            <w:bookmarkEnd w:id="6"/>
            <w:r>
              <w:rPr>
                <w:rFonts w:eastAsia="Quattrocento Sans" w:cs="Quattrocento Sans" w:ascii="Calibri" w:hAnsi="Calibri"/>
                <w:smallCaps/>
              </w:rPr>
              <w:t>CLÁUSULA 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bookmarkStart w:id="7" w:name="_heading=h.r608fvu7hoe"/>
            <w:bookmarkEnd w:id="7"/>
            <w:r>
              <w:rPr>
                <w:rFonts w:eastAsia="Quattrocento Sans" w:cs="Quattrocento Sans" w:ascii="Calibri" w:hAnsi="Calibri"/>
                <w:smallCaps/>
              </w:rPr>
              <w:t>Fundamento legal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presente contrato</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é oriundo {{FUNDAMENTO_ORIGEM}}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constante no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PAE Nº </w:t>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{{NUM_PAE}} </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 é regido pela Lei Federal nº 14.133/21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demais legislações aplicáveis ao assunto.</w:t>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minuta deste Contrato foi aprovada pela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highlight w:val="white"/>
          <w:u w:val="none"/>
          <w:vertAlign w:val="baseline"/>
        </w:rPr>
        <w:t>Consultoria Jurídica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do CBMPA, conforme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Parecer N° {{PARECER_JURIDICO}}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nos termos do art. 53, da Lei n° 14.133/2021.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objeto da contratação é a </w:t>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{{OBJETO}}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conforme condições, quantidades e exigências estabelecidas neste contrato e descrito no Termo de Referência, o qual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ADERE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este documento para todos os fins.</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drawing>
          <wp:anchor behindDoc="1" distT="0" distB="0" distL="0" distR="0" simplePos="0" locked="0" layoutInCell="0" allowOverlap="1" relativeHeight="26">
            <wp:simplePos x="0" y="0"/>
            <wp:positionH relativeFrom="page">
              <wp:posOffset>1108710</wp:posOffset>
            </wp:positionH>
            <wp:positionV relativeFrom="page">
              <wp:posOffset>9974580</wp:posOffset>
            </wp:positionV>
            <wp:extent cx="330200" cy="460375"/>
            <wp:effectExtent l="0" t="0" r="0" b="0"/>
            <wp:wrapNone/>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8"/>
                    <a:stretch>
                      <a:fillRect/>
                    </a:stretch>
                  </pic:blipFill>
                  <pic:spPr bwMode="auto">
                    <a:xfrm>
                      <a:off x="0" y="0"/>
                      <a:ext cx="330200" cy="460375"/>
                    </a:xfrm>
                    <a:prstGeom prst="rect">
                      <a:avLst/>
                    </a:prstGeom>
                  </pic:spPr>
                </pic:pic>
              </a:graphicData>
            </a:graphic>
          </wp:anchor>
        </w:drawing>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Este instrumento se vincula {{VINCULO_INSTRUMENTO}}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aos anexos desses documentos. </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bens contratados são os seguintes itens descritos no Termo de Referência:</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8"/>
        <w:tblW w:w="9067" w:type="dxa"/>
        <w:jc w:val="left"/>
        <w:tblInd w:w="-113" w:type="dxa"/>
        <w:tblLayout w:type="fixed"/>
        <w:tblCellMar>
          <w:top w:w="0" w:type="dxa"/>
          <w:left w:w="108" w:type="dxa"/>
          <w:bottom w:w="0" w:type="dxa"/>
          <w:right w:w="108" w:type="dxa"/>
        </w:tblCellMar>
        <w:tblLook w:val="0400"/>
      </w:tblPr>
      <w:tblGrid>
        <w:gridCol w:w="612"/>
        <w:gridCol w:w="3481"/>
        <w:gridCol w:w="1436"/>
        <w:gridCol w:w="822"/>
        <w:gridCol w:w="611"/>
        <w:gridCol w:w="1045"/>
        <w:gridCol w:w="1059"/>
      </w:tblGrid>
      <w:tr>
        <w:trPr/>
        <w:tc>
          <w:tcPr>
            <w:tcW w:w="61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Nº ITEM</w:t>
            </w:r>
          </w:p>
        </w:tc>
        <w:tc>
          <w:tcPr>
            <w:tcW w:w="348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DESCRIÇÃO</w:t>
            </w:r>
          </w:p>
        </w:tc>
        <w:tc>
          <w:tcPr>
            <w:tcW w:w="1436"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MARCA/MODELO/FABRICANTE</w:t>
            </w:r>
          </w:p>
        </w:tc>
        <w:tc>
          <w:tcPr>
            <w:tcW w:w="82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UNID</w:t>
            </w:r>
          </w:p>
        </w:tc>
        <w:tc>
          <w:tcPr>
            <w:tcW w:w="61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QTD</w:t>
            </w:r>
          </w:p>
        </w:tc>
        <w:tc>
          <w:tcPr>
            <w:tcW w:w="1045"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VALOR UNITÁRIO</w:t>
            </w:r>
          </w:p>
        </w:tc>
        <w:tc>
          <w:tcPr>
            <w:tcW w:w="1059" w:type="dxa"/>
            <w:tcBorders>
              <w:top w:val="single" w:sz="4" w:space="0" w:color="000000"/>
              <w:left w:val="single" w:sz="4" w:space="0" w:color="000000"/>
              <w:bottom w:val="single" w:sz="4" w:space="0" w:color="000000"/>
              <w:right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{%tr for item in ITENS %}</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{{item.numero}}</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{{item.descricao}}</w:t>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{{item.marca}}</w:t>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{{item.unidade}}</w:t>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{{item.quantidade}}</w:t>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{{item.valor_unitario}}</w:t>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{{item.subtotal}}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{%tr endfor %}</w:t>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r>
              <w:rPr>
                <w:rFonts w:ascii="Calibri" w:hAnsi="Calibri" w:eastAsia="Quattrocento Sans" w:cs="Quattrocento Sans"/>
                <w:b w:val="false"/>
                <w:bCs w:val="false"/>
                <w:i w:val="false"/>
                <w:i w:val="false"/>
                <w:iCs w:val="false"/>
                <w:caps w:val="false"/>
                <w:smallCaps w:val="false"/>
                <w:strike w:val="false"/>
                <w:dstrike w:val="false"/>
                <w:position w:val="0"/>
                <w:sz w:val="20"/>
                <w:sz w:val="20"/>
                <w:szCs w:val="20"/>
                <w:u w:val="none"/>
                <w:shd w:fill="auto" w:val="clear"/>
                <w:vertAlign w:val="baseline"/>
                <w:color w:val="000000"/>
              </w:rPr>
              <w:t xml:space="preserve"/>
            </w:r>
          </w:p>
        </w:tc>
      </w:tr>
      <w:tr>
        <w:trPr/>
        <w:tc>
          <w:tcPr>
            <w:tcW w:w="6962" w:type="dxa"/>
            <w:gridSpan w:val="5"/>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VALOR TOTAL</w:t>
            </w:r>
          </w:p>
        </w:tc>
        <w:tc>
          <w:tcPr>
            <w:tcW w:w="2104" w:type="dxa"/>
            <w:gridSpan w:val="2"/>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t xml:space="preserve">R$ {{VALOR_GLOBAL}}</w:t>
            </w:r>
            <w:r>
              <w:rPr>
                <w:rFonts w:ascii="Calibri" w:hAnsi="Calibri"/>
              </w:rPr>
            </w:r>
            <w:r>
              <w:rPr>
                <w:rFonts w:ascii="Calibri" w:hAnsi="Calibri"/>
              </w:rPr>
            </w: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 xml:space="preserve"/>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Entrega dos bens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condições de entrega e recebimento dos bens adquiridos são aquelas previstas no Termo de Referência.</w:t>
      </w:r>
    </w:p>
    <w:p>
      <w:pPr>
        <w:pStyle w:val="LO-normal"/>
        <w:keepNext w:val="false"/>
        <w:keepLines w:val="false"/>
        <w:pageBreakBefore w:val="false"/>
        <w:widowControl/>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ato do recebimento, caso o objeto apresentado não esteja em conformidade com este Contrato e Termo de Referência, o item será recusado total ou parcialmente, conforme o caso, sem direito a indenização à empresa vencedora. </w:t>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recebimento definitivo do objeto não exclui a responsabilidade da empresa quanto aos vícios ocultos, ou seja, que só são manifestados quando da sua normal utilização pela contratante, nos termos do Código de Defesa do Consumidor (Lei 8.078/90).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6"/>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valor global do contrato é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position w:val="0"/>
          <w:sz w:val="24"/>
          <w:sz w:val="24"/>
          <w:szCs w:val="24"/>
          <w:u w:val="none"/>
          <w:shd w:fill="auto" w:val="clear"/>
          <w:vertAlign w:val="baseline"/>
          <w:color w:val="000000"/>
        </w:rPr>
        <w:t xml:space="preserve">R$ {{VALOR_GLOBAL}} ({{VALOR_GLOBAL_EXTENSO}})</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 todas as despesas ordinárias diretas e indiretas decorrentes de sua execução estão inclusas nesse preço, como tributos, encargos sociais, trabalhistas, previdenciários, comerciais, taxa de administração, frete, seguro e outros necessários ao cumprimento integral do contrato.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Dotação Orçamentária</w:t>
            </w:r>
          </w:p>
        </w:tc>
      </w:tr>
    </w:tbl>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despesas decorrentes desta contratação estão programadas em dotação orçamentária própria 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Orçamento do Corpo de Bombeiros Militar do Pará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na classificação abaixo:</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br w:type="page"/>
      </w:r>
    </w:p>
    <w:p>
      <w:pPr>
        <w:pStyle w:val="LO-normal"/>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2"/>
        <w:tblW w:w="9355" w:type="dxa"/>
        <w:jc w:val="center"/>
        <w:tblInd w:w="0" w:type="dxa"/>
        <w:tblLayout w:type="fixed"/>
        <w:tblCellMar>
          <w:top w:w="0" w:type="dxa"/>
          <w:left w:w="108" w:type="dxa"/>
          <w:bottom w:w="0" w:type="dxa"/>
          <w:right w:w="108" w:type="dxa"/>
        </w:tblCellMar>
        <w:tblLook w:val="0400"/>
      </w:tblPr>
      <w:tblGrid>
        <w:gridCol w:w="2550"/>
        <w:gridCol w:w="2835"/>
        <w:gridCol w:w="3970"/>
      </w:tblGrid>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Item da dotação</w:t>
            </w:r>
          </w:p>
        </w:tc>
        <w:tc>
          <w:tcPr>
            <w:tcW w:w="2835" w:type="dxa"/>
            <w:tcBorders/>
            <w:shd w:fill="FFFFFF" w:val="clear"/>
            <w:vAlign w:val="cente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Contábil</w:t>
            </w:r>
          </w:p>
        </w:tc>
        <w:tc>
          <w:tcPr>
            <w:tcW w:w="3970" w:type="dxa"/>
            <w:tcBorders/>
            <w:shd w:fill="FFFFFF" w:val="clea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Descrição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Exercício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{{EXERCICIO}}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{{DESC_EXERCICIO}}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Gestão/Unidade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{{GESTAO_UNIDADE}}</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{{DESC_GESTAO}}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Fonte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{{DESC_FONTE}}</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Programa de Trabalho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{{PROG_TRABALHO}}</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{{DESC_PROG_TRABALHO}}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Natureza de Despesa</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{{NAT_DESPESA}}</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{{DESC_NAT_DESPESA}}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Plano Interno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{{PLANO_INTERNO}}</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{{DESC_PLANO_INTERNO}}</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dotação relativa aos exercícios financeiros subsequentes será indicada após aprovação da Lei Orçamentária respectiva e liberação dos créditos correspondentes, mediante apostilamento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Reajuste</w:t>
            </w:r>
          </w:p>
        </w:tc>
      </w:tr>
    </w:tbl>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contrato será reajustado pelo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{{INDICE_REAJUSTE_EXTENSO}}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ou outro índice que venha a substituí-lo exclusivamente para as obrigações iniciadas e concluídas após a ocorrência da anualidade.</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É devido reajuste contratual apenas a cada 12 meses, a contar de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{{DATA_ORCAMENTO}}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data do orçamento estimado.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 restringirá ao valor do saldo contratual existente na data em que aquele for devido.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reajuste será realizado de ofício pelo CONTRATANTE mediante a aplicação do índice de correção monetária mencionado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base de cálculo do item 7.3.</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automático e independerá de requerimento do CONTRATADO.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realizado por simples apostila.</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atraso ou não divulgação do índice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do item 7.1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utilizará a sua última variação conhecida, liquidando a diferença correspondente tão logo seja divulgado o índice definitivo.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o índice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venha a ser extinto ou não possa mais ser utilizado, as PARTES elegerão novo índice, fixando-o por meio de termo aditivo.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Não será devido reajuste quando o atraso na entrega do bem for atribuível ao CONTRATADO.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Pagamento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realizado em</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sz w:val="24"/>
          <w:szCs w:val="24"/>
        </w:rPr>
        <w:t xml:space="preserve">{{PRAZO_PAGAMENTO}} dias corridos</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contar do recebimento da nota fiscal ou fatura atestada pelo fiscal do contrato.</w:t>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efetuado por ordem bancária para conta de titularidade da CONTRATADO, cujos dados são: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5"/>
        <w:tblW w:w="4524" w:type="dxa"/>
        <w:jc w:val="center"/>
        <w:tblInd w:w="0" w:type="dxa"/>
        <w:tblLayout w:type="fixed"/>
        <w:tblCellMar>
          <w:top w:w="0" w:type="dxa"/>
          <w:left w:w="108" w:type="dxa"/>
          <w:bottom w:w="0" w:type="dxa"/>
          <w:right w:w="108" w:type="dxa"/>
        </w:tblCellMar>
        <w:tblLook w:val="0600"/>
      </w:tblPr>
      <w:tblGrid>
        <w:gridCol w:w="1406"/>
        <w:gridCol w:w="3117"/>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{{BANCO}}</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{{AGENCIA}}</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{{CONTA}}</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Havendo erro na apresentação da nota fiscal, fatura ou dos documentos pertinentes à contratação, ou, ainda, circunstância que impeça a liquidação da despesa, como, por exemplo, obrigação financeira pendente, decorrente de penalidade imposta ou inadimplência, o pagamento ficará sobrestado até que o CONTRATADO adote as medidas para saneamento das pendências.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prazo para pagamento começará a correr depois da comprovação da regularização da pendência, sem ônus à CONTRATANTE.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data do efetivo pagamento será considerada aquela que constar da ordem bancária emitida para quitação da nota fiscal ou fatura.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regularidade fiscal do CONTRATADO deve ser verificada pelo CONTRATANTE por ocasião do pagamento por meio de consulta ao Sistema de Cadastramento Unificado de Fornecedores (SICAF) ou, na impossibilidade de acesso a ele, devem ser consultados sítios eletrônicos oficiais ou, ainda, ser solicitada a documentação física listada no art. 68 da Lei Federal nº 14.133/21.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constatação de irregularidade fiscal do CONTRATADO não impede o pagamento do que foi executado, mas constitui falta contratual, a ser sancionada em procedimento de inexecução contratual.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instauração do procedimento de inexecução contratual a que faz menção 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CONTRATADO deve ser notificado (através do Fiscal de Contrato) para regularizar a pendência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sendo regularizada, deve-se instaurar o procedimento de inexecução contratual, ofertando contraditório e ampla defesa ao CONTRATADO.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instauração do procedimento de inexecução contratual não impede o pagamento dos bens que já foram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Diante da gravidade do caso concreto e para proteger o Erário e o interesse público, a autoridade competente pode decidir pela suspensão do contrato, ocasião em que somente serão pagos os bens já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ao final do procedimento a que faz menção a parte final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8.8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autoridade decida pela rescisão contratual, o pagamento será sustado automaticamente.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inadimplência do CONTRATADO junto ao SICAF é causa de rescisão contratual, exceto se a autoridade máxima do CONTRATANTE justificar a necessidade de manutenção do contrato por motivo de economicidade, segurança estadual ou outro de interesse público de alta relevância.</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efetuará a retenção tributária prevista na legislação aplicável por ocasião do pagamento.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CONTRATADO optante do Simples Nacional não sofrerá retenção tributária em relação aos impostos e contribuições abrangidos por aquele regime, mas o pagamento ficará condicionado à comprovação, por documento oficial, de que o CONTRATADO é beneficiário do tratamento tributário previsto na Lei Complementar Federal nº 123/06. </w:t>
      </w:r>
    </w:p>
    <w:p>
      <w:pPr>
        <w:pStyle w:val="LO-normal"/>
        <w:keepNext w:val="false"/>
        <w:keepLines w:val="false"/>
        <w:pageBreakBefore w:val="false"/>
        <w:widowControl w:val="false"/>
        <w:shd w:val="clear" w:fill="auto"/>
        <w:spacing w:lineRule="auto" w:line="240" w:before="0" w:after="120"/>
        <w:ind w:left="36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Garantia de cumprimento contratual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r>
        <w:t xml:space="preserve">{%p if not GARANTIA_EXIGIDA %}</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há exigência de prestação de garantia de cumprimento deste contrato.</w:t>
      </w:r>
    </w:p>
    <w:p>
      <w:r>
        <w:t xml:space="preserve">{%p else %}</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contratado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garantirá o cumprimento do contrato mediante a prestação de uma das modalidades de garantia previstas no art. 96, § 1º, da Lei Federal nº 14.133/21, a sua escolha.</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corresponderá 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{{GARANTIA_PERCENTUAL_EXTENSO}}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garantia em dinheiro deverá ser efetuada em conta bancária de titularidade do CONTRATANTE, cujos dados são:</w:t>
      </w:r>
    </w:p>
    <w:tbl>
      <w:tblPr>
        <w:tblStyle w:val="Table17"/>
        <w:tblW w:w="3531" w:type="dxa"/>
        <w:jc w:val="center"/>
        <w:tblInd w:w="0" w:type="dxa"/>
        <w:tblLayout w:type="fixed"/>
        <w:tblCellMar>
          <w:top w:w="0" w:type="dxa"/>
          <w:left w:w="108" w:type="dxa"/>
          <w:bottom w:w="0" w:type="dxa"/>
          <w:right w:w="108" w:type="dxa"/>
        </w:tblCellMar>
        <w:tblLook w:val="0600"/>
      </w:tblPr>
      <w:tblGrid>
        <w:gridCol w:w="1406"/>
        <w:gridCol w:w="2124"/>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{{GARANTIA_BANCO}}</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{{GARANTIA_AGENCIA}}</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{{GARANTIA_CONTA}}</w:t>
            </w:r>
          </w:p>
        </w:tc>
      </w:tr>
    </w:tbl>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de suspensão do contrato por ordem ou inadimplemento do CONTRATANTE, o CONTRATADO ficará desobrigado de renovar a garantia ou de endossar a apólice de seguro até a ordem de reinício da execução ou o adimplemento pelo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alteração do valor do Contrato, ou prorrogação de sua vigência, a garantia deverá ser atualizada ou renovada nas mesmas condições.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Se a garantia for utilizada em pagamento de qualquer obrigação, o CONTRATADO fica obrigado a recompor o que tiver sido usado no prazo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{{GARANTIA_PRAZO_RECOMPOSICAO}}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contar de sua notificação.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executará a garantia na forma prevista na legislação.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prestada pelo CONTRATADO será liberada ou restituída após a execução total do contrato ou após a sua extinção por culpa exclusiva do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a garantia for em dinheiro, o valor a ser devolvido, nos termos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9.8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será corrigido monetariamente.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de execução do contrato não desobriga o CONTRATADO de apresentar a garantia contratual dos bens adquiridos, legal e do fabricante, a qual deve ser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{{GARANTIA_BENS_DIAS}}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 mínimo.</w:t>
      </w:r>
    </w:p>
    <w:p>
      <w:r>
        <w:t xml:space="preserve">{%p endif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Obrigação das partes</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8"/>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CONTRATANTE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Exigir o cumprimento de todas as obrigações assumidas pelo CONTRATADO, de acordo com este contrato, Termo de Referência e anexos.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Receber o objeto no prazo e condições estabelecidas no Termo de Referência.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Notificar o CONTRATADO sobre vícios, defeitos ou incorreções verificadas no objeto fornecido para que ele seja substituído, reparado ou corrigido às suas expensas.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Acompanhar e fiscalizar a execução do contrato e o cumprimento das obrigações do CONTRATADO.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Efetuar o pagamento do objeto fornecido no prazo, forma e condições aqui estabelecidos.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Aplicar ao CONTRATADO as sanções decorrentes da inexecução total ou parcial do contrato. </w:t>
      </w:r>
    </w:p>
    <w:p>
      <w:pPr>
        <w:pStyle w:val="LO-normal"/>
        <w:keepNext w:val="false"/>
        <w:keepLines w:val="false"/>
        <w:pageBreakBefore w:val="false"/>
        <w:widowControl w:val="false"/>
        <w:numPr>
          <w:ilvl w:val="0"/>
          <w:numId w:val="9"/>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Decidir sobre as solicitações e reclamações relacionadas à execução do contrato, ressalvados os requerimentos meramente protelatórios, manifestamente impertinentes ou de nenhum interesse à boa execução do ajuste.</w:t>
      </w:r>
    </w:p>
    <w:p>
      <w:pPr>
        <w:pStyle w:val="LO-normal"/>
        <w:keepNext w:val="false"/>
        <w:keepLines w:val="false"/>
        <w:pageBreakBefore w:val="false"/>
        <w:widowControl/>
        <w:numPr>
          <w:ilvl w:val="1"/>
          <w:numId w:val="13"/>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Entregar o objeto no prazo constante no Termo de Referência, acompanhado do manual do usuário com uma versão em português e da relação da rede de assistência técnica autorizada.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Aceitar acréscimos ou supressões unilaterais impostos pelo CONTRATANTE de até 25% do valor atualizado do contrato, nas mesmas condições pactuadas inicialmente.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do objeto, nos termos dos arts. 12, 13 e 17 a 27, da Lei Federal nº 8.078/90.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CONTRATANTE, no prazo de até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48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horas antes da entrega, os motivos que impossibilitem o cumprimento do prazo previsto, com a devida comprovação.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Atender às determinações regulares emitidas pelo fiscal do contrato ou autoridade superior e prestar esclarecimentos ou informações por eles solicitados.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fixado pelo fiscal do contrato, reparar, corrigir, remover, reconstruir ou substituir às suas expensas os bens nos quais se verificarem vícios, defeitos ou incorreções resultantes da execução contratual ou dos materiais empregados.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decorrentes do cumprimento deste contrato e de todo dano causado ao CONTRATANTE ou a terceiros, cuja responsabilidade não será reduzida pela fiscalização ou acompanhamento da execução contratual pelo CONTRATANTE, o qual ficará autorizado a descontar o valor dos danos sofridos dos pagamentos devidos ou da garantia.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parte final, quando solicitado o CONTRATADO deverá entregar ao CONTRATANTE os seguintes documentos: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Prova de regularidade relativa à Seguridade Social.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conjunta relativa aos tributos federais e à Dívida Ativa da União.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Certidões que comprovem a regularidade perante a Fazenda Estadual ou Distrital da sede do CONTRATADO.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de Regularidade do FGTS.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Negativa de Débitos Trabalhistas.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Nota fiscal atestada pelo fiscal do contrato.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 cumprimento das obrigações previdenciárias, tributárias e as demais previstas em legislação específica, cuja inadimplência não transfere a responsabilidade ao CONTRATANTE.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fiscal do contrato, no prazo de 24 horas, qualquer ocorrência anormal que se verifique no local da execução do objeto contratual.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Manter durante a vigência do contrato todas as condições exigidas para habilitação na licitação ou para qualificação, na contratação direta.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durante todo o período de execução do contrato a reserva de cargos para pessoa com deficiência, reabilitado da Previdência Social, aprendiz e outras reservas de cargos previstas na legislação.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Comprovar o cumprimento da alínea acima no prazo fixado pelo fiscal do contrato, indicando os empregados que preencheram as referidas vagas.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Arcar com o ônus decorrente de eventual equívoco no dimensionamento do quantitativo de sua proposta, inclusive quanto aos custos variáveis decorrentes de fatores futuros e incertos, caso o previsto inicialmente em sua proposta não seja satisfatório para o atendimento do objeto da contratação, exceto quando ocorrer algum dos eventos do art. 124, II, d, da Lei Federal nº 14.133/21. </w:t>
      </w:r>
    </w:p>
    <w:p>
      <w:pPr>
        <w:pStyle w:val="LO-normal"/>
        <w:keepNext w:val="false"/>
        <w:keepLines w:val="false"/>
        <w:pageBreakBefore w:val="false"/>
        <w:widowControl w:val="false"/>
        <w:numPr>
          <w:ilvl w:val="0"/>
          <w:numId w:val="1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as normas de segurança do CONTRATANTE, além da legislação vigente em âmbito federal, estadual e municipal.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Responsabilidade por danos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responsabilidade pelos danos causados por ato do CONTRATADO, de seus empregados, prepostos ou subordinados, é exclusivamente do CONTRATADO.</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responsabilidade pelos compromissos assumidos pelo CONTRATADO com terceiros é exclusivamente sua. </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CONTRATANTE não responderá pelos compromissos assumidos pelo CONTRATADO com terceiros, ainda que vinculados à execução deste contrato, ou por qualquer dano causado por ato do CONTRATADO, de seus empregados, prepostos ou subordinados.</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Infrações e sanções administrativas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Constituem infrações administrativas do CONTRATADO a serem punidas com as seguintes sanções: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1"/>
        <w:tblW w:w="8503" w:type="dxa"/>
        <w:jc w:val="left"/>
        <w:tblInd w:w="-108" w:type="dxa"/>
        <w:tblLayout w:type="fixed"/>
        <w:tblCellMar>
          <w:top w:w="0" w:type="dxa"/>
          <w:left w:w="108" w:type="dxa"/>
          <w:bottom w:w="0" w:type="dxa"/>
          <w:right w:w="108" w:type="dxa"/>
        </w:tblCellMar>
        <w:tblLook w:val="0400"/>
      </w:tblPr>
      <w:tblGrid>
        <w:gridCol w:w="4676"/>
        <w:gridCol w:w="3826"/>
      </w:tblGrid>
      <w:tr>
        <w:trPr/>
        <w:tc>
          <w:tcPr>
            <w:tcW w:w="4676" w:type="dxa"/>
            <w:tcBorders/>
            <w:shd w:fill="0F4C81"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Infração</w:t>
            </w:r>
          </w:p>
        </w:tc>
        <w:tc>
          <w:tcPr>
            <w:tcW w:w="3826" w:type="dxa"/>
            <w:tcBorders/>
            <w:shd w:fill="EB293A"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Penalidade</w:t>
            </w:r>
          </w:p>
        </w:tc>
      </w:tr>
      <w:tr>
        <w:trPr/>
        <w:tc>
          <w:tcPr>
            <w:tcW w:w="4676" w:type="dxa"/>
            <w:tcBorders/>
            <w:vAlign w:val="center"/>
          </w:tcPr>
          <w:p>
            <w:pPr>
              <w:pStyle w:val="LO-normal"/>
              <w:keepNext w:val="false"/>
              <w:keepLines w:val="false"/>
              <w:widowControl w:val="false"/>
              <w:numPr>
                <w:ilvl w:val="0"/>
                <w:numId w:val="18"/>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parcial do contrato.</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Advertência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Exceto quando se justificar a imposição de penalidade mais grave, ocasião em que poderá ser aplicada a sanção de “Impedimento de licitar e contratar”.</w:t>
            </w:r>
          </w:p>
        </w:tc>
      </w:tr>
      <w:tr>
        <w:trPr>
          <w:trHeight w:val="64" w:hRule="atLeast"/>
        </w:trPr>
        <w:tc>
          <w:tcPr>
            <w:tcW w:w="4676" w:type="dxa"/>
            <w:tcBorders/>
            <w:shd w:fill="DBEEF3" w:val="clear"/>
            <w:vAlign w:val="center"/>
          </w:tcPr>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Dar causa à inexecução parcial do contrato que cause grave dano ao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contratante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ou ao funcionamento dos serviços públicos ou ao interesse coletivo.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total do contrato.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entregar a documentação exigida para o certame.</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manter sua proposta, salvo em decorrência de fato superveniente devidamente justificado.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Ensejar o retardamento da execução ou da entrega do objeto da contratação sem motivo justificado.</w:t>
            </w:r>
          </w:p>
        </w:tc>
        <w:tc>
          <w:tcPr>
            <w:tcW w:w="3826" w:type="dxa"/>
            <w:tcBorders/>
            <w:shd w:fill="FAC6CB"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Impedimento de licitar </w:t>
              <w:br/>
              <w:t>e contratar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Exceto quando se justificar a imposição de penalidade mais grave, ocasião em que poderá ser aplicada a sanção de “Declaração de inidoneidade para licitar e contratar”.</w:t>
            </w:r>
          </w:p>
        </w:tc>
      </w:tr>
      <w:tr>
        <w:trPr/>
        <w:tc>
          <w:tcPr>
            <w:tcW w:w="4676" w:type="dxa"/>
            <w:tcBorders/>
            <w:vAlign w:val="center"/>
          </w:tcPr>
          <w:p>
            <w:pPr>
              <w:pStyle w:val="LO-normal"/>
              <w:keepNext w:val="tru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Apresentar declaração ou documentação falsa exigida para o certame ou prestar declaração falsa durante a dispensa eletrônica ou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Fraudar a contratação ou praticar ato fraudulento na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Comportar-se de modo inidôneo ou cometer fraude de qualquer natureza.</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atos ilícitos com vistas a frustrar os objetivos do certame.</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 lesivo previsto no art. 5º da Lei Federal nº 12.846/13.</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Declaração de inidoneidade</w:t>
              <w:br/>
              <w:t>para licitar e contratar</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atraso superior a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 xml:space="preserve">{{PRAZO_ATRASO_RESCISAO}} dias corridos</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autoriza a rescisão do contrato por seu descumprimento, nos termos do art. 137, I, da Lei Federal n° 14.133/21.</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aplicação das sanções previstas neste contrato não exclui a obrigação de reparação integral do dano causado ao CONTRATANTE. </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podem ser cumuladas com as seguintes multas: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2"/>
        <w:tblW w:w="8503" w:type="dxa"/>
        <w:jc w:val="left"/>
        <w:tblInd w:w="-108" w:type="dxa"/>
        <w:tblLayout w:type="fixed"/>
        <w:tblCellMar>
          <w:top w:w="0" w:type="dxa"/>
          <w:left w:w="108" w:type="dxa"/>
          <w:bottom w:w="0" w:type="dxa"/>
          <w:right w:w="108" w:type="dxa"/>
        </w:tblCellMar>
        <w:tblLook w:val="0400"/>
      </w:tblPr>
      <w:tblGrid>
        <w:gridCol w:w="4252"/>
        <w:gridCol w:w="4250"/>
      </w:tblGrid>
      <w:tr>
        <w:trPr>
          <w:trHeight w:val="64" w:hRule="atLeast"/>
        </w:trPr>
        <w:tc>
          <w:tcPr>
            <w:tcW w:w="8502" w:type="dxa"/>
            <w:gridSpan w:val="2"/>
            <w:tcBorders/>
            <w:shd w:fill="0F4C81" w:val="clear"/>
            <w:vAlign w:val="center"/>
          </w:tcPr>
          <w:p>
            <w:pPr>
              <w:pStyle w:val="LO-normal"/>
              <w:keepNext w:val="false"/>
              <w:keepLines w:val="false"/>
              <w:widowControl w:val="false"/>
              <w:shd w:val="clear" w:fill="auto"/>
              <w:spacing w:lineRule="auto" w:line="240" w:before="0" w:after="120"/>
              <w:ind w:left="255" w:right="0" w:hanging="255"/>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Multa</w:t>
            </w:r>
          </w:p>
        </w:tc>
      </w:tr>
      <w:tr>
        <w:trPr>
          <w:trHeight w:val="64" w:hRule="atLeast"/>
        </w:trPr>
        <w:tc>
          <w:tcPr>
            <w:tcW w:w="4252" w:type="dxa"/>
            <w:tcBorders/>
            <w:shd w:fill="FFFFFF"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Moratória</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da parcela inadimplida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total do contrato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pela inobservância do prazo fixado para apresentação, suplementação ou reposição da garantia.</w:t>
            </w:r>
          </w:p>
        </w:tc>
        <w:tc>
          <w:tcPr>
            <w:tcW w:w="4250" w:type="dxa"/>
            <w:tcBorders/>
            <w:shd w:fill="FFFFFF" w:val="clea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Compensatória</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(um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sobre o valor total do contrato, no caso de inexecução total do seu 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aplicação das sanções, o CONTRATADO será notificado, através do Fiscal de Contrato, para apresentar defesa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contado de sua intimação.</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multa aplicada e as indenizações cabíveis forem superiores ao valor devido ao CONTRATADO, além da perda deste valor, a diferença será descontada da garantia prestada e/ou será cobrada judicialmente.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do ajuizamento da cobrança, a multa poderá ser recolhida administrativamente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do trânsito em julgado da decisão administrativa.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será precedida de processo administrativo em que seja assegurado o contraditório e a ampla defesa ao CONTRATADO, observando o rito especial previsto no art. 158 da Lei Federal nº 14.133/21 para as penalidades de impedimento de licitar e contratar e declaração de inidoneidade para licitar ou contratar.</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deve observar:</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natureza e gravidade da infração.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peculiaridades do caso.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circunstâncias agravantes e/ou atenuantes.</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danos causados ao CONTRATANTE.</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implantação ou aperfeiçoamento de programa de integridade, conforme normas e orientações dos órgãos de controle.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infrações administrativas tipificadas como atos lesivos na Lei Federal nº 12.846/13 serão apuradas e julgadas em conjunto com as infrações previstas neste contrato, nos mesmos autos.</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personalidade jurídica do CONTRATADO poderá ser desconsiderada quando for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o contraditório, ampla defesa e a obrigatoriedade de análise jurídica prévia.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da data de aplicação da sanção, o CONTRATANTE informará e manterá atualizados os dados relativos às sanções aplicadas por ela, para publicidade no Cadastro Nacional de Empresas Inidôneas e Suspensas (CEIS) e no Cadastro Nacional de Empresas Punidas (CNEP), instituídos no âmbito do Poder Executivo Federal.</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de impedimento de licitar e contratar e declaração de inidoneidade para licitar ou contratar são passíveis de reabilitação, na forma do art. 163 da Lei Federal nº 14.133/21.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Alterações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alterações contratuais serão disciplinadas pelo art. 124 e seguintes da Lei Federal nº 14.133/21.</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haja interesse público, o CONTRATANTE pode alterar unilateralmente o contrato para impor acréscimos ou supressões de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25%</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mantidas as mesmas condições pactuadas inicialmente.</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PARTES podem acordar suprimir o objeto do contrato em percentual superior a 25% do valor inicial atualizado do contrato.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acréscimos ou supressões não podem transfigurar o objeto da contratação.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Registros que não caracterizam alteração do contrato podem ser realizados por simples apostila, dispensada a celebração de termo aditivo, conforme art. 136 da Lei Federal nº 14.133/21.</w:t>
      </w:r>
    </w:p>
    <w:p>
      <w:pPr>
        <w:pStyle w:val="LO-normal"/>
        <w:keepNext w:val="false"/>
        <w:keepLines w:val="false"/>
        <w:pageBreakBefore w:val="false"/>
        <w:widowControl w:val="false"/>
        <w:shd w:val="clear" w:fill="auto"/>
        <w:spacing w:lineRule="auto" w:line="240" w:before="0" w:after="120"/>
        <w:ind w:left="405"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ascii="Calibri" w:hAnsi="Calibri"/>
              </w:rPr>
            </w:r>
            <w:r>
              <w:rPr>
                <w:rFonts w:ascii="Calibri" w:hAnsi="Calibri"/>
              </w:rPr>
            </w:r>
            <w:r>
              <w:rPr>
                <w:rFonts w:eastAsia="Quattrocento Sans" w:cs="Quattrocento Sans" w:ascii="Calibri" w:hAnsi="Calibri"/>
                <w:smallCaps/>
              </w:rPr>
              <w:t>CLÁUSULA 14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ascii="Calibri" w:hAnsi="Calibri"/>
              </w:rPr>
            </w:r>
            <w:r>
              <w:rPr>
                <w:rFonts w:ascii="Calibri" w:hAnsi="Calibri"/>
              </w:rPr>
            </w:r>
            <w:r>
              <w:rPr>
                <w:rFonts w:eastAsia="Quattrocento Sans" w:cs="Quattrocento Sans" w:ascii="Calibri" w:hAnsi="Calibri"/>
                <w:smallCaps/>
              </w:rPr>
              <w:t>Extinções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contrato se extingue quando todas as obrigações de ambas as PARTES forem cumpridas, ainda que isso ocorra antes do prazo estipulado.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as obrigações não forem cumpridas no prazo estipulado, a vigência ficará prorrogada até a conclusão do objeto, caso em que o CONTRATANTE deverá providenciar a readequação do cronograma fixado para cumprimento do contrato.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não conclusão do contrato decorrer de culpa do CONTRATADO, ele ficará constituído em mora, devendo ser instaurado procedimento de inexecução contratual para a aplicação das sanções administrativas cabíveis.</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14.3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poderá optar, ainda, pela extinção do contrato e adotar as medidas previstas em lei para a continuidade da execução do objeto.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5"/>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Fiscalização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cumprimento do contrato será fiscalizado pelo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servidor {{FISCAL_TITULAR}}, matrícula nº {{MATRICULA_TITULAR}}, fiscal titular, e pelo servidor {{FISCAL_SUPLENTE}}, matrícula nº {{MATRICULA_SUPLENTE}}, fiscal suplente, ambos lotados no {{SETOR_FISCAL}}</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conforme ato a ser publicado no Diário Oficial do Estado.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Interpretação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5"/>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dúvidas interpretativas sobre as cláusulas deste contrato deverão ser suscitadas ao CONTRATANTE e serão decididas por ele, de acordo com a Lei Federal nº 14.133/21, seus regulamentos, Lei Estadual n° 8.972/20 </w:t>
      </w:r>
      <w:r>
        <w:rPr>
          <w:rFonts w:eastAsia="Quattrocento Sans" w:cs="Quattrocento Sans" w:ascii="Calibri" w:hAnsi="Calibri"/>
          <w:sz w:val="24"/>
          <w:szCs w:val="24"/>
        </w:rPr>
        <w:t xml:space="preserve">e suas alterações 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observando a jurisprudência dos Tribunais sobre o assunto.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Tratamento adequado dos conflitos de interesse</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permanecendo o conflito de interesse, as PARTES se comprometem a submeter a disputa preferencialmente à CÂMARA DE NEGOCIAÇÃO, CONCILIAÇÃO, MEDIAÇÃO E ARBITRAGEM DA ADMINISTRAÇÃO PÚBLICA ESTADUAL para dirimir os conflitos decorrentes deste contrato de maneira consensual, conforme Lei Complementar Estadual n° 121/19.</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Divulgação e publicação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divulgará este contrato no Portal Nacional de Contratações Públicas (PNCP)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o publicará no Diário Oficial do Estado em forma de extrato,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Os prazos contidos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18.1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são contados da data da assinatura do contrato.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Vigência</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8"/>
        </w:numPr>
        <w:shd w:val="clear" w:fill="auto"/>
        <w:spacing w:lineRule="auto" w:line="240" w:before="0" w:after="120"/>
        <w:ind w:left="0" w:right="0" w:hanging="0"/>
        <w:jc w:val="both"/>
        <w:rPr>
          <w:rFonts w:ascii="Calibri" w:hAnsi="Calibri"/>
        </w:rPr>
      </w:pPr>
      <w:r>
        <w:rPr>
          <w:rFonts w:ascii="Calibri" w:hAnsi="Calibri"/>
        </w:rPr>
      </w:r>
      <w:r>
        <w:rPr>
          <w:rFonts w:ascii="Calibri" w:hAnsi="Calibri"/>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contrato terá vigência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{{PRAZO_VIGENCIA_EXTENSO}} meses, com início em {{DATA_INICIO}} e término em {{DATA_FIM}}{{VIGENCIA_COMPLEMENTO}}.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o objeto não for concluído no período acima fixado, o prazo de vigência do contrato será automaticamente prorrogado, sem prejuízo da aplicação dos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itens 14.3 e 14.4</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quando a não conclusão decorrer de culpa do CONTRATADO. </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prorrogação da vigência do contrato, o CONTRATANTE deverá verificar a regularidade fiscal do CONTRATADO, consultar o CEIS e o CNEP, emitir as certidões negativas de inidoneidade, de impedimento e de débitos trabalhistas e juntá-las ao respectivo processo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3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8" w:name="_heading=h.mywnjzqib84d"/>
            <w:bookmarkEnd w:id="8"/>
            <w:r>
              <w:rPr>
                <w:rFonts w:eastAsia="Quattrocento Sans" w:cs="Quattrocento Sans" w:ascii="Calibri" w:hAnsi="Calibri"/>
                <w:smallCaps/>
              </w:rPr>
              <w:t>CLÁUSULA 20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Casos omissos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3"/>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tbl>
      <w:tblPr>
        <w:tblStyle w:val="Table3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21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Foro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PARTES elegem o foro da Comarca de Belém-PA para resolver os litígios oriundos deste contrato, 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bookmarkStart w:id="9" w:name="bookmark=id.49x2ik5_Copia_1"/>
      <w:bookmarkStart w:id="10" w:name="bookmark=id.3o7alnk"/>
      <w:bookmarkStart w:id="11" w:name="bookmark=id.49x2ik5"/>
      <w:bookmarkEnd w:id="11"/>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2" w:name="bookmark=id.3o7alnk_Copia_1"/>
      <w:bookmarkStart w:id="13" w:name="bookmark=id.3o7alnk_Copia_1"/>
      <w:bookmarkEnd w:id="9"/>
      <w:bookmarkEnd w:id="10"/>
      <w:bookmarkEnd w:id="13"/>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4" w:name="bookmark=id.3o7alnk_Copia_1_Copia_1"/>
      <w:bookmarkStart w:id="15" w:name="bookmark=id.3o7alnk_Copia_1_Copia_1"/>
      <w:bookmarkEnd w:id="15"/>
    </w:p>
    <w:p>
      <w:pPr>
        <w:pStyle w:val="LO-normal"/>
        <w:keepNext w:val="false"/>
        <w:keepLines w:val="false"/>
        <w:pageBreakBefore w:val="false"/>
        <w:widowControl w:val="false"/>
        <w:shd w:val="clear" w:fill="auto"/>
        <w:tabs>
          <w:tab w:val="clear" w:pos="720"/>
          <w:tab w:val="left" w:pos="6403" w:leader="none"/>
          <w:tab w:val="left" w:pos="8327" w:leader="none"/>
        </w:tabs>
        <w:spacing w:lineRule="auto" w:line="240" w:before="0" w:after="120"/>
        <w:ind w:left="4536" w:right="0" w:hanging="0"/>
        <w:jc w:val="right"/>
        <w:rPr>
          <w:rFonts w:ascii="Calibri" w:hAnsi="Calibri"/>
        </w:rPr>
      </w:pPr>
      <w:bookmarkStart w:id="16" w:name="_heading=h.23ckvvd"/>
      <w:bookmarkEnd w:id="16"/>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Belém-PA, {{DATA_ASSINATURA_EXTENSO}}.</w:t>
      </w:r>
    </w:p>
    <w:p>
      <w:pPr>
        <w:pStyle w:val="LO-normal"/>
        <w:keepNext w:val="false"/>
        <w:keepLines w:val="false"/>
        <w:pageBreakBefore w:val="false"/>
        <w:widowControl w:val="false"/>
        <w:shd w:val="clear" w:fill="auto"/>
        <w:spacing w:lineRule="auto" w:line="240" w:before="0" w:after="120"/>
        <w:ind w:left="0" w:right="0" w:hanging="0"/>
        <w:jc w:val="righ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7" w:name="_heading=h.1t3h5sf"/>
      <w:bookmarkStart w:id="18" w:name="_heading=h.1t3h5sf"/>
      <w:bookmarkEnd w:id="1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t xml:space="preserve">{{AUTORIDADE_ASSINATURA}}</w:t>
      </w:r>
      <w:r>
        <mc:AlternateContent>
          <mc:Choice Requires="wps">
            <w:drawing>
              <wp:anchor behindDoc="0" distT="0" distB="635" distL="0" distR="0" simplePos="0" locked="0" layoutInCell="0" allowOverlap="1" relativeHeight="25">
                <wp:simplePos x="0" y="0"/>
                <wp:positionH relativeFrom="column">
                  <wp:posOffset>953770</wp:posOffset>
                </wp:positionH>
                <wp:positionV relativeFrom="paragraph">
                  <wp:posOffset>166370</wp:posOffset>
                </wp:positionV>
                <wp:extent cx="69850" cy="71755"/>
                <wp:effectExtent l="0" t="0" r="0" b="0"/>
                <wp:wrapTopAndBottom/>
                <wp:docPr id="9" name="Shape 3"/>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19" w:name="_heading=h.jboxs6hv44q"/>
      <w:bookmarkEnd w:id="19"/>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{{AUTORIDADE_CARGO}}</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bookmarkStart w:id="20" w:name="_heading=h.tfxhcn9ko5xb"/>
      <w:bookmarkStart w:id="21" w:name="_heading=h.tfxhcn9ko5xb"/>
      <w:bookmarkEnd w:id="21"/>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22" w:name="_heading=h.1hmsyys"/>
      <w:bookmarkEnd w:id="22"/>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r>
      <w:r>
        <mc:AlternateContent>
          <mc:Choice Requires="wps">
            <w:drawing>
              <wp:anchor behindDoc="0" distT="0" distB="0" distL="0" distR="0" simplePos="0" locked="0" layoutInCell="0" allowOverlap="1" relativeHeight="24">
                <wp:simplePos x="0" y="0"/>
                <wp:positionH relativeFrom="column">
                  <wp:posOffset>953770</wp:posOffset>
                </wp:positionH>
                <wp:positionV relativeFrom="paragraph">
                  <wp:posOffset>103505</wp:posOffset>
                </wp:positionV>
                <wp:extent cx="69850" cy="71755"/>
                <wp:effectExtent l="0" t="0" r="0" b="0"/>
                <wp:wrapTopAndBottom/>
                <wp:docPr id="10" name="Shape 4"/>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color w:val="000000"/>
        </w:rPr>
        <w:t xml:space="preserve">{{NOME_REPRESENTANTE}}</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Representante legal – {{NOME_CONTRATADA}}</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3" w:name="bookmark=id.41mghml"/>
      <w:bookmarkStart w:id="24" w:name="bookmark=id.41mghml"/>
      <w:bookmarkEnd w:id="24"/>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5" w:name="bookmark=id.41mghml_Copia_1"/>
      <w:bookmarkStart w:id="26" w:name="bookmark=id.41mghml_Copia_1"/>
      <w:bookmarkStart w:id="27" w:name="bookmark=id.41mghml_Copia_1"/>
      <w:bookmarkStart w:id="28" w:name="bookmark=id.41mghml_Copia_1"/>
      <w:bookmarkEnd w:id="27"/>
      <w:bookmarkEnd w:id="2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9" w:name="bookmark=id.41mghml_Copia_1_Copia_1"/>
      <w:bookmarkStart w:id="30" w:name="bookmark=id.41mghml_Copia_1_Copia_1"/>
      <w:bookmarkEnd w:id="30"/>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TESTEMUNHAS:</w:t>
      </w:r>
      <w:bookmarkStart w:id="31" w:name="bookmark=id.2grqrue"/>
      <w:bookmarkEnd w:id="31"/>
    </w:p>
    <w:p>
      <w:pPr>
        <w:pStyle w:val="LO-normal"/>
        <w:keepNext w:val="false"/>
        <w:keepLines w:val="false"/>
        <w:pageBreakBefore w:val="false"/>
        <w:widowControl w:val="false"/>
        <w:shd w:val="clear" w:fill="auto"/>
        <w:tabs>
          <w:tab w:val="clear" w:pos="720"/>
          <w:tab w:val="left" w:pos="4252" w:leader="none"/>
          <w:tab w:val="left" w:pos="4735" w:leader="none"/>
          <w:tab w:val="left" w:pos="8808"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1ª</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ab/>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b/>
        <w:t xml:space="preserve">2ª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 xml:space="preserve"> </w:t>
        <w:tab/>
      </w:r>
      <w:bookmarkStart w:id="32" w:name="bookmark=id.vx1227"/>
      <w:bookmarkEnd w:id="32"/>
    </w:p>
    <w:p>
      <w:pPr>
        <w:pStyle w:val="LO-normal"/>
        <w:keepNext w:val="false"/>
        <w:keepLines w:val="false"/>
        <w:pageBreakBefore w:val="false"/>
        <w:widowControl w:val="false"/>
        <w:shd w:val="clear" w:fill="auto"/>
        <w:tabs>
          <w:tab w:val="clear" w:pos="720"/>
          <w:tab w:val="left" w:pos="4687"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CPF Nº</w:t>
        <w:tab/>
        <w:t>CPF Nº</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493" w:top="1701" w:footer="663"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w:charset w:val="00"/>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drawing>
        <wp:anchor behindDoc="1" distT="0" distB="0" distL="0" distR="0" simplePos="0" locked="0" layoutInCell="1" allowOverlap="1" relativeHeight="0">
          <wp:simplePos x="0" y="0"/>
          <wp:positionH relativeFrom="column">
            <wp:posOffset>32385</wp:posOffset>
          </wp:positionH>
          <wp:positionV relativeFrom="paragraph">
            <wp:posOffset>-14605</wp:posOffset>
          </wp:positionV>
          <wp:extent cx="330200" cy="460375"/>
          <wp:effectExtent l="0" t="0" r="0" b="0"/>
          <wp:wrapNone/>
          <wp:docPr id="1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 descr=""/>
                  <pic:cNvPicPr>
                    <a:picLocks noChangeAspect="1" noChangeArrowheads="1"/>
                  </pic:cNvPicPr>
                </pic:nvPicPr>
                <pic:blipFill>
                  <a:blip r:embed="rId2"/>
                  <a:stretch>
                    <a:fillRect/>
                  </a:stretch>
                </pic:blipFill>
                <pic:spPr bwMode="auto">
                  <a:xfrm>
                    <a:off x="0" y="0"/>
                    <a:ext cx="330200" cy="460375"/>
                  </a:xfrm>
                  <a:prstGeom prst="rect">
                    <a:avLst/>
                  </a:prstGeom>
                </pic:spPr>
              </pic:pic>
            </a:graphicData>
          </a:graphic>
        </wp:anchor>
      </w:drawing>
    </w: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3">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1" name="image5.png Copia 2"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Copia 2"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3" w:name="_heading=h.7bqrljv6ip2n_Copia_3"/>
    <w:bookmarkEnd w:id="33"/>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4" w:name="_heading=h.hq7m16r0g9kw_Copia_3"/>
    <w:bookmarkEnd w:id="34"/>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sz w:val="18"/>
        <w:szCs w:val="18"/>
      </w:rPr>
      <w:t xml:space="preserve"/>
    </w:r>
    <w:r>
      <w:rPr>
        <w:color w:val="4F81BD"/>
        <w:sz w:val="20"/>
        <w:szCs w:val="20"/>
      </w:rPr>
      <w:t xml:space="preserve"/>
    </w: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2" name="Figura3"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3" descr="\\Cbm225\bckp cpl\2022\LOGOMARCA CBMPA E CEDEC.png"/>
                  <pic:cNvPicPr>
                    <a:picLocks noChangeAspect="1" noChangeArrowheads="1"/>
                  </pic:cNvPicPr>
                </pic:nvPicPr>
                <pic:blipFill>
                  <a:blip r:embed="rId2"/>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 xml:space="preserve"/>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5" w:name="_heading=h.2hmlevpdjj9f"/>
    <w:bookmarkEnd w:id="35"/>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6" w:name="_heading=h.zbfg057ntjjz"/>
    <w:bookmarkEnd w:id="36"/>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b w:val="false"/>
        <w:bCs w:val="false"/>
        <w:i w:val="false"/>
        <w:iCs w:val="false"/>
        <w:caps w:val="false"/>
        <w:smallCaps w:val="false"/>
        <w:strike w:val="false"/>
        <w:dstrike w:val="false"/>
        <w:color w:val="4F81BD"/>
        <w:position w:val="0"/>
        <w:sz w:val="20"/>
        <w:sz w:val="20"/>
        <w:szCs w:val="20"/>
        <w:u w:val="none"/>
        <w:shd w:fill="auto" w:val="clear"/>
        <w:vertAlign w:val="baseline"/>
      </w:rPr>
      <w:t xml:space="preserve"/>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3"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7" w:name="_heading=h.7bqrljv6ip2n"/>
    <w:bookmarkEnd w:id="37"/>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8" w:name="_heading=h.hq7m16r0g9kw"/>
    <w:bookmarkEnd w:id="38"/>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color w:val="4F81BD"/>
        <w:sz w:val="18"/>
        <w:szCs w:val="18"/>
      </w:rPr>
      <w:t xml:space="preserve"/>
    </w:r>
    <w:r>
      <w:rPr>
        <w:color w:val="4F81BD"/>
        <w:sz w:val="20"/>
        <w:szCs w:val="20"/>
      </w:rPr>
      <w:t xml:space="preserve"/>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4"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9" w:name="_heading=h.7bqrljv6ip2n"/>
    <w:bookmarkEnd w:id="39"/>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40" w:name="_heading=h.hq7m16r0g9kw"/>
    <w:bookmarkEnd w:id="40"/>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nº {{NUM_PAE}}</w:t>
    </w:r>
    <w:r>
      <w:rPr>
        <w:color w:val="4F81BD"/>
        <w:sz w:val="20"/>
        <w:szCs w:val="20"/>
      </w:rPr>
      <w:t xml:space="preserve"/>
    </w:r>
    <w:r>
      <w:rPr>
        <w:rFonts w:eastAsia="Roboto" w:cs="Roboto" w:ascii="Roboto" w:hAnsi="Roboto"/>
        <w:b/>
        <w:bCs/>
        <w:color w:val="4F81BD"/>
        <w:sz w:val="18"/>
        <w:szCs w:val="18"/>
      </w:rPr>
      <w:t xml:space="preserve"/>
    </w:r>
    <w:r>
      <w:rPr>
        <w:color w:val="4F81BD"/>
        <w:sz w:val="20"/>
        <w:szCs w:val="20"/>
      </w:rPr>
      <w:t xml:space="preserve"/>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
    <w:lvl w:ilvl="0">
      <w:start w:val="21"/>
      <w:numFmt w:val="decimal"/>
      <w:lvlText w:val="%1."/>
      <w:lvlJc w:val="left"/>
      <w:pPr>
        <w:tabs>
          <w:tab w:val="num" w:pos="0"/>
        </w:tabs>
        <w:ind w:left="390" w:hanging="390"/>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3">
    <w:lvl w:ilvl="0">
      <w:start w:val="20"/>
      <w:numFmt w:val="decimal"/>
      <w:lvlText w:val="%1."/>
      <w:lvlJc w:val="left"/>
      <w:pPr>
        <w:tabs>
          <w:tab w:val="num" w:pos="0"/>
        </w:tabs>
        <w:ind w:left="465" w:hanging="465"/>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4">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5"/>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7">
    <w:lvl w:ilvl="0">
      <w:start w:val="9"/>
      <w:numFmt w:val="decimal"/>
      <w:lvlText w:val="%1."/>
      <w:lvlJc w:val="left"/>
      <w:pPr>
        <w:tabs>
          <w:tab w:val="num" w:pos="0"/>
        </w:tabs>
        <w:ind w:left="375" w:hanging="375"/>
      </w:pPr>
      <w:rPr/>
    </w:lvl>
    <w:lvl w:ilvl="1">
      <w:start w:val="2"/>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8">
    <w:lvl w:ilvl="0">
      <w:start w:val="10"/>
      <w:numFmt w:val="decimal"/>
      <w:lvlText w:val="%1"/>
      <w:lvlJc w:val="left"/>
      <w:pPr>
        <w:tabs>
          <w:tab w:val="num" w:pos="0"/>
        </w:tabs>
        <w:ind w:left="360" w:hanging="360"/>
      </w:pPr>
      <w:rPr>
        <w:b/>
        <w:bCs/>
      </w:rPr>
    </w:lvl>
    <w:lvl w:ilvl="1">
      <w:start w:val="1"/>
      <w:numFmt w:val="decimal"/>
      <w:lvlText w:val="%1.%2"/>
      <w:lvlJc w:val="left"/>
      <w:pPr>
        <w:tabs>
          <w:tab w:val="num" w:pos="0"/>
        </w:tabs>
        <w:ind w:left="735" w:hanging="360"/>
      </w:pPr>
      <w:rPr>
        <w:b/>
        <w:bCs/>
      </w:rPr>
    </w:lvl>
    <w:lvl w:ilvl="2">
      <w:start w:val="1"/>
      <w:numFmt w:val="decimal"/>
      <w:lvlText w:val="%1.%2.%3"/>
      <w:lvlJc w:val="left"/>
      <w:pPr>
        <w:tabs>
          <w:tab w:val="num" w:pos="0"/>
        </w:tabs>
        <w:ind w:left="1470" w:hanging="720"/>
      </w:pPr>
      <w:rPr>
        <w:b/>
        <w:bCs/>
      </w:rPr>
    </w:lvl>
    <w:lvl w:ilvl="3">
      <w:start w:val="1"/>
      <w:numFmt w:val="decimal"/>
      <w:lvlText w:val="%1.%2.%3.%4"/>
      <w:lvlJc w:val="left"/>
      <w:pPr>
        <w:tabs>
          <w:tab w:val="num" w:pos="0"/>
        </w:tabs>
        <w:ind w:left="2205" w:hanging="1080"/>
      </w:pPr>
      <w:rPr>
        <w:b/>
        <w:bCs/>
      </w:rPr>
    </w:lvl>
    <w:lvl w:ilvl="4">
      <w:start w:val="1"/>
      <w:numFmt w:val="decimal"/>
      <w:lvlText w:val="%1.%2.%3.%4.%5"/>
      <w:lvlJc w:val="left"/>
      <w:pPr>
        <w:tabs>
          <w:tab w:val="num" w:pos="0"/>
        </w:tabs>
        <w:ind w:left="2580" w:hanging="1080"/>
      </w:pPr>
      <w:rPr>
        <w:b/>
        <w:bCs/>
      </w:rPr>
    </w:lvl>
    <w:lvl w:ilvl="5">
      <w:start w:val="1"/>
      <w:numFmt w:val="decimal"/>
      <w:lvlText w:val="%1.%2.%3.%4.%5.%6"/>
      <w:lvlJc w:val="left"/>
      <w:pPr>
        <w:tabs>
          <w:tab w:val="num" w:pos="0"/>
        </w:tabs>
        <w:ind w:left="3315" w:hanging="1440"/>
      </w:pPr>
      <w:rPr>
        <w:b/>
        <w:bCs/>
      </w:rPr>
    </w:lvl>
    <w:lvl w:ilvl="6">
      <w:start w:val="1"/>
      <w:numFmt w:val="decimal"/>
      <w:lvlText w:val="%1.%2.%3.%4.%5.%6.%7"/>
      <w:lvlJc w:val="left"/>
      <w:pPr>
        <w:tabs>
          <w:tab w:val="num" w:pos="0"/>
        </w:tabs>
        <w:ind w:left="3690" w:hanging="1440"/>
      </w:pPr>
      <w:rPr>
        <w:b/>
        <w:bCs/>
      </w:rPr>
    </w:lvl>
    <w:lvl w:ilvl="7">
      <w:start w:val="1"/>
      <w:numFmt w:val="decimal"/>
      <w:lvlText w:val="%1.%2.%3.%4.%5.%6.%7.%8"/>
      <w:lvlJc w:val="left"/>
      <w:pPr>
        <w:tabs>
          <w:tab w:val="num" w:pos="0"/>
        </w:tabs>
        <w:ind w:left="4425" w:hanging="1800"/>
      </w:pPr>
      <w:rPr>
        <w:b/>
        <w:bCs/>
      </w:rPr>
    </w:lvl>
    <w:lvl w:ilvl="8">
      <w:start w:val="1"/>
      <w:numFmt w:val="decimal"/>
      <w:lvlText w:val="%1.%2.%3.%4.%5.%6.%7.%8.%9"/>
      <w:lvlJc w:val="left"/>
      <w:pPr>
        <w:tabs>
          <w:tab w:val="num" w:pos="0"/>
        </w:tabs>
        <w:ind w:left="4800" w:hanging="1800"/>
      </w:pPr>
      <w:rPr>
        <w:b/>
        <w:bCs/>
      </w:rPr>
    </w:lvl>
  </w:abstractNum>
  <w:abstractNum w:abstractNumId="9">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2"/>
      <w:numFmt w:val="decimal"/>
      <w:lvlText w:val="%1."/>
      <w:lvlJc w:val="left"/>
      <w:pPr>
        <w:tabs>
          <w:tab w:val="num" w:pos="0"/>
        </w:tabs>
        <w:ind w:left="360" w:hanging="360"/>
      </w:pPr>
      <w:rPr>
        <w:b w:val="false"/>
        <w:bCs w:val="false"/>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val="false"/>
        <w:bCs w:val="false"/>
      </w:rPr>
    </w:lvl>
    <w:lvl w:ilvl="3">
      <w:start w:val="1"/>
      <w:numFmt w:val="decimal"/>
      <w:lvlText w:val="%1.%2.%3.%4."/>
      <w:lvlJc w:val="left"/>
      <w:pPr>
        <w:tabs>
          <w:tab w:val="num" w:pos="0"/>
        </w:tabs>
        <w:ind w:left="3240" w:hanging="1080"/>
      </w:pPr>
      <w:rPr>
        <w:b w:val="false"/>
        <w:bCs w:val="false"/>
      </w:rPr>
    </w:lvl>
    <w:lvl w:ilvl="4">
      <w:start w:val="1"/>
      <w:numFmt w:val="decimal"/>
      <w:lvlText w:val="%1.%2.%3.%4.%5."/>
      <w:lvlJc w:val="left"/>
      <w:pPr>
        <w:tabs>
          <w:tab w:val="num" w:pos="0"/>
        </w:tabs>
        <w:ind w:left="3960" w:hanging="1080"/>
      </w:pPr>
      <w:rPr>
        <w:b w:val="false"/>
        <w:bCs w:val="false"/>
      </w:rPr>
    </w:lvl>
    <w:lvl w:ilvl="5">
      <w:start w:val="1"/>
      <w:numFmt w:val="decimal"/>
      <w:lvlText w:val="%1.%2.%3.%4.%5.%6."/>
      <w:lvlJc w:val="left"/>
      <w:pPr>
        <w:tabs>
          <w:tab w:val="num" w:pos="0"/>
        </w:tabs>
        <w:ind w:left="5040" w:hanging="1440"/>
      </w:pPr>
      <w:rPr>
        <w:b w:val="false"/>
        <w:bCs w:val="false"/>
      </w:rPr>
    </w:lvl>
    <w:lvl w:ilvl="6">
      <w:start w:val="1"/>
      <w:numFmt w:val="decimal"/>
      <w:lvlText w:val="%1.%2.%3.%4.%5.%6.%7."/>
      <w:lvlJc w:val="left"/>
      <w:pPr>
        <w:tabs>
          <w:tab w:val="num" w:pos="0"/>
        </w:tabs>
        <w:ind w:left="6120" w:hanging="1800"/>
      </w:pPr>
      <w:rPr>
        <w:b w:val="false"/>
        <w:bCs w:val="false"/>
      </w:rPr>
    </w:lvl>
    <w:lvl w:ilvl="7">
      <w:start w:val="1"/>
      <w:numFmt w:val="decimal"/>
      <w:lvlText w:val="%1.%2.%3.%4.%5.%6.%7.%8."/>
      <w:lvlJc w:val="left"/>
      <w:pPr>
        <w:tabs>
          <w:tab w:val="num" w:pos="0"/>
        </w:tabs>
        <w:ind w:left="6840" w:hanging="1800"/>
      </w:pPr>
      <w:rPr>
        <w:b w:val="false"/>
        <w:bCs w:val="false"/>
      </w:rPr>
    </w:lvl>
    <w:lvl w:ilvl="8">
      <w:start w:val="1"/>
      <w:numFmt w:val="decimal"/>
      <w:lvlText w:val="%1.%2.%3.%4.%5.%6.%7.%8.%9."/>
      <w:lvlJc w:val="left"/>
      <w:pPr>
        <w:tabs>
          <w:tab w:val="num" w:pos="0"/>
        </w:tabs>
        <w:ind w:left="7920" w:hanging="2160"/>
      </w:pPr>
      <w:rPr>
        <w:b w:val="false"/>
        <w:bCs w:val="false"/>
      </w:rPr>
    </w:lvl>
  </w:abstractNum>
  <w:abstractNum w:abstractNumId="11">
    <w:lvl w:ilvl="0">
      <w:start w:val="6"/>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12">
    <w:lvl w:ilvl="0">
      <w:start w:val="14"/>
      <w:numFmt w:val="decimal"/>
      <w:lvlText w:val="%1."/>
      <w:lvlJc w:val="left"/>
      <w:pPr>
        <w:tabs>
          <w:tab w:val="num" w:pos="0"/>
        </w:tabs>
        <w:ind w:left="390" w:hanging="390"/>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13">
    <w:lvl w:ilvl="0">
      <w:start w:val="10"/>
      <w:numFmt w:val="decimal"/>
      <w:lvlText w:val="%1."/>
      <w:lvlJc w:val="left"/>
      <w:pPr>
        <w:tabs>
          <w:tab w:val="num" w:pos="0"/>
        </w:tabs>
        <w:ind w:left="465" w:hanging="465"/>
      </w:pPr>
      <w:rPr>
        <w:b/>
        <w:bCs/>
      </w:rPr>
    </w:lvl>
    <w:lvl w:ilvl="1">
      <w:start w:val="2"/>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bCs/>
      </w:rPr>
    </w:lvl>
    <w:lvl w:ilvl="3">
      <w:start w:val="1"/>
      <w:numFmt w:val="decimal"/>
      <w:lvlText w:val="%1.%2.%3.%4."/>
      <w:lvlJc w:val="left"/>
      <w:pPr>
        <w:tabs>
          <w:tab w:val="num" w:pos="0"/>
        </w:tabs>
        <w:ind w:left="3240" w:hanging="1080"/>
      </w:pPr>
      <w:rPr>
        <w:b/>
        <w:bCs/>
      </w:rPr>
    </w:lvl>
    <w:lvl w:ilvl="4">
      <w:start w:val="1"/>
      <w:numFmt w:val="decimal"/>
      <w:lvlText w:val="%1.%2.%3.%4.%5."/>
      <w:lvlJc w:val="left"/>
      <w:pPr>
        <w:tabs>
          <w:tab w:val="num" w:pos="0"/>
        </w:tabs>
        <w:ind w:left="3960" w:hanging="1080"/>
      </w:pPr>
      <w:rPr>
        <w:b/>
        <w:bCs/>
      </w:rPr>
    </w:lvl>
    <w:lvl w:ilvl="5">
      <w:start w:val="1"/>
      <w:numFmt w:val="decimal"/>
      <w:lvlText w:val="%1.%2.%3.%4.%5.%6."/>
      <w:lvlJc w:val="left"/>
      <w:pPr>
        <w:tabs>
          <w:tab w:val="num" w:pos="0"/>
        </w:tabs>
        <w:ind w:left="5040" w:hanging="1440"/>
      </w:pPr>
      <w:rPr>
        <w:b/>
        <w:bCs/>
      </w:rPr>
    </w:lvl>
    <w:lvl w:ilvl="6">
      <w:start w:val="1"/>
      <w:numFmt w:val="decimal"/>
      <w:lvlText w:val="%1.%2.%3.%4.%5.%6.%7."/>
      <w:lvlJc w:val="left"/>
      <w:pPr>
        <w:tabs>
          <w:tab w:val="num" w:pos="0"/>
        </w:tabs>
        <w:ind w:left="5760" w:hanging="1440"/>
      </w:pPr>
      <w:rPr>
        <w:b/>
        <w:bCs/>
      </w:rPr>
    </w:lvl>
    <w:lvl w:ilvl="7">
      <w:start w:val="1"/>
      <w:numFmt w:val="decimal"/>
      <w:lvlText w:val="%1.%2.%3.%4.%5.%6.%7.%8."/>
      <w:lvlJc w:val="left"/>
      <w:pPr>
        <w:tabs>
          <w:tab w:val="num" w:pos="0"/>
        </w:tabs>
        <w:ind w:left="6840" w:hanging="1800"/>
      </w:pPr>
      <w:rPr>
        <w:b/>
        <w:bCs/>
      </w:rPr>
    </w:lvl>
    <w:lvl w:ilvl="8">
      <w:start w:val="1"/>
      <w:numFmt w:val="decimal"/>
      <w:lvlText w:val="%1.%2.%3.%4.%5.%6.%7.%8.%9."/>
      <w:lvlJc w:val="left"/>
      <w:pPr>
        <w:tabs>
          <w:tab w:val="num" w:pos="0"/>
        </w:tabs>
        <w:ind w:left="7920" w:hanging="2160"/>
      </w:pPr>
      <w:rPr>
        <w:b/>
        <w:bCs/>
      </w:rPr>
    </w:lvl>
  </w:abstractNum>
  <w:abstractNum w:abstractNumId="14">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1"/>
      <w:numFmt w:val="decimal"/>
      <w:lvlText w:val="%1."/>
      <w:lvlJc w:val="left"/>
      <w:pPr>
        <w:tabs>
          <w:tab w:val="num" w:pos="0"/>
        </w:tabs>
        <w:ind w:left="360" w:hanging="36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6">
    <w:lvl w:ilvl="0">
      <w:start w:val="12"/>
      <w:numFmt w:val="decimal"/>
      <w:lvlText w:val="%1."/>
      <w:lvlJc w:val="left"/>
      <w:pPr>
        <w:tabs>
          <w:tab w:val="num" w:pos="0"/>
        </w:tabs>
        <w:ind w:left="390" w:hanging="39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7">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2"/>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7"/>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3"/>
      <w:numFmt w:val="decimal"/>
      <w:lvlText w:val="%1."/>
      <w:lvlJc w:val="left"/>
      <w:pPr>
        <w:tabs>
          <w:tab w:val="num" w:pos="0"/>
        </w:tabs>
        <w:ind w:left="405" w:hanging="405"/>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22">
    <w:lvl w:ilvl="0">
      <w:start w:val="3"/>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3">
    <w:lvl w:ilvl="0">
      <w:start w:val="8"/>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4">
    <w:lvl w:ilvl="0">
      <w:start w:val="15"/>
      <w:numFmt w:val="decimal"/>
      <w:lvlText w:val="%1."/>
      <w:lvlJc w:val="left"/>
      <w:pPr>
        <w:tabs>
          <w:tab w:val="num" w:pos="0"/>
        </w:tabs>
        <w:ind w:left="405" w:hanging="405"/>
      </w:pPr>
      <w:rPr/>
    </w:lvl>
    <w:lvl w:ilvl="1">
      <w:start w:val="1"/>
      <w:numFmt w:val="decimal"/>
      <w:lvlText w:val="%1.%2."/>
      <w:lvlJc w:val="left"/>
      <w:pPr>
        <w:tabs>
          <w:tab w:val="num" w:pos="0"/>
        </w:tabs>
        <w:ind w:left="1110" w:hanging="720"/>
      </w:pPr>
      <w:rPr>
        <w:b/>
        <w:bCs/>
      </w:rPr>
    </w:lvl>
    <w:lvl w:ilvl="2">
      <w:start w:val="1"/>
      <w:numFmt w:val="decimal"/>
      <w:lvlText w:val="%1.%2.%3."/>
      <w:lvlJc w:val="left"/>
      <w:pPr>
        <w:tabs>
          <w:tab w:val="num" w:pos="0"/>
        </w:tabs>
        <w:ind w:left="1500" w:hanging="720"/>
      </w:pPr>
      <w:rPr/>
    </w:lvl>
    <w:lvl w:ilvl="3">
      <w:start w:val="1"/>
      <w:numFmt w:val="decimal"/>
      <w:lvlText w:val="%1.%2.%3.%4."/>
      <w:lvlJc w:val="left"/>
      <w:pPr>
        <w:tabs>
          <w:tab w:val="num" w:pos="0"/>
        </w:tabs>
        <w:ind w:left="2250" w:hanging="1080"/>
      </w:pPr>
      <w:rPr/>
    </w:lvl>
    <w:lvl w:ilvl="4">
      <w:start w:val="1"/>
      <w:numFmt w:val="decimal"/>
      <w:lvlText w:val="%1.%2.%3.%4.%5."/>
      <w:lvlJc w:val="left"/>
      <w:pPr>
        <w:tabs>
          <w:tab w:val="num" w:pos="0"/>
        </w:tabs>
        <w:ind w:left="2640" w:hanging="1080"/>
      </w:pPr>
      <w:rPr/>
    </w:lvl>
    <w:lvl w:ilvl="5">
      <w:start w:val="1"/>
      <w:numFmt w:val="decimal"/>
      <w:lvlText w:val="%1.%2.%3.%4.%5.%6."/>
      <w:lvlJc w:val="left"/>
      <w:pPr>
        <w:tabs>
          <w:tab w:val="num" w:pos="0"/>
        </w:tabs>
        <w:ind w:left="3390" w:hanging="1440"/>
      </w:pPr>
      <w:rPr/>
    </w:lvl>
    <w:lvl w:ilvl="6">
      <w:start w:val="1"/>
      <w:numFmt w:val="decimal"/>
      <w:lvlText w:val="%1.%2.%3.%4.%5.%6.%7."/>
      <w:lvlJc w:val="left"/>
      <w:pPr>
        <w:tabs>
          <w:tab w:val="num" w:pos="0"/>
        </w:tabs>
        <w:ind w:left="3780" w:hanging="1440"/>
      </w:pPr>
      <w:rPr/>
    </w:lvl>
    <w:lvl w:ilvl="7">
      <w:start w:val="1"/>
      <w:numFmt w:val="decimal"/>
      <w:lvlText w:val="%1.%2.%3.%4.%5.%6.%7.%8."/>
      <w:lvlJc w:val="left"/>
      <w:pPr>
        <w:tabs>
          <w:tab w:val="num" w:pos="0"/>
        </w:tabs>
        <w:ind w:left="4530" w:hanging="1800"/>
      </w:pPr>
      <w:rPr/>
    </w:lvl>
    <w:lvl w:ilvl="8">
      <w:start w:val="1"/>
      <w:numFmt w:val="decimal"/>
      <w:lvlText w:val="%1.%2.%3.%4.%5.%6.%7.%8.%9."/>
      <w:lvlJc w:val="left"/>
      <w:pPr>
        <w:tabs>
          <w:tab w:val="num" w:pos="0"/>
        </w:tabs>
        <w:ind w:left="5280" w:hanging="2160"/>
      </w:pPr>
      <w:rPr/>
    </w:lvl>
  </w:abstractNum>
  <w:abstractNum w:abstractNumId="25">
    <w:lvl w:ilvl="0">
      <w:start w:val="16"/>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6">
    <w:lvl w:ilvl="0">
      <w:start w:val="17"/>
      <w:numFmt w:val="decimal"/>
      <w:lvlText w:val="%1."/>
      <w:lvlJc w:val="left"/>
      <w:pPr>
        <w:tabs>
          <w:tab w:val="num" w:pos="0"/>
        </w:tabs>
        <w:ind w:left="375" w:hanging="37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7">
    <w:lvl w:ilvl="0">
      <w:start w:val="18"/>
      <w:numFmt w:val="decimal"/>
      <w:lvlText w:val="%1."/>
      <w:lvlJc w:val="left"/>
      <w:pPr>
        <w:tabs>
          <w:tab w:val="num" w:pos="0"/>
        </w:tabs>
        <w:ind w:left="405" w:hanging="405"/>
      </w:pPr>
      <w:rPr/>
    </w:lvl>
    <w:lvl w:ilvl="1">
      <w:start w:val="1"/>
      <w:numFmt w:val="decimal"/>
      <w:lvlText w:val="%1.%2."/>
      <w:lvlJc w:val="left"/>
      <w:pPr>
        <w:tabs>
          <w:tab w:val="num" w:pos="0"/>
        </w:tabs>
        <w:ind w:left="1095" w:hanging="720"/>
      </w:pPr>
      <w:rPr>
        <w:b/>
        <w:bCs/>
      </w:rPr>
    </w:lvl>
    <w:lvl w:ilvl="2">
      <w:start w:val="1"/>
      <w:numFmt w:val="decimal"/>
      <w:lvlText w:val="%1.%2.%3."/>
      <w:lvlJc w:val="left"/>
      <w:pPr>
        <w:tabs>
          <w:tab w:val="num" w:pos="0"/>
        </w:tabs>
        <w:ind w:left="1470" w:hanging="720"/>
      </w:pPr>
      <w:rPr/>
    </w:lvl>
    <w:lvl w:ilvl="3">
      <w:start w:val="1"/>
      <w:numFmt w:val="decimal"/>
      <w:lvlText w:val="%1.%2.%3.%4."/>
      <w:lvlJc w:val="left"/>
      <w:pPr>
        <w:tabs>
          <w:tab w:val="num" w:pos="0"/>
        </w:tabs>
        <w:ind w:left="2205" w:hanging="1080"/>
      </w:pPr>
      <w:rPr/>
    </w:lvl>
    <w:lvl w:ilvl="4">
      <w:start w:val="1"/>
      <w:numFmt w:val="decimal"/>
      <w:lvlText w:val="%1.%2.%3.%4.%5."/>
      <w:lvlJc w:val="left"/>
      <w:pPr>
        <w:tabs>
          <w:tab w:val="num" w:pos="0"/>
        </w:tabs>
        <w:ind w:left="2580" w:hanging="1080"/>
      </w:pPr>
      <w:rPr/>
    </w:lvl>
    <w:lvl w:ilvl="5">
      <w:start w:val="1"/>
      <w:numFmt w:val="decimal"/>
      <w:lvlText w:val="%1.%2.%3.%4.%5.%6."/>
      <w:lvlJc w:val="left"/>
      <w:pPr>
        <w:tabs>
          <w:tab w:val="num" w:pos="0"/>
        </w:tabs>
        <w:ind w:left="3315" w:hanging="1440"/>
      </w:pPr>
      <w:rPr/>
    </w:lvl>
    <w:lvl w:ilvl="6">
      <w:start w:val="1"/>
      <w:numFmt w:val="decimal"/>
      <w:lvlText w:val="%1.%2.%3.%4.%5.%6.%7."/>
      <w:lvlJc w:val="left"/>
      <w:pPr>
        <w:tabs>
          <w:tab w:val="num" w:pos="0"/>
        </w:tabs>
        <w:ind w:left="3690" w:hanging="1440"/>
      </w:pPr>
      <w:rPr/>
    </w:lvl>
    <w:lvl w:ilvl="7">
      <w:start w:val="1"/>
      <w:numFmt w:val="decimal"/>
      <w:lvlText w:val="%1.%2.%3.%4.%5.%6.%7.%8."/>
      <w:lvlJc w:val="left"/>
      <w:pPr>
        <w:tabs>
          <w:tab w:val="num" w:pos="0"/>
        </w:tabs>
        <w:ind w:left="4425" w:hanging="1800"/>
      </w:pPr>
      <w:rPr/>
    </w:lvl>
    <w:lvl w:ilvl="8">
      <w:start w:val="1"/>
      <w:numFmt w:val="decimal"/>
      <w:lvlText w:val="%1.%2.%3.%4.%5.%6.%7.%8.%9."/>
      <w:lvlJc w:val="left"/>
      <w:pPr>
        <w:tabs>
          <w:tab w:val="num" w:pos="0"/>
        </w:tabs>
        <w:ind w:left="5160" w:hanging="2160"/>
      </w:pPr>
      <w:rPr/>
    </w:lvl>
  </w:abstractNum>
  <w:abstractNum w:abstractNumId="28">
    <w:lvl w:ilvl="0">
      <w:start w:val="19"/>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1">
    <w:name w:val="Heading 1"/>
    <w:basedOn w:val="LO-normal"/>
    <w:next w:val="LO-normal"/>
    <w:qFormat/>
    <w:pPr>
      <w:ind w:left="124" w:hanging="124"/>
      <w:jc w:val="both"/>
    </w:pPr>
    <w:rPr>
      <w:b/>
      <w:bCs/>
      <w:color w:val="000000"/>
      <w:sz w:val="24"/>
      <w:szCs w:val="24"/>
    </w:rPr>
  </w:style>
  <w:style w:type="paragraph" w:styleId="Ttulo2">
    <w:name w:val="Heading 2"/>
    <w:basedOn w:val="LO-normal"/>
    <w:next w:val="LO-normal"/>
    <w:qFormat/>
    <w:pPr>
      <w:keepNext w:val="true"/>
      <w:keepLines/>
      <w:spacing w:lineRule="auto" w:line="240" w:before="360" w:after="80"/>
    </w:pPr>
    <w:rPr>
      <w:b/>
      <w:bCs/>
      <w:color w:val="000000"/>
      <w:sz w:val="36"/>
      <w:szCs w:val="36"/>
    </w:rPr>
  </w:style>
  <w:style w:type="paragraph" w:styleId="Ttulo3">
    <w:name w:val="Heading 3"/>
    <w:basedOn w:val="LO-normal"/>
    <w:next w:val="LO-normal"/>
    <w:qFormat/>
    <w:pPr>
      <w:keepNext w:val="true"/>
      <w:keepLines/>
      <w:spacing w:lineRule="auto" w:line="240" w:before="280" w:after="80"/>
    </w:pPr>
    <w:rPr>
      <w:b/>
      <w:bCs/>
      <w:color w:val="000000"/>
      <w:sz w:val="28"/>
      <w:szCs w:val="28"/>
    </w:rPr>
  </w:style>
  <w:style w:type="paragraph" w:styleId="Ttulo4">
    <w:name w:val="Heading 4"/>
    <w:basedOn w:val="LO-normal"/>
    <w:next w:val="LO-normal"/>
    <w:qFormat/>
    <w:pPr>
      <w:keepNext w:val="true"/>
      <w:keepLines/>
      <w:spacing w:lineRule="auto" w:line="240" w:before="240" w:after="40"/>
    </w:pPr>
    <w:rPr>
      <w:b/>
      <w:bCs/>
      <w:color w:val="000000"/>
      <w:sz w:val="24"/>
      <w:szCs w:val="24"/>
    </w:rPr>
  </w:style>
  <w:style w:type="paragraph" w:styleId="Ttulo5">
    <w:name w:val="Heading 5"/>
    <w:basedOn w:val="LO-normal"/>
    <w:next w:val="LO-normal"/>
    <w:qFormat/>
    <w:pPr>
      <w:keepNext w:val="true"/>
      <w:keepLines/>
      <w:spacing w:lineRule="auto" w:line="240" w:before="220" w:after="40"/>
    </w:pPr>
    <w:rPr>
      <w:b/>
      <w:bCs/>
      <w:color w:val="000000"/>
    </w:rPr>
  </w:style>
  <w:style w:type="paragraph" w:styleId="Ttulo6">
    <w:name w:val="Heading 6"/>
    <w:basedOn w:val="LO-normal"/>
    <w:next w:val="LO-normal"/>
    <w:qFormat/>
    <w:pPr>
      <w:keepNext w:val="true"/>
      <w:keepLines/>
      <w:spacing w:lineRule="auto" w:line="240" w:before="200" w:after="40"/>
    </w:pPr>
    <w:rPr>
      <w:b/>
      <w:bCs/>
      <w:color w:val="000000"/>
      <w:sz w:val="20"/>
      <w:szCs w:val="20"/>
    </w:rPr>
  </w:style>
  <w:style w:type="character" w:styleId="LinkdaInternet">
    <w:name w:val="Hyperlink"/>
    <w:rPr>
      <w:color w:val="000080"/>
      <w:u w:val="single"/>
    </w:rPr>
  </w:style>
  <w:style w:type="character" w:styleId="Cdigo-fonte">
    <w:name w:val="Código-fonte"/>
    <w:qFormat/>
    <w:rPr>
      <w:rFonts w:ascii="Liberation Mono" w:hAnsi="Liberation Mono" w:eastAsia="NSimSun" w:cs="Liberation Mono"/>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O-normal" w:default="1">
    <w:name w:val="LO-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dodocumento">
    <w:name w:val="Title"/>
    <w:basedOn w:val="LO-normal"/>
    <w:next w:val="LO-normal"/>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s>
</file>

<file path=word/_rels/footer1.xml.rels><?xml version='1.0' encoding='UTF-8' standalone='yes'?>
<Relationships xmlns="http://schemas.openxmlformats.org/package/2006/relationships"><Relationship Id="rId1" Type="http://schemas.openxmlformats.org/officeDocument/2006/relationships/hyperlink" Target="mailto:contratoscbmpa@gmail.com" TargetMode="External"/><Relationship Id="rId2" Type="http://schemas.openxmlformats.org/officeDocument/2006/relationships/image" Target="media/image7.png"/><Relationship Id="rId3" Type="http://schemas.openxmlformats.org/officeDocument/2006/relationships/hyperlink" Target="mailto:contratoscbmpa@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mapTC6y1dQSZ7pruWD9/g2Z6fw==">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yKOCwoLQUFBQnEzQU5hWE0S4woKC0FBQUJxM0FOYVhNEgtBQUFCcTNBTmFYTRqGAwoJdGV4dC9odG1s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SL1AgoKdGV4dC9wbGFpbhLmAkFkZXF1YXIgY29uZm9ybWUgY2FkYSBVQVNHOgoKTyBFc3RhZG8gZG8gUGFyw6EsIHBvciBpbnRlcm3DqWRpbyBkbyBDb3JwbyBkZSBCb21iZWlyb3MgTWlsaXRhciBkbyBQYXLDoS4KCk8gRXN0YWRvIGRvIFBhcsOhLCBwb3IgaW50ZXJtw6lkaW8gZGEgQ29vcmRlbmFkb3JpYSBFc3RhZHVhbCBkZSBQcm90ZcOnw6NvI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MM3JRChZSRU5BVEEgREUgQVZJWiBCQVRJU1RBGjcKNS8vc3NsLmdzdGF0aWMuY29tL2RvY3MvY29tbW9uL2JsdWVfc2lsaG91ZXR0ZTk2LTAucG5neACIAQGaAQYIABAAGACqAfsC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bABALgBAcgBABiA1LC/jDMggNSwv4wzMABCCWtpeC5jbXQxMSL/CAoLQUFBQnEzQU5hV2cS1QgKC0FBQUJxM0FOYVdnEgtBQUFCcTNBTmFXZxqyAgoJdGV4dC9odG1s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MM3JRChZSRU5BVEEgREUgQVZJWiBCQVRJU1RBGjcKNS8vc3NsLmdzdGF0aWMuY29tL2RvY3MvY29tbW9uL2JsdWVfc2lsaG91ZXR0ZTk2LTAucG5neACIAQGaAQYIABAAGACqATESL0NCTVBBOiA5MjU4NTM8YnI+Q0VERUM6IDkyOTkwMjxicj5GRUJPTTogOTI5Mzc3sAEAuAEByAEAGOCotL+MMyDgqLS/jDMwAEIIa2l4LmNtdDEixQMKC0FBQUJxM0FOYVhREpoDCgtBQUFCcTNBTmFYURILQUFBQnEzQU5hWFE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IiigoKC0FBQUJxM0FOYVcwEt8JCgtBQUFCcTNBTmFXMBILQUFBQnEzQU5hVzAa1gIKCXRleHQvaHRtbB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CLpAwoLQUFBQnEzQU5hWGMSvgMKC0FBQUJxM0FOYVhjEgtBQUFCcTNBTmFYY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yLpAwoLQUFBQnEzQU5hV00SvgMKC0FBQUJxM0FOYVdNEgtBQUFCcTNBTmFXTR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qL2MM3JRChZSRU5BVEEgREUgQVZJWiBCQVRJU1RBGjcKNS8vc3NsLmdzdGF0aWMuY29tL2RvY3MvY29tbW9uL2JsdWVfc2lsaG91ZXR0ZTk2LTAucG5neACIAQGaAQYIABAAGACqAaUD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qi9jDMggP6ovYwzMABCCWtpeC5jbXQyOCKYBAoLQUFBQnEzQU5hV1US7gMKC0FBQUJxM0FOYVdVEgtBQUFCcTNBTmFXV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EilAgKC0FBQUJxM0FOYVhFEukHCgtBQUFCcTNBTmFYRRILQUFBQnEzQU5hWEU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QES9gFBR1U6IDxicj48YnI+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zAyCWlkLmdqZGd4czIKaWQuMzBqMHpsbDIKaWQuMWZvYjl0ZTIOaC5ocmc1Y3N6ZGV1YzYyDWgucjYwOGZ2dTdob2UyDmgubXl3bmp6cWliODRkMgppZC40OXgyaWs1MhJpZC40OXgyaWs1X0NvcGlhXzEyCmlkLjNvN2FsbmsyEmlkLjNvN2FsbmtfQ29waWFfMTIJaC4yM2NrdnZkMgloLjF0M2g1c2YyDWguamJveHM2aHY0NHEyDmgudGZ4aGNuOWtvNXhiMgloLjFobXN5eXMyCmlkLjQxbWdobWwyEmlkLjQxbWdobWxfQ29waWFfMTIKaWQuMmdycXJ1ZTIJaWQudngxMjI3Mg5oLjJobWxldnBkamo5ZjIOaC56YmZnMDU3bnRqanoyDmguN2JxcmxqdjZpcDJuMg5oLmhxN20xNnIwZzlrdzgAciExTHEyeG02bldmVnlQeDFOYkFadWQ2OEMtOTZMX3IyY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LibreOffice/7.5.2.2$Windows_X86_64 LibreOffice_project/53bb9681a964705cf672590721dbc85eb4d0c3a2</Application>
  <AppVersion>15.0000</AppVersion>
  <Pages>16</Pages>
  <Words>3992</Words>
  <Characters>22473</Characters>
  <CharactersWithSpaces>26153</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2026-09-18T14:08:22Z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2022-05-16T00:00:00Z</vt:lpwstr>
  </property>
  <property fmtid="{D5CDD505-2E9C-101B-9397-08002B2CF9AE}" pid="3" name="Creator">
    <vt:lpwstr>Writer</vt:lpwstr>
  </property>
  <property fmtid="{D5CDD505-2E9C-101B-9397-08002B2CF9AE}" pid="4" name="HyperlinksChanged">
    <vt:lpwstr>false</vt:lpwstr>
  </property>
  <property fmtid="{D5CDD505-2E9C-101B-9397-08002B2CF9AE}" pid="5" name="LastSaved">
    <vt:lpwstr>2022-05-16T00:00:00Z</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