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 xml:space="preserve"> </w:t>
      </w:r>
    </w:p>
    <w:tbl>
      <w:tblPr>
        <w:tblStyle w:val="Table1"/>
        <w:tblW w:w="906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1"/>
      </w:tblGrid>
      <w:tr>
        <w:trPr/>
        <w:tc>
          <w:tcPr>
            <w:tcW w:w="9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</w:tcPr>
          <w:p>
            <w:pPr>
              <w:pStyle w:val="Normal1"/>
              <w:widowControl w:val="false"/>
              <w:spacing w:lineRule="auto" w:line="240" w:before="0" w:after="120"/>
              <w:ind w:lef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MINUTA</w:t>
            </w:r>
          </w:p>
        </w:tc>
      </w:tr>
    </w:tbl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ind w:left="0" w:hanging="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>CONTRATO Nº {{NUM_CONTRATO}}</w:t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 xml:space="preserve"/>
      </w:r>
      <w:commentRangeStart w:id="0"/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  <w:t xml:space="preserve"/>
      </w:r>
      <w:commentRangeEnd w:id="0"/>
      <w:r>
        <w:commentReference w:id="0"/>
      </w: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 xml:space="preserve">PAE nº {{NUM_PAE}}</w:t>
      </w:r>
    </w:p>
    <w:tbl>
      <w:tblPr>
        <w:tblStyle w:val="Table2"/>
        <w:tblW w:w="90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27"/>
        <w:gridCol w:w="2461"/>
        <w:gridCol w:w="1169"/>
        <w:gridCol w:w="1084"/>
        <w:gridCol w:w="1080"/>
        <w:gridCol w:w="1844"/>
      </w:tblGrid>
      <w:tr>
        <w:trPr/>
        <w:tc>
          <w:tcPr>
            <w:tcW w:w="9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RESUMO</w:t>
            </w:r>
          </w:p>
        </w:tc>
      </w:tr>
      <w:tr>
        <w:trPr>
          <w:trHeight w:val="60" w:hRule="atLeast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Contratante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Estado do Pará</w:t>
            </w:r>
            <w:r>
              <w:rPr>
                <w:rFonts w:eastAsia="Quattrocento Sans" w:cs="Quattrocento Sans" w:ascii="Quattrocento Sans" w:hAnsi="Quattrocento Sans"/>
                <w:smallCaps/>
                <w:sz w:val="24"/>
                <w:szCs w:val="24"/>
              </w:rPr>
              <w:t xml:space="preserve"> | </w:t>
            </w:r>
            <w:bookmarkStart w:id="0" w:name="bookmark=id.gjdgxs"/>
            <w:bookmarkEnd w:id="0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{{ORGAO_NOME}}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CNPJ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 nº </w:t>
            </w:r>
            <w:bookmarkStart w:id="1" w:name="bookmark=id.30j0zll"/>
            <w:bookmarkEnd w:id="1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{{ORGAO_CNPJ}}.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4"/>
                <w:szCs w:val="24"/>
              </w:rPr>
              <w:t>UASG:</w:t>
            </w:r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  <w:t xml:space="preserve"> </w:t>
            </w:r>
            <w:commentRangeStart w:id="1"/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000000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{{ORGAO_UASG}}</w:t>
            </w:r>
            <w:commentRangeStart w:id="2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Contratado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{{NOME_CONTRATADA}}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CNPJ nº {{CNPJ_CONTRATADA}}.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2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Objeto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3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Prestação de {{OBJETO}}.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3"/>
            <w:r>
              <w:commentReference w:id="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commentRangeStart w:id="4"/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4"/>
            <w:r>
              <w:commentReference w:id="4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/>
            </w:r>
          </w:p>
        </w:tc>
      </w:tr>
      <w:tr>
        <w:trPr>
          <w:trHeight w:val="26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3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color w:val="9BBB59"/>
                <w:sz w:val="24"/>
                <w:szCs w:val="24"/>
              </w:rPr>
              <w:t>Local de prestação do serviço</w:t>
            </w:r>
          </w:p>
        </w:tc>
      </w:tr>
      <w:tr>
        <w:trPr>
          <w:trHeight w:val="26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color w:val="9BBB59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5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{{FORMA_ENTREGA}}</w:t>
            </w:r>
            <w:commentRangeEnd w:id="5"/>
            <w:r>
              <w:commentReference w:id="5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6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{{PRAZO_ENTREGA_EXTENSO}} dias corridos após a emissão da nota de empenho.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commentRangeEnd w:id="6"/>
            <w:r>
              <w:commentReference w:id="6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33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Local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4F81BD"/>
              </w:rPr>
            </w:pPr>
            <w:commentRangeStart w:id="7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{{LOCAL_ENTREGA}}</w:t>
            </w:r>
            <w:commentRangeEnd w:id="7"/>
            <w:r>
              <w:commentReference w:id="7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>
          <w:trHeight w:val="425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4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Valor total</w:t>
            </w:r>
          </w:p>
        </w:tc>
      </w:tr>
      <w:tr>
        <w:trPr>
          <w:trHeight w:val="42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R$ {{VALOR_GLOBAL}}.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</w:p>
        </w:tc>
      </w:tr>
      <w:tr>
        <w:trPr>
          <w:trHeight w:val="21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Reajuste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commentRangeStart w:id="8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Índice</w:t>
            </w:r>
            <w:commentRangeEnd w:id="8"/>
            <w:r>
              <w:commentReference w:id="8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{{CHK_IPCA}}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IPCA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{{CHK_INPC}}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INPC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{{CHK_INCC}}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INCC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 xml:space="preserve">{{CHK_IGPM}} </w:t>
            </w:r>
            <w:r>
              <w:rPr>
                <w:rFonts w:eastAsia="Arial Unicode MS" w:cs="Arial Unicode MS" w:ascii="Arial Unicode MS" w:hAnsi="Arial Unicode MS"/>
                <w:sz w:val="24"/>
                <w:szCs w:val="24"/>
              </w:rPr>
              <w:t>IGPM</w:t>
            </w:r>
          </w:p>
        </w:tc>
      </w:tr>
      <w:tr>
        <w:trPr>
          <w:trHeight w:val="7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Período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A cada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12 meses</w:t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>, a contar de </w:t>
            </w:r>
            <w:commentRangeStart w:id="9"/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{{DATA_ORCAMENTO}}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  <w:commentRangeEnd w:id="9"/>
            <w:r>
              <w:commentReference w:id="9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(data do orçamento estimado).</w:t>
            </w:r>
          </w:p>
        </w:tc>
      </w:tr>
      <w:tr>
        <w:trPr>
          <w:trHeight w:val="37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Pagamento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Forma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Ordem bancária.</w:t>
            </w:r>
          </w:p>
        </w:tc>
      </w:tr>
      <w:tr>
        <w:trPr>
          <w:trHeight w:val="415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commentRangeStart w:id="10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{{PRAZO_PAGAMENTO}} </w:t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>dias corridos</w:t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</w:r>
            <w:commentRangeEnd w:id="10"/>
            <w:r>
              <w:commentReference w:id="10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, a contar do recebimento da nota fiscal ou fatura atestada pelo fiscal do contrato.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45770" cy="393700"/>
                  <wp:effectExtent l="0" t="0" r="0" b="0"/>
                  <wp:docPr id="5" name="image1.png" descr="Form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Forma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Fiscalização</w:t>
            </w:r>
          </w:p>
        </w:tc>
      </w:tr>
      <w:tr>
        <w:trPr>
          <w:trHeight w:val="58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jc w:val="both"/>
              <w:rPr>
                <w:rFonts w:ascii="Quattrocento Sans" w:hAnsi="Quattrocento Sans" w:eastAsia="Quattrocento Sans" w:cs="Quattrocento Sans"/>
                <w:sz w:val="22"/>
                <w:szCs w:val="22"/>
              </w:rPr>
            </w:pP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A fiscalização do contrato será feita pelo servidor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{{FISCAL_TITULAR}}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{{MATRICULA_TITULAR}}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fiscal titular e pelo servidor {{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FISCAL_SUPLENTE}}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matrícula nº {{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2"/>
                <w:szCs w:val="22"/>
              </w:rPr>
              <w:t xml:space="preserve">MATRICULA_SUPLENTE}}</w:t>
            </w:r>
            <w:r>
              <w:rPr>
                <w:rFonts w:eastAsia="Quattrocento Sans" w:cs="Quattrocento Sans" w:ascii="Quattrocento Sans" w:hAnsi="Quattrocento Sans"/>
                <w:sz w:val="22"/>
                <w:szCs w:val="22"/>
              </w:rPr>
              <w:t xml:space="preserve">, fiscal suplente, ambos lotados no {{SETOR_FISCAL}}.</w:t>
            </w:r>
          </w:p>
        </w:tc>
      </w:tr>
      <w:tr>
        <w:trPr>
          <w:trHeight w:val="60" w:hRule="atLeast"/>
        </w:trPr>
        <w:tc>
          <w:tcPr>
            <w:tcW w:w="14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center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/>
              <w:drawing>
                <wp:inline distT="0" distB="0" distL="0" distR="0">
                  <wp:extent cx="457200" cy="457200"/>
                  <wp:effectExtent l="0" t="0" r="0" b="0"/>
                  <wp:docPr id="6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  <w:sz w:val="24"/>
                <w:szCs w:val="24"/>
              </w:rPr>
              <w:t>Vigência</w:t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b/>
                <w:bCs/>
                <w:smallCap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Prazo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4F81BD"/>
                <w:sz w:val="24"/>
                <w:szCs w:val="24"/>
              </w:rPr>
              <w:t xml:space="preserve">{{PRAZO_VIGENCIA_EXTENSO}} meses.</w:t>
            </w: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 xml:space="preserve"/>
            </w:r>
          </w:p>
        </w:tc>
      </w:tr>
      <w:tr>
        <w:trPr>
          <w:trHeight w:val="50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Início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  <w:color w:val="000000"/>
              </w:rPr>
              <w:t xml:space="preserve">{{DATA_INICIO}}</w:t>
            </w:r>
          </w:p>
        </w:tc>
      </w:tr>
      <w:tr>
        <w:trPr>
          <w:trHeight w:val="157" w:hRule="atLeast"/>
        </w:trPr>
        <w:tc>
          <w:tcPr>
            <w:tcW w:w="14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Quattrocento Sans" w:hAnsi="Quattrocento Sans" w:eastAsia="Quattrocento Sans" w:cs="Quattrocento Sans"/>
                <w:color w:val="EE0000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EE0000"/>
                <w:highlight w:val="green"/>
              </w:rPr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lef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</w:rPr>
              <w:t>Fim</w:t>
            </w:r>
          </w:p>
        </w:tc>
        <w:tc>
          <w:tcPr>
            <w:tcW w:w="51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keepNext w:val="true"/>
              <w:widowControl w:val="false"/>
              <w:spacing w:lineRule="auto" w:line="240" w:before="0" w:after="0"/>
              <w:jc w:val="both"/>
              <w:rPr>
                <w:rFonts w:ascii="Quattrocento Sans" w:hAnsi="Quattrocento Sans" w:eastAsia="Quattrocento Sans" w:cs="Quattrocento Sans"/>
                <w:color w:val="EE0000"/>
              </w:rPr>
            </w:pPr>
            <w:r>
              <w:rPr>
                <w:rFonts w:eastAsia="Quattrocento Sans" w:cs="Quattrocento Sans" w:ascii="Quattrocento Sans" w:hAnsi="Quattrocento Sans"/>
                <w:sz w:val="24"/>
                <w:szCs w:val="24"/>
                <w:color w:val="000000"/>
              </w:rPr>
              <w:t xml:space="preserve">{{DATA_FIM}}</w:t>
            </w:r>
          </w:p>
        </w:tc>
      </w:tr>
    </w:tbl>
    <w:p>
      <w:pPr>
        <w:pStyle w:val="Normal1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  <w:r>
        <w:br w:type="page"/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C9211E"/>
          <w:sz w:val="24"/>
          <w:szCs w:val="24"/>
          <w:shd w:fill="FFF2CC" w:val="clear"/>
        </w:rPr>
      </w:pPr>
      <w:r>
        <w:rPr>
          <w:rFonts w:eastAsia="Quattrocento Sans" w:cs="Quattrocento Sans" w:ascii="Quattrocento Sans" w:hAnsi="Quattrocento Sans"/>
          <w:b/>
          <w:bCs/>
          <w:color w:val="C9211E"/>
          <w:sz w:val="24"/>
          <w:szCs w:val="24"/>
          <w:shd w:fill="FFF2CC" w:val="clear"/>
        </w:rPr>
      </w:r>
    </w:p>
    <w:tbl>
      <w:tblPr>
        <w:tblStyle w:val="Table3"/>
        <w:tblW w:w="90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67"/>
      </w:tblGrid>
      <w:tr>
        <w:trPr/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F4C81" w:val="clea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3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-3810</wp:posOffset>
                      </wp:positionV>
                      <wp:extent cx="644525" cy="644525"/>
                      <wp:effectExtent l="635" t="5715" r="0" b="5080"/>
                      <wp:wrapNone/>
                      <wp:docPr id="7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4400" cy="644400"/>
                              </a:xfrm>
                              <a:custGeom>
                                <a:avLst/>
                                <a:gdLst>
                                  <a:gd name="textAreaLeft" fmla="*/ 0 w 365400"/>
                                  <a:gd name="textAreaRight" fmla="*/ 365760 w 365400"/>
                                  <a:gd name="textAreaTop" fmla="*/ 0 h 365400"/>
                                  <a:gd name="textAreaBottom" fmla="*/ 365760 h 365400"/>
                                </a:gdLst>
                                <a:ahLst/>
                                <a:rect l="textAreaLeft" t="textAreaTop" r="textAreaRight" b="textAreaBottom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</a:path>
                                  <a:path w="21600" h="21600">
                                    <a:moveTo>
                                      <a:pt x="0" y="2160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bookmarkStart w:id="2" w:name="bookmark=id.1fob9te"/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CLÁUSULAS CONTRATUAIS</w:t>
            </w:r>
          </w:p>
        </w:tc>
      </w:tr>
    </w:tbl>
    <w:p>
      <w:pPr>
        <w:pStyle w:val="Normal1"/>
        <w:spacing w:lineRule="auto" w:line="240" w:before="0" w:after="120"/>
        <w:ind w:left="4536" w:hanging="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End w:id="2"/>
    </w:p>
    <w:tbl>
      <w:tblPr>
        <w:tblStyle w:val="Table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Partes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5"/>
        <w:tblW w:w="907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36"/>
        <w:gridCol w:w="7234"/>
      </w:tblGrid>
      <w:tr>
        <w:trPr>
          <w:trHeight w:val="1634" w:hRule="atLeast"/>
        </w:trPr>
        <w:tc>
          <w:tcPr>
            <w:tcW w:w="1836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</w:p>
        </w:tc>
        <w:tc>
          <w:tcPr>
            <w:tcW w:w="7234" w:type="dxa"/>
            <w:tcBorders/>
            <w:shd w:fill="DBEE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mallCaps/>
              </w:rPr>
              <w:t xml:space="preserve">O Estado do Pará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por intermédio {{ORGAO_INTERMEDIO}}, </w:t>
            </w:r>
            <w:commentRangeStart w:id="11"/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11"/>
            <w:r>
              <w:commentReference w:id="11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CNPJ nº 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color w:val="000000"/>
              </w:rPr>
              <w:t xml:space="preserve">{{ORGAO_CNPJ}}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/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color w:val="000000"/>
              </w:rPr>
              <w:t xml:space="preserve">Presidente do Comitê de Gestão e Administração Superior do Fundo Especial de Bombeiros.</w:t>
            </w:r>
          </w:p>
        </w:tc>
      </w:tr>
      <w:tr>
        <w:trPr/>
        <w:tc>
          <w:tcPr>
            <w:tcW w:w="183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right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Contratado</w:t>
            </w:r>
          </w:p>
        </w:tc>
        <w:tc>
          <w:tcPr>
            <w:tcW w:w="7234" w:type="dxa"/>
            <w:tcBorders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12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{{NOME_CONTRATADA}}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CNPJ nº {{CNPJ_CONTRATADA}}, com sede na {{ENDERECO_CONTRATADA}}, e-mail: {{EMAIL_CONTRATADA}}, telefone: {{TELEFONE_CONTRATADA}}, neste ato representado por {{NOME_REPRESENTANTE}}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smallCaps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, RG nº {{RG_REPRESENTANTE}}, CPF nº {{CPF_REPRESENTANTE}}, com domicílio na {{ENDERECO_REPRESENTANTE}}.</w:t>
            </w:r>
            <w:commentRangeEnd w:id="12"/>
            <w:r>
              <w:commentReference w:id="12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3" w:name="_heading=h.jqk5yx9r6kso"/>
            <w:bookmarkEnd w:id="3"/>
            <w:r>
              <w:rPr>
                <w:rFonts w:eastAsia="Quattrocento Sans" w:cs="Quattrocento Sans" w:ascii="Quattrocento Sans" w:hAnsi="Quattrocento Sans"/>
                <w:smallCaps/>
              </w:rPr>
              <w:t>CLÁUSULA 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bookmarkStart w:id="4" w:name="_heading=h.1iakimwosvj7"/>
            <w:bookmarkEnd w:id="4"/>
            <w:r>
              <w:rPr>
                <w:rFonts w:eastAsia="Quattrocento Sans" w:cs="Quattrocento Sans" w:ascii="Quattrocento Sans" w:hAnsi="Quattrocento Sans"/>
                <w:smallCaps/>
              </w:rPr>
              <w:t>Fundamento legal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presente contrato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é oriundo {{FUNDAMENTO_ORIGEM}}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constante no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PAE Nº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{{NUM_PAE}}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 é regido pela Lei Federal nº 14.133/21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demais legislações aplicáveis ao assunto.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minuta deste Contrato foi aprovada pela </w:t>
      </w:r>
      <w:commentRangeStart w:id="13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highlight w:val="white"/>
          <w:u w:val="none"/>
          <w:vertAlign w:val="baseline"/>
        </w:rPr>
        <w:t>Consultoria Jurídica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CBMPA, conforme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Parecer N° {{PARECER_JURIDICO}}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3"/>
      <w:r>
        <w:commentReference w:id="13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nos termos do art. 53, da Lei n° 14.133/2021.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Objeto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objeto da contratação é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prestação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{{OBJETO}}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conforme condições, quantidades e exigências estabelecidas neste contrato e descrito no Termo de Referência, o qual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ADERE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a este documento para todos os fins.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Este instrumento se vincula {{VINCULO_INSTRUMENTO}}</w:t>
      </w:r>
      <w:commentRangeStart w:id="14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4"/>
      <w:r>
        <w:commentReference w:id="1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e aos anexos desses documentos.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2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contratados são os seguintes itens descritos no Termo de Referência: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8"/>
        <w:tblW w:w="906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2"/>
        <w:gridCol w:w="4917"/>
        <w:gridCol w:w="822"/>
        <w:gridCol w:w="612"/>
        <w:gridCol w:w="1044"/>
        <w:gridCol w:w="1060"/>
      </w:tblGrid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Nº ITEM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UNID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QTD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VALOR UNITÁRIO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08080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16"/>
                <w:szCs w:val="16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16"/>
                <w:szCs w:val="16"/>
              </w:rPr>
              <w:t>SUBTOTAL</w:t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{%tr for item in ITENS %}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{{item.numero}}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{{item.descricao}}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{{item.unidade}}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{{item.quantidade}}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{{item.valor_unitario}}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{{item.subtotal}}</w:t>
            </w:r>
          </w:p>
        </w:tc>
      </w:tr>
      <w:tr>
        <w:trPr/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>{%tr endfor %}</w:t>
            </w:r>
          </w:p>
        </w:tc>
        <w:tc>
          <w:tcPr>
            <w:tcW w:w="4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color w:val="000000"/>
                <w:sz w:val="20"/>
                <w:szCs w:val="20"/>
              </w:rPr>
            </w:r>
            <w:r>
              <w:rPr>
                <w:rFonts w:ascii="Quattrocento Sans" w:hAnsi="Quattrocento Sans" w:eastAsia="Quattrocento Sans" w:cs="Quattrocento Sans"/>
                <w:sz w:val="20"/>
                <w:szCs w:val="20"/>
                <w:color w:val="000000"/>
              </w:rPr>
              <w:t xml:space="preserve"/>
            </w:r>
          </w:p>
        </w:tc>
      </w:tr>
      <w:tr>
        <w:trPr/>
        <w:tc>
          <w:tcPr>
            <w:tcW w:w="6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2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000000"/>
                <w:sz w:val="20"/>
                <w:szCs w:val="20"/>
              </w:rPr>
            </w:pPr>
            <w:commentRangeStart w:id="15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  <w:t xml:space="preserve">R$ {{VALOR_GLOBAL}}</w:t>
            </w:r>
            <w:commentRangeEnd w:id="15"/>
            <w:r>
              <w:commentReference w:id="15"/>
            </w:r>
            <w:r>
              <w:rPr>
                <w:rFonts w:eastAsia="Quattrocento Sans" w:cs="Quattrocento Sans" w:ascii="Quattrocento Sans" w:hAnsi="Quattrocento Sans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tbl>
      <w:tblPr>
        <w:tblStyle w:val="Table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4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  <w:color w:val="9BBB59"/>
              </w:rPr>
            </w:pPr>
            <w:r>
              <w:rPr>
                <w:rFonts w:eastAsia="Quattrocento Sans" w:cs="Quattrocento Sans" w:ascii="Quattrocento Sans" w:hAnsi="Quattrocento Sans"/>
                <w:smallCaps/>
                <w:color w:val="9BBB59"/>
              </w:rPr>
              <w:t>Local e hora da prestação do serviço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local e a hora da prestação dos serviços contratados são aqueles previstos no Termo de Referência.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recebimento definitivo do serviços não exclui a responsabilidade da empresa quanto aos vícios ocultos, ou seja, que só são manifestados quando da sua normal utilização pela contratante, nos termos do Código de Defesa do Consumidor (Lei 8.078/90).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Preço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4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valor global do contrato é </w:t>
      </w:r>
      <w:commentRangeStart w:id="16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color w:val="000000"/>
        </w:rPr>
        <w:t xml:space="preserve">R$ {{VALOR_GLOBAL}} ({{VALOR_GLOBAL_EXTENSO}})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6"/>
      <w:r>
        <w:commentReference w:id="16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 todas as despesas ordinárias diretas e indiretas decorrentes de sua execução estão inclusas nesse preço, como tributos, encargos sociais, trabalhistas, previdenciários, comerciais, taxa de administração, frete, seguro e outros necessários ao cumprimento integral do contrato.</w:t>
      </w:r>
    </w:p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Dotação Orçamentária</w:t>
            </w:r>
          </w:p>
        </w:tc>
      </w:tr>
    </w:tbl>
    <w:p>
      <w:pPr>
        <w:pStyle w:val="Normal1"/>
        <w:tabs>
          <w:tab w:val="clear" w:pos="720"/>
          <w:tab w:val="left" w:pos="567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despesas decorrentes desta contratação estão programadas em dotação orçamentária própria do </w:t>
      </w:r>
      <w:commentRangeStart w:id="17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Orçamento do Corpo de Bombeiros Militar do Pará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7"/>
      <w:r>
        <w:commentReference w:id="17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na classificação abaixo:</w:t>
      </w:r>
    </w:p>
    <w:tbl>
      <w:tblPr>
        <w:tblStyle w:val="Table12"/>
        <w:tblW w:w="67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50"/>
        <w:gridCol w:w="2342"/>
        <w:gridCol w:w="1878"/>
      </w:tblGrid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  <w:b/>
                <w:bCs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Item da dotação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Contábil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Exercício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{{EXERCICIO}}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highlight w:val="green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  <w:highlight w:val="green"/>
              </w:rPr>
              <w:t xml:space="preserve">{{DESC_EXERCICIO}}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Gestão/Unidade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{{GESTAO_UNIDADE}}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{{DESC_GESTAO}}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{{FONTE}}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{{DESC_FONTE}}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Programa de Trabalho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{{PROG_TRABALHO}}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{{DESC_PROG_TRABALHO}}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Natureza de Despesa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{{NAT_DESPESA}}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{{DESC_NAT_DESPESA}}</w:t>
            </w:r>
          </w:p>
        </w:tc>
      </w:tr>
      <w:tr>
        <w:trPr/>
        <w:tc>
          <w:tcPr>
            <w:tcW w:w="2550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right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Plano Interno</w:t>
            </w:r>
          </w:p>
        </w:tc>
        <w:tc>
          <w:tcPr>
            <w:tcW w:w="2342" w:type="dxa"/>
            <w:tcBorders/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{{PLANO_INTERNO}}</w:t>
            </w:r>
          </w:p>
        </w:tc>
        <w:tc>
          <w:tcPr>
            <w:tcW w:w="1878" w:type="dxa"/>
            <w:tcBorders/>
            <w:shd w:fill="FFFFFF" w:val="clear"/>
          </w:tcPr>
          <w:p>
            <w:pPr>
              <w:pStyle w:val="Normal1"/>
              <w:widowControl w:val="false"/>
              <w:spacing w:lineRule="auto" w:line="360" w:before="0" w:after="0"/>
              <w:jc w:val="center"/>
              <w:rPr>
                <w:rFonts w:ascii="Quattrocento Sans" w:hAnsi="Quattrocento Sans" w:eastAsia="Quattrocento Sans" w:cs="Quattrocento Sans"/>
                <w:color w:val="4F81BD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</w:rPr>
            </w:r>
            <w:bookmarkStart w:id="5" w:name="_heading=h.z93pb9qeqam5"/>
            <w:bookmarkStart w:id="6" w:name="_heading=h.z93pb9qeqam5"/>
            <w:bookmarkEnd w:id="6"/>
            <w:r>
              <w:rPr>
                <w:rFonts w:ascii="Quattrocento Sans" w:hAnsi="Quattrocento Sans" w:eastAsia="Quattrocento Sans" w:cs="Quattrocento Sans"/>
                <w:color w:val="4F81BD"/>
              </w:rPr>
              <w:t xml:space="preserve">{{DESC_PLANO_INTERNO}}</w:t>
            </w:r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Reajuste</w:t>
            </w:r>
          </w:p>
        </w:tc>
      </w:tr>
    </w:tbl>
    <w:p>
      <w:pPr>
        <w:pStyle w:val="Normal1"/>
        <w:tabs>
          <w:tab w:val="clear" w:pos="720"/>
          <w:tab w:val="left" w:pos="390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será reajustado pelo </w:t>
      </w:r>
      <w:commentRangeStart w:id="18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{{INDICE_REAJUSTE_EXTENSO}}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8"/>
      <w:r>
        <w:commentReference w:id="18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ou outro índice que venha a substituí-lo exclusivamente para as obrigações iniciadas e concluídas após a ocorrência da anualidade.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É devido reajuste contratual apenas a cada 12 meses, a contar de </w:t>
      </w:r>
      <w:commentRangeStart w:id="19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{{DATA_ORCAMENTO}}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19"/>
      <w:r>
        <w:commentReference w:id="19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data do orçamento estimado.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 restringirá ao valor do saldo contratual existente na data em que aquele for devido.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reajuste será realizado de ofício pelo CONTRATANTE mediante a aplicação do índice de correção monetária mencionado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base de cálculo do item 7.3.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automático e independerá de requerimento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reajuste será realizado por simples apostila.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atraso ou não divulgação do índice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do item 7.1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utilizará a sua última variação conhecida, liquidando a diferença correspondente tão logo seja divulgado o índice definitivo.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o índice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7.1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venha a ser extinto ou não possa mais ser utilizado, as PARTES elegerão novo índice, fixando-o por meio de termo aditivo.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5"/>
        </w:numPr>
        <w:pBdr/>
        <w:shd w:val="clear" w:fill="auto"/>
        <w:tabs>
          <w:tab w:val="clear" w:pos="720"/>
          <w:tab w:val="left" w:pos="390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será devido reajuste quando o atraso na entrega do bem for atribuível ao CONTRATADO.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Pagamento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pagamento será realizado em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{{PRAZO_PAGAMENTO}} dias corridos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recebimento da nota fiscal ou fatura atestada pelo fiscal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pagamento será efetuado por ordem bancária para conta de titularidade da CONTRATADO, cujos dados são: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5"/>
        <w:tblW w:w="45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6"/>
        <w:gridCol w:w="3118"/>
      </w:tblGrid>
      <w:tr>
        <w:trPr>
          <w:trHeight w:val="28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{{BANCO}}</w:t>
            </w:r>
          </w:p>
        </w:tc>
      </w:tr>
      <w:tr>
        <w:trPr/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{{AGENCIA}}</w:t>
            </w:r>
          </w:p>
        </w:tc>
      </w:tr>
      <w:tr>
        <w:trPr>
          <w:trHeight w:val="319" w:hRule="atLeast"/>
        </w:trPr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0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{{CONTA}}</w:t>
            </w:r>
            <w:commentRangeEnd w:id="20"/>
            <w:r>
              <w:commentReference w:id="20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Havendo erro na apresentação da nota fiscal, fatura ou dos documentos pertinentes à contratação, ou, ainda, circunstância que impeça a liquidação da despesa, como, por exemplo, obrigação financeira pendente, decorrente de penalidade imposta ou inadimplência, o pagamento ficará sobrestado até que o CONTRATADO adote as medidas para saneamento das pendências.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prazo para pagamento começará a correr depois da comprovação da regularização da pendência, sem ônus à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data do efetivo pagamento será considerada aquela que constar da ordem bancária emitida para quitação da nota fiscal ou fatura.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regularidade fiscal do CONTRATADO deve ser verificada pelo CONTRATANTE por ocasião do pagamento por meio de consulta ao Sistema de Cadastramento Unificado de Fornecedores (SICAF) ou, na impossibilidade de acesso a ele, devem ser consultados sítios eletrônicos oficiais ou, ainda, ser solicitada a documentação física listada no art. 68 da Lei Federal nº 14.133/21.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constatação de irregularidade fiscal do CONTRATADO não impede o pagamento do que foi executado, mas constitui falta contratual, a ser sancionada em procedimento de inexecução contratual.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instauração do procedimento de inexecução contratual a que faz menção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o CONTRATADO deve ser notificado (através do Fiscal de Contrato) para regularizar a pendência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Não sendo regularizada, deve-se instaurar o procedimento de inexecução contratual, ofertando contraditório e ampla defesa ao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instauração do procedimento de inexecução contratual não impede o pagamento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Diante da gravidade do caso concreto e para proteger o Erário e o interesse público, a autoridade competente pode decidir pela suspensão do contrato, ocasião em que somente será pago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serviço que já foi prestado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ao final do procedimento a que faz menção a parte final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8.8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autoridade decida pela rescisão contratual, o pagamento será sustado automaticamente.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inadimplência do CONTRATADO junto ao SICAF é causa de rescisão contratual, exceto se a autoridade máxima do CONTRATANTE justificar a necessidade de manutenção do contrato por motivo de economicidade, segurança estadual ou outro de interesse público de alta relevância.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efetuará a retenção tributária prevista na legislação aplicável por ocasião do pagamento.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6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optante do Simples Nacional não sofrerá retenção tributária em relação aos impostos e contribuições abrangidos por aquele regime, mas o pagamento ficará condicionado à comprovação, por documento oficial, de que o CONTRATADO é beneficiário do tratamento tributário previsto na Lei Complementar Federal nº 123/06.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36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Garantia de cumprimento contratual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r>
        <w:t xml:space="preserve">{%p if not GARANTIA_EXIGIDA %}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commentRangeStart w:id="21"/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1"/>
      <w:r>
        <w:commentReference w:id="2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há exigência de prestação de garantia de cumprimento deste contrato.</w:t>
      </w:r>
    </w:p>
    <w:p>
      <w:r>
        <w:t xml:space="preserve">{%p else %}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commentRangeStart w:id="22"/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Arial Unicode MS" w:cs="Arial Unicode MS" w:ascii="Arial Unicode MS" w:hAnsi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9.1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22"/>
      <w:r>
        <w:commentReference w:id="22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garantirá o cumprimento do contrato mediante a prestação de uma das modalidades de garantia previstas no art. 96, § 1º, da Lei Federal nº 14.133/21, a sua escolha.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corresponderá 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{{GARANTIA_PERCENTUAL_EXTENSO}}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valor atualizado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left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garantia em dinheiro deverá ser efetuada em conta bancária de titularidade do CONTRATANTE, cujos dados são:</w:t>
      </w:r>
    </w:p>
    <w:tbl>
      <w:tblPr>
        <w:tblStyle w:val="Table17"/>
        <w:tblW w:w="35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1405"/>
        <w:gridCol w:w="2126"/>
      </w:tblGrid>
      <w:tr>
        <w:trPr>
          <w:trHeight w:val="28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BANCO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commentRangeStart w:id="23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{{GARANTIA_BANCO}}</w:t>
            </w:r>
            <w:commentRangeEnd w:id="23"/>
            <w:r>
              <w:commentReference w:id="23"/>
            </w: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</w:r>
          </w:p>
        </w:tc>
      </w:tr>
      <w:tr>
        <w:trPr/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AGÊNCIA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{{GARANTIA_AGENCIA}}</w:t>
            </w:r>
          </w:p>
        </w:tc>
      </w:tr>
      <w:tr>
        <w:trPr>
          <w:trHeight w:val="319" w:hRule="atLeast"/>
        </w:trPr>
        <w:tc>
          <w:tcPr>
            <w:tcW w:w="1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sz w:val="24"/>
                <w:szCs w:val="24"/>
              </w:rPr>
              <w:t>CONTA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20"/>
              <w:jc w:val="center"/>
              <w:rPr>
                <w:rFonts w:ascii="Quattrocento Sans" w:hAnsi="Quattrocento Sans" w:eastAsia="Quattrocento Sans" w:cs="Quattrocento Sans"/>
                <w:color w:val="4F81BD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color w:val="4F81BD"/>
                <w:sz w:val="24"/>
                <w:szCs w:val="24"/>
              </w:rPr>
              <w:t xml:space="preserve">{{GARANTIA_CONTA}}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de suspensão do contrato por ordem ou inadimplemento do CONTRATANTE, o CONTRATADO ficará desobrigado de renovar a garantia ou de endossar a apólice de seguro até a ordem de reinício da execução ou o adimplemento pelo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caso de alteração do valor do Contrato, ou prorrogação de sua vigência, a garantia deverá ser atualizada ou renovada nas mesmas condições.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 a garantia for utilizada em pagamento de qualquer obrigação, o CONTRATADO fica obrigado a recompor o que tiver sido usado no prazo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{{GARANTIA_PRAZO_RECOMPOSICAO}}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a contar de sua notificação.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executará a garantia na forma prevista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prestada pelo CONTRATADO será liberada ou restituída após a execução total do contrato ou após a sua extinção por culpa exclusiva do CONTRATANTE.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a garantia for em dinheiro, o valor a ser devolvido, nos termos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9.8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será corrigido monetariamente.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garantia de execução do contrato não desobriga o CONTRATADO de apresentar a garantia contratual dos bens adquiridos, legal e do fabricante, a qual deve ser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{{GARANTIA_BENS_DIAS}}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no mínimo.</w:t>
      </w:r>
    </w:p>
    <w:p>
      <w:r>
        <w:t xml:space="preserve">{%p endif %}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Obrigação das partes</w:t>
            </w:r>
          </w:p>
        </w:tc>
      </w:tr>
    </w:tbl>
    <w:p>
      <w:pPr>
        <w:pStyle w:val="Normal1"/>
        <w:widowControl/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2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Exigir o cumprimento de todas as obrigações assumidas pelo CONTRATADO, de acordo com este contrato, Termo de Referência e anexos.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Receber o objeto no prazo e condições estabelecidas no Termo de Referência.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Notificar o CONTRATADO sobre vícios, defeitos ou incorreções verificadas no objeto fornecido para que ele seja substituído, reparado ou corrigido às suas expensas.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Acompanhar e fiscalizar a execução do contrato e o cumprimento das obrigações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Efetuar o pagamento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serviço prestado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prazo, forma e condições aqui estabelecidos.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Aplicar ao CONTRATADO as sanções decorrentes da inexecução total ou parcial do contrato.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9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Decidir sobre as solicitações e reclamações relacionadas à execução do contrato, ressalvados os requerimentos meramente protelatórios, manifestamente impertinentes ou de nenhum interesse à boa execução do ajuste.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tem a obrigação de: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todas as obrigações constantes deste contrato e seus anexos, assumindo exclusivamente os riscos e as despesas decorrentes de sua execução.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Aceitar acréscimos ou supressões unilaterais impostos pelo CONTRATANTE de até 25% do valor atualizado do contrato, nas mesmas condições pactuadas inicialmente.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commentRangeStart w:id="24"/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Manter preposto aceito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no local da prestação do serviço para o representar na execução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highlight w:val="none"/>
          <w:shd w:fill="FFFF00" w:val="clear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A indicação do preposto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ou a sua manutenção poderá ser recusada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mediante justificativa, devendo 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>contratado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  <w:t xml:space="preserve"> designar outro para o exercício da atividade. </w:t>
      </w:r>
      <w:commentRangeEnd w:id="24"/>
      <w:r>
        <w:commentReference w:id="24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FFFF00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Atender às determinações regulares emitidas pelo fiscal do contrato ou autoridade superior e prestar esclarecimentos ou informações por eles solicitados.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Alocar os empregados em número compatível para o cumprimento deste con-trato e com a habilitação e conhecimento adequados para a execução do serviço, fornecendo os materiais, equipamentos, ferramentas e utensílios necessários para tanto, cuja quantidade, qualidade e tecnologia deverão atender às recomendações dos órgãos de regulação responsáveis e à legislação aplicável.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fixado pelo fiscal do contrato, reparar, corrigir ou refazer às suas expensas o serviço no qual se verificar vícios, defeitos ou incorreções resultantes de sua má execução contratual ou dos materiais empregados.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Durante a vigência do contrato, não contratar cônjuge, companheiro ou parente em linha reta, colateral ou por afinidade, até o 3º grau, de dirigente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de agente público que desempenhe função na licitação ou atue na fiscalização ou na gestão do contrato.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8.6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parte final, quando solicitado o CONTRATADO deverá entregar ao CONTRATANTE os seguintes documentos: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Prova de regularidade relativa à Seguridade Social.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conjunta relativa aos tributos federais e à Dívida Ativa da União.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Certidões que comprovem a regularidade perante a Fazenda Estadual ou Distrital da sede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de Regularidade do FGTS.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Certidão Negativa de Débitos Trabalhistas.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40" w:before="0" w:after="120"/>
        <w:ind w:left="720" w:right="0" w:hanging="36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Nota fiscal atestada pelo fiscal do contrato.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Responsabilizar-se pelo cumprimento das obrigações previstas em Acordo, Convenção, Dissídio Coletivo de Trabalho ou equivalentes das categorias abrangidas pelo contrato e obrigações trabalhistas, sociais, previdenciárias, tributárias e as demais previstas em legislação específica, cuja inadimplência não transfere a responsabilidade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Comunicar ao fiscal do contrato,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24 horas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qualquer ocorrência anormal que se verifique no local da execução do objeto contratual.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Prestar todo esclarecimento ou informação solicitada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ou por seus prepostos, garantindo-lhes, a qualquer tempo, o acesso ao local dos trabalhos e aos documentos relativos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Por determinação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, paralisar a atividade que não esteja sendo bem executada ou que ponha em risco a segurança das pessoas ou seus bens.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Durante a vigência do contrato, promover a guarda, manutenção e vigilância de materiais, ferramentas e tudo o que for necessário à execução do serviço.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Conduzir os trabalhos observando às normas da legislação aplicável e às determinações dos Poderes Públicos, mantendo o local dos serviços limpo e nas melhores condições de segurança, higiene e disciplina.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Submeter previamente e por escrito ao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smallCaps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contratante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qualquer mudança nos métodos executivos especificados no memorial descritivo ou documento similar para sua análise e aprovação.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Não permitir: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76" w:before="0" w:after="20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O trabalho de pessoa menor de 16 anos no objeto deste contrato, exceto na condição de aprendiz para os maiores de 14 anos; 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9BBB59"/>
          <w:position w:val="0"/>
          <w:sz w:val="24"/>
          <w:sz w:val="24"/>
          <w:szCs w:val="24"/>
          <w:u w:val="none"/>
          <w:shd w:fill="auto" w:val="clear"/>
          <w:vertAlign w:val="baseline"/>
        </w:rPr>
        <w:t>A utilização do trabalho da pessoa menor de 18 anos em trabalho noturno, perigoso ou insalubre, em qualquer hipótese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Manter durante a vigência do contrato todas as condições exigidas para habilitação na licitação ou para qualificação, na contratação direta.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durante todo o período de execução do contrato a reserva de cargos para pessoa com deficiência, reabilitado da Previdência Social, aprendiz e outras reservas de cargos previstas na legislação.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Comprovar o cumprimento da alínea acima no prazo fixado pelo fiscal do contrato, indicando os empregados que preencheram as referidas vagas.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Arcar com o ônus decorrente de eventual equívoco no dimensionamento do quantitativo de sua proposta, inclusive quanto aos custos variáveis decorrentes de fatores futuros e incertos, caso o previsto inicialmente em sua proposta não seja satisfatório para o atendimento do objeto da contratação, exceto quando ocorrer algum dos eventos do art. 124, II, d, da Lei Federal nº 14.133/21.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Cumprir as normas de segurança do CONTRATANTE, além da legislação vigente em âmbito federal, estadual e municipal. 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1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Responsabilidade por danos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responsabilidade pelos danos causados por ato do CONTRATADO, de seus empregados, prepostos ou subordinados, é exclusivamente do CONTRATADO.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responsabilidade pelos compromissos assumidos pelo CONTRATADO com terceiros é exclusivamente sua.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CONTRATANTE não responderá pelos compromissos assumidos pelo CONTRATADO com terceiros, ainda que vinculados à execução deste contrato, ou por qualquer dano causado por ato do CONTRATADO, de seus empregados, prepostos ou subordinados.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12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Infrações e sanções administrativas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Constituem infrações administrativas do CONTRATADO a serem punidas com as seguintes sanções: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1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77"/>
        <w:gridCol w:w="3826"/>
      </w:tblGrid>
      <w:tr>
        <w:trPr/>
        <w:tc>
          <w:tcPr>
            <w:tcW w:w="4677" w:type="dxa"/>
            <w:tcBorders/>
            <w:shd w:fill="0F4C81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Infração</w:t>
            </w:r>
          </w:p>
        </w:tc>
        <w:tc>
          <w:tcPr>
            <w:tcW w:w="3826" w:type="dxa"/>
            <w:tcBorders/>
            <w:shd w:fill="EB293A" w:val="clear"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Penalidade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9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parcial do contrato.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Advertência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*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Exceto quando se justificar a imposição de penalidade mais grave, ocasião em que poderá ser aplicada a sanção de “Impedimento de licitar e contratar”.</w:t>
            </w:r>
          </w:p>
        </w:tc>
      </w:tr>
      <w:tr>
        <w:trPr>
          <w:trHeight w:val="64" w:hRule="atLeast"/>
        </w:trPr>
        <w:tc>
          <w:tcPr>
            <w:tcW w:w="4677" w:type="dxa"/>
            <w:tcBorders/>
            <w:shd w:fill="DBEEF3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Dar causa à inexecução parcial do contrato que cause grave dano ao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contratante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ou ao funcionamento dos serviços públicos ou ao interesse coletivo.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Dar causa à inexecução total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entregar a documentação exigida para 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Deixar de manter sua proposta, salvo em decorrência de fato superveniente devidamente justificado.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0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Ensejar o retardamento da execução ou da entrega do objeto da contratação sem motivo justificado.</w:t>
            </w:r>
          </w:p>
        </w:tc>
        <w:tc>
          <w:tcPr>
            <w:tcW w:w="3826" w:type="dxa"/>
            <w:tcBorders/>
            <w:shd w:fill="FAC6CB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Impedimento de licitar </w:t>
              <w:br/>
              <w:t>e contratar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* Exceto quando se justificar a imposição de penalidade mais grave, ocasião em que poderá ser aplicada a sanção de “Declaração de inidoneidade para licitar e contratar”.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1"/>
              <w:keepNext w:val="tru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Apresentar declaração ou documentação falsa exigida para o certame ou prestar declaração falsa durante a dispensa eletrônica ou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Fraudar a contratação ou praticar ato fraudulento na execução do contrato.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Comportar-se de modo inidôneo ou cometer fraude de qualquer natureza.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atos ilícitos com vistas a frustrar os objetivos do certame.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1"/>
              </w:numPr>
              <w:pBdr/>
              <w:shd w:val="clear" w:fill="auto"/>
              <w:spacing w:lineRule="auto" w:line="240" w:before="0" w:after="120"/>
              <w:ind w:left="357" w:right="0" w:hanging="357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Praticar ato lesivo previsto no art. 5º da Lei Federal nº 12.846/13.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Declaração de inidoneidade</w:t>
              <w:br/>
              <w:t>para licitar e contratar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atraso superior a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{{PRAZO_ATRASO_RESCISAO}} dias corridos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autoriza a rescisão do contrato por seu descumprimento, nos termos do art. 137, I, da Lei Federal n°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 aplicação das sanções previstas neste contrato não exclui a obrigação de reparação integral do dano causado ao CONTRATANTE.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podem ser cumuladas com as seguintes multas: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2"/>
        <w:tblW w:w="850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252"/>
        <w:gridCol w:w="4251"/>
      </w:tblGrid>
      <w:tr>
        <w:trPr>
          <w:trHeight w:val="64" w:hRule="atLeast"/>
        </w:trPr>
        <w:tc>
          <w:tcPr>
            <w:tcW w:w="8503" w:type="dxa"/>
            <w:gridSpan w:val="2"/>
            <w:tcBorders/>
            <w:shd w:fill="0F4C81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Multa</w:t>
            </w:r>
          </w:p>
        </w:tc>
      </w:tr>
      <w:tr>
        <w:trPr>
          <w:trHeight w:val="64" w:hRule="atLeast"/>
        </w:trPr>
        <w:tc>
          <w:tcPr>
            <w:tcW w:w="4252" w:type="dxa"/>
            <w:tcBorders/>
            <w:shd w:fill="FFFFFF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Moratória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a.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commentRangeStart w:id="25"/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5"/>
            <w:r>
              <w:commentReference w:id="25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da parcela inadimplida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255" w:right="0" w:hanging="255"/>
              <w:jc w:val="both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b. </w:t>
            </w:r>
            <w:commentRangeStart w:id="26"/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0,5%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(zero vírgula cinco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6"/>
            <w:r>
              <w:commentReference w:id="26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sobre o valor total do contrato por dia de atraso injustificado até o limite de </w:t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15 dias corridos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pela inobservância do prazo fixado para apresentação, suplementação ou reposição da garantia.</w:t>
            </w:r>
          </w:p>
        </w:tc>
        <w:tc>
          <w:tcPr>
            <w:tcW w:w="4251" w:type="dxa"/>
            <w:tcBorders/>
            <w:shd w:fill="FFFFFF" w:val="clear"/>
          </w:tcPr>
          <w:p>
            <w:pPr>
              <w:pStyle w:val="Normal1"/>
              <w:keepNext w:val="tru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center"/>
              <w:rPr>
                <w:rFonts w:ascii="Quattrocento Sans" w:hAnsi="Quattrocento Sans" w:eastAsia="Quattrocento Sans" w:cs="Quattrocento Sans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Compensatória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20"/>
              <w:ind w:left="0" w:right="0" w:hanging="0"/>
              <w:jc w:val="both"/>
              <w:rPr>
                <w:rFonts w:ascii="Quattrocento Sans" w:hAnsi="Quattrocento Sans" w:eastAsia="Quattrocento Sans" w:cs="Quattrocento Sans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7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1%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(um por cento) </w:t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F81BD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  <w:commentRangeEnd w:id="27"/>
            <w:r>
              <w:commentReference w:id="27"/>
            </w:r>
            <w:r>
              <w:rPr>
                <w:rFonts w:eastAsia="Quattrocento Sans" w:cs="Quattrocento Sans" w:ascii="Quattrocento Sans" w:hAnsi="Quattrocento San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sobre o valor total do contrato, no caso de inexecução total do seu objeto.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aplicação das sanções, o CONTRATADO será notificado, através do Fiscal de Contrato, para apresentar defesa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contado de sua intimação.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multa aplicada e as indenizações cabíveis forem superiores ao valor devido ao CONTRATADO, além da perda deste valor, a diferença será descontada da garantia prestada e/ou será cobrada judicialmente.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do ajuizamento da cobrança, a multa poderá ser recolhida administrativamente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do trânsito em julgado da decisão administrativa.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será precedida de processo administrativo em que seja assegurado o contraditório e a ampla defesa ao CONTRATADO, observando o rito especial previsto no art. 158 da Lei Federal nº 14.133/21 para as penalidades de impedimento de licitar e contratar e declaração de inidoneidade para licitar ou contratar.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aplicação das sanções deve observar: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natureza e gravidade da infração.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peculiaridades do caso.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circunstâncias agravantes e/ou atenuantes.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danos causados ao CONTRATANTE.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implantação ou aperfeiçoamento de programa de integridade, conforme normas e orientações dos órgãos de controle.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infrações administrativas tipificadas como atos lesivos na Lei Federal nº 12.846/13 serão apuradas e julgadas em conjunto com as infrações previstas neste contrato, nos mesmos autos.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personalidade jurídica do CONTRATADO poderá ser desconsiderada quando for utilizada com abuso do direito para facilitar, encobrir ou dissimular a prática dos atos ilícitos previstos neste contrato ou para provocar confusão patrimonial e, nesse caso, todos os efeitos das sanções aplicadas à pessoa jurídica serão estendidos aos seus administradores e sócios com poderes de administração, à pessoa jurídica sucessora ou à empresa do mesmo ramo com relação de coligação ou controle, de fato ou de direito, com o CONTRATADO, observados o contraditório, ampla defesa e a obrigatoriedade de análise jurídica prévia.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15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a contar da data de aplicação da sanção, o CONTRATANTE informará e manterá atualizados os dados relativos às sanções aplicadas por ela, para publicidade no Cadastro Nacional de Empresas Inidôneas e Suspensas (CEIS) e no Cadastro Nacional de Empresas Punidas (CNEP), instituídos no âmbito do Poder Executivo Federal.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7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sanções de impedimento de licitar e contratar e declaração de inidoneidade para licitar ou contratar são passíveis de reabilitação, na forma do art. 163 da Lei Federal nº 14.133/21.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3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13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Alterações do contrato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alterações contratuais serão disciplinadas pelo art. 124 e seguintes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Caso haja interesse público, o CONTRATANTE pode alterar unilateralmente o contrato para impor acréscimos ou supressões de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25%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do valor inicial atualizado do contrato,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que se fizerem nas obras, nos serviços ou nas compras, e, no caso de reforma de edifício ou de equipamento, o limite para os acréscimos será de 50% (cinquenta por cento), na forma do art. 125 da Lei nº 14.133/2021, mantidas as mesmas condições pactuadas inicialmente.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PARTES podem acordar suprimir o objeto do contrato em percentual superior a 25% do valor inicial atualizado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acréscimos ou supressões não podem transfigurar o objeto da contratação.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3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Registros que não caracterizam alteração do contrato podem ser realizados por simples apostila, dispensada a celebração de termo aditivo, conforme art. 136 da Lei Federal nº 14.133/21.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120"/>
        <w:ind w:left="405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4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8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mallCaps/>
              </w:rPr>
              <w:t>CLÁUSULA 14</w:t>
            </w:r>
            <w:commentRangeEnd w:id="28"/>
            <w:r>
              <w:commentReference w:id="28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commentRangeStart w:id="29"/>
            <w:r>
              <w:rPr/>
            </w:r>
            <w:r>
              <w:rPr/>
            </w:r>
            <w:r>
              <w:rPr>
                <w:rFonts w:eastAsia="Quattrocento Sans" w:cs="Quattrocento Sans" w:ascii="Quattrocento Sans" w:hAnsi="Quattrocento Sans"/>
                <w:smallCaps/>
              </w:rPr>
              <w:t>Extinções do contrato</w:t>
            </w:r>
            <w:commentRangeEnd w:id="29"/>
            <w:r>
              <w:commentReference w:id="29"/>
            </w:r>
            <w:r>
              <w:rPr>
                <w:rFonts w:eastAsia="Quattrocento Sans" w:cs="Quattrocento Sans" w:ascii="Quattrocento Sans" w:hAnsi="Quattrocento Sans"/>
                <w:smallCaps/>
              </w:rPr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0"/>
      <w:r>
        <w:rPr/>
      </w:r>
      <w:r>
        <w:rPr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 contrato se extingue quando todas as obrigações de ambas as PARTES forem cumpridas, ainda que isso ocorra antes do prazo estipulado.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as obrigações não forem cumpridas no prazo estipulado, a vigência ficará prorrogada até a conclusão do objeto, caso em que o CONTRATANTE deverá providenciar a readequação do cronograma fixado para cumprimento do contrato.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 a não conclusão do contrato decorrer de culpa do CONTRATADO, ele ficará constituído em mora, devendo ser instaurado procedimento de inexecução contratual para a aplicação das sanções administrativas cabíveis.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4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Na hipótese do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item 14.3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o CONTRATANTE poderá optar, ainda, pela extinção do contrato e adotar as medidas previstas em lei para a continuidade da execução do objeto.</w:t>
      </w:r>
      <w:commentRangeEnd w:id="30"/>
      <w:r>
        <w:commentReference w:id="30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5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15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Fiscalização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5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cumprimento do contrato será fiscalizado pelo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servidor {{FISCAL_TITULAR}}, matrícula nº {{MATRICULA_TITULAR}}, fiscal titular, e pelo servidor {{FISCAL_SUPLENTE}}, matrícula nº {{MATRICULA_SUPLENTE}}, fiscal suplente, ambos lotados no {{SETOR_FISCAL}}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smallCaps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conforme ato a ser publicado no Diário Oficial do Estado.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6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16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Interpretação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6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dúvidas interpretativas sobre as cláusulas deste contrato deverão ser suscitadas ao CONTRATANTE e serão decididas por ele, de acordo com a Lei Federal nº 14.133/21, seus regulamentos, Lei Estadual n° 8.972/20 </w:t>
      </w:r>
      <w:r>
        <w:rPr>
          <w:rFonts w:eastAsia="Quattrocento Sans" w:cs="Quattrocento Sans" w:ascii="Quattrocento Sans" w:hAnsi="Quattrocento Sans"/>
          <w:sz w:val="24"/>
          <w:szCs w:val="24"/>
        </w:rPr>
        <w:t xml:space="preserve">e suas alterações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e, observando a jurisprudência dos Tribunais sobre o assunto.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7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17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Tratamento adequado dos conflitos de interesse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7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16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, permanecendo o conflito de interesse, as PARTES se comprometem a submeter a disputa preferencialmente à CÂMARA DE NEGOCIAÇÃO, CONCILIAÇÃO, MEDIAÇÃO E ARBITRAGEM DA ADMINISTRAÇÃO PÚBLICA ESTADUAL para dirimir os conflitos decorrentes deste contrato de maneira consensual, conforme Lei Complementar Estadual n° 121/19.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8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18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ind w:left="0" w:hanging="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Divulgação e publicação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CONTRATANTE divulgará este contrato no Portal Nacional de Contratações Públicas (PNCP) em até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 o publicará no Diário Oficial do Estado em forma de extrato, no prazo de </w:t>
      </w:r>
      <w:r>
        <w:rPr>
          <w:rFonts w:eastAsia="Quattrocento Sans" w:cs="Quattrocento Sans" w:ascii="Quattrocento Sans" w:hAnsi="Quattrocento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10 dias úteis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8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Os prazos contidos no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item 18.1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são contados da data da assinatura do contrato.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29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19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Vigência</w:t>
            </w:r>
          </w:p>
        </w:tc>
      </w:tr>
    </w:tbl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commentRangeStart w:id="31"/>
      <w:r>
        <w:rPr/>
      </w:r>
      <w:r>
        <w:rPr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 contrato terá vigência de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{{PRAZO_VIGENCIA_EXTENSO}} meses, com início em {{DATA_INICIO}} e término em {{DATA_FIM}}{{VIGENCIA_COMPLEMENTO}}.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commentRangeEnd w:id="31"/>
      <w:r>
        <w:commentReference w:id="31"/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/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Quando o objeto não for concluído no período acima fixado, o prazo de vigência do contrato será automaticamente prorrogado, sem prejuízo da aplicação dos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itens 14.3 e 14.4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, quando a não conclusão decorrer de culpa do CONTRATADO.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9"/>
        </w:numPr>
        <w:pBdr/>
        <w:shd w:val="clear" w:fill="auto"/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Antes da prorrogação da vigência do contrato, o CONTRATANTE deverá verificar a regularidade fiscal do CONTRATADO, consultar o CEIS e o CNEP, emitir as certidões negativas de inidoneidade, de impedimento e de débitos trabalhistas e juntá-las ao respectivo processo 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0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20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Casos omissos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2"/>
        </w:numPr>
        <w:pBdr/>
        <w:shd w:val="clear" w:fill="auto"/>
        <w:tabs>
          <w:tab w:val="clear" w:pos="720"/>
          <w:tab w:val="left" w:pos="709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Os casos omissos serão decididos pelo CONTRATANTE, segundo as disposições contidas na Lei nº 14.133, de 2021, e demais normas federais aplicáveis e, subsidiariamente, segundo as disposições contidas na Lei nº 8.078, de 1990 – Código de Defesa do Consumidor – e normas e princípios gerais dos contratos.</w:t>
      </w:r>
    </w:p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tbl>
      <w:tblPr>
        <w:tblStyle w:val="Table31"/>
        <w:tblW w:w="9211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11"/>
      </w:tblGrid>
      <w:tr>
        <w:trPr/>
        <w:tc>
          <w:tcPr>
            <w:tcW w:w="9211" w:type="dxa"/>
            <w:tcBorders>
              <w:bottom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CLÁUSULA 21</w:t>
            </w:r>
          </w:p>
        </w:tc>
      </w:tr>
      <w:tr>
        <w:trPr/>
        <w:tc>
          <w:tcPr>
            <w:tcW w:w="9211" w:type="dxa"/>
            <w:tcBorders>
              <w:top w:val="single" w:sz="4" w:space="0" w:color="000000"/>
            </w:tcBorders>
          </w:tcPr>
          <w:p>
            <w:pPr>
              <w:pStyle w:val="Ttulo1"/>
              <w:widowControl w:val="false"/>
              <w:spacing w:lineRule="auto" w:line="240" w:before="0" w:after="120"/>
              <w:rPr>
                <w:rFonts w:ascii="Quattrocento Sans" w:hAnsi="Quattrocento Sans" w:eastAsia="Quattrocento Sans" w:cs="Quattrocento Sans"/>
                <w:smallCaps/>
              </w:rPr>
            </w:pPr>
            <w:r>
              <w:rPr>
                <w:rFonts w:eastAsia="Quattrocento Sans" w:cs="Quattrocento Sans" w:ascii="Quattrocento Sans" w:hAnsi="Quattrocento Sans"/>
                <w:smallCaps/>
              </w:rPr>
              <w:t>Foro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0"/>
        </w:numPr>
        <w:pBdr/>
        <w:shd w:val="clear" w:fill="auto"/>
        <w:tabs>
          <w:tab w:val="clear" w:pos="720"/>
          <w:tab w:val="left" w:pos="524" w:leader="none"/>
        </w:tabs>
        <w:spacing w:lineRule="auto" w:line="240" w:before="0" w:after="120"/>
        <w:ind w:left="0" w:right="0" w:hanging="0"/>
        <w:jc w:val="both"/>
        <w:rPr>
          <w:rFonts w:ascii="Quattrocento Sans" w:hAnsi="Quattrocento Sans" w:eastAsia="Quattrocento Sans" w:cs="Quattrocento San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As PARTES elegem o foro da Comarca de Belém-PA para resolver os litígios oriundos deste contrato, observado o disposto na 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4F81BD"/>
          <w:position w:val="0"/>
          <w:sz w:val="24"/>
          <w:sz w:val="24"/>
          <w:szCs w:val="24"/>
          <w:u w:val="none"/>
          <w:shd w:fill="auto" w:val="clear"/>
          <w:vertAlign w:val="baseline"/>
        </w:rPr>
        <w:t>Cláusula 17</w:t>
      </w:r>
      <w:r>
        <w:rPr>
          <w:rFonts w:eastAsia="Quattrocento Sans" w:cs="Quattrocento Sans" w:ascii="Quattrocento Sans" w:hAnsi="Quattrocento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7" w:name="bookmark=id.49x2ik5"/>
      <w:bookmarkStart w:id="8" w:name="bookmark=id.49x2ik5"/>
      <w:bookmarkEnd w:id="8"/>
    </w:p>
    <w:p>
      <w:pPr>
        <w:pStyle w:val="Normal1"/>
        <w:tabs>
          <w:tab w:val="clear" w:pos="720"/>
          <w:tab w:val="left" w:pos="524" w:leader="none"/>
        </w:tabs>
        <w:spacing w:lineRule="auto" w:line="240" w:before="0" w:after="120"/>
        <w:jc w:val="both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9" w:name="bookmark=id.49x2ik5"/>
      <w:bookmarkStart w:id="10" w:name="bookmark=id.3o7alnk"/>
      <w:bookmarkStart w:id="11" w:name="bookmark=id.49x2ik5"/>
      <w:bookmarkStart w:id="12" w:name="bookmark=id.3o7alnk"/>
      <w:bookmarkEnd w:id="11"/>
      <w:bookmarkEnd w:id="12"/>
    </w:p>
    <w:p>
      <w:pPr>
        <w:pStyle w:val="Normal1"/>
        <w:tabs>
          <w:tab w:val="clear" w:pos="720"/>
          <w:tab w:val="left" w:pos="6403" w:leader="none"/>
          <w:tab w:val="left" w:pos="8327" w:leader="none"/>
        </w:tabs>
        <w:spacing w:lineRule="auto" w:line="240" w:before="0" w:after="120"/>
        <w:ind w:left="4536" w:hanging="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bookmarkStart w:id="13" w:name="bookmark=id.3o7alnk"/>
      <w:bookmarkStart w:id="14" w:name="_heading=h.23ckvvd"/>
      <w:bookmarkEnd w:id="13"/>
      <w:bookmarkEnd w:id="14"/>
      <w:r>
        <w:rPr>
          <w:rFonts w:eastAsia="Quattrocento Sans" w:cs="Quattrocento Sans" w:ascii="Quattrocento Sans" w:hAnsi="Quattrocento Sans"/>
          <w:sz w:val="24"/>
          <w:szCs w:val="24"/>
        </w:rPr>
        <w:t xml:space="preserve">Belém-PA, {{DATA_ASSINATURA_EXTENSO}}.</w:t>
      </w:r>
    </w:p>
    <w:p>
      <w:pPr>
        <w:pStyle w:val="Normal1"/>
        <w:spacing w:lineRule="auto" w:line="240" w:before="0" w:after="120"/>
        <w:jc w:val="right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15" w:name="_heading=h.1t3h5sf"/>
      <w:bookmarkStart w:id="16" w:name="_heading=h.1t3h5sf"/>
      <w:bookmarkEnd w:id="16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  <w:t xml:space="preserve">{{AUTORIDADE_ASSINATURA}}</w: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6">
                <wp:simplePos x="0" y="0"/>
                <wp:positionH relativeFrom="column">
                  <wp:posOffset>967740</wp:posOffset>
                </wp:positionH>
                <wp:positionV relativeFrom="paragraph">
                  <wp:posOffset>181610</wp:posOffset>
                </wp:positionV>
                <wp:extent cx="41275" cy="43180"/>
                <wp:effectExtent l="0" t="0" r="0" b="0"/>
                <wp:wrapTopAndBottom/>
                <wp:docPr id="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/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bookmarkStart w:id="17" w:name="_heading=h.jboxs6hv44q"/>
      <w:bookmarkEnd w:id="17"/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  <w:t xml:space="preserve">{{AUTORIDADE_CARGO}}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b/>
          <w:bCs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sz w:val="24"/>
          <w:szCs w:val="24"/>
        </w:rPr>
      </w:r>
      <w:bookmarkStart w:id="18" w:name="_heading=h.tfxhcn9ko5xb"/>
      <w:bookmarkStart w:id="19" w:name="_heading=h.tfxhcn9ko5xb"/>
      <w:bookmarkEnd w:id="19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bookmarkStart w:id="20" w:name="_heading=h.1hmsyys"/>
      <w:bookmarkEnd w:id="20"/>
      <w:r>
        <w:rPr>
          <w:rFonts w:eastAsia="Quattrocento Sans" w:cs="Quattrocento Sans" w:ascii="Quattrocento Sans" w:hAnsi="Quattrocento Sans"/>
          <w:sz w:val="24"/>
          <w:szCs w:val="24"/>
        </w:rPr>
        <w:t>____________________________________________________</w:t>
        <w:br/>
      </w:r>
      <w:r>
        <w:rPr>
          <w:rFonts w:eastAsia="Quattrocento Sans" w:cs="Quattrocento Sans" w:ascii="Quattrocento Sans" w:hAnsi="Quattrocento Sans"/>
          <w:color w:val="4F81BD"/>
          <w:sz w:val="24"/>
          <w:szCs w:val="24"/>
        </w:rPr>
        <mc:AlternateContent>
          <mc:Choice Requires="wps">
            <w:drawing>
              <wp:anchor behindDoc="0" distT="0" distB="0" distL="0" distR="635" simplePos="0" locked="0" layoutInCell="0" allowOverlap="1" relativeHeight="35">
                <wp:simplePos x="0" y="0"/>
                <wp:positionH relativeFrom="column">
                  <wp:posOffset>967740</wp:posOffset>
                </wp:positionH>
                <wp:positionV relativeFrom="paragraph">
                  <wp:posOffset>117475</wp:posOffset>
                </wp:positionV>
                <wp:extent cx="41275" cy="43180"/>
                <wp:effectExtent l="0" t="0" r="0" b="0"/>
                <wp:wrapTopAndBottom/>
                <wp:docPr id="9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" cy="43200"/>
                        </a:xfrm>
                        <a:custGeom>
                          <a:avLst/>
                          <a:gdLst>
                            <a:gd name="textAreaLeft" fmla="*/ 0 w 23400"/>
                            <a:gd name="textAreaRight" fmla="*/ 23760 w 23400"/>
                            <a:gd name="textAreaTop" fmla="*/ 0 h 24480"/>
                            <a:gd name="textAreaBottom" fmla="*/ 24840 h 24480"/>
                          </a:gdLst>
                          <a:ah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Quattrocento Sans" w:cs="Quattrocento Sans" w:ascii="Quattrocento Sans" w:hAnsi="Quattrocento Sans"/>
          <w:sz w:val="24"/>
          <w:szCs w:val="24"/>
          <w:color w:val="000000"/>
        </w:rPr>
        <w:t xml:space="preserve">{{NOME_REPRESENTANTE}}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color w:val="000000"/>
          <w:sz w:val="24"/>
          <w:szCs w:val="24"/>
        </w:rPr>
      </w:pPr>
      <w:r>
        <w:rPr>
          <w:rFonts w:eastAsia="Quattrocento Sans" w:cs="Quattrocento Sans" w:ascii="Quattrocento Sans" w:hAnsi="Quattrocento Sans"/>
          <w:b/>
          <w:bCs/>
          <w:color w:val="000000"/>
          <w:sz w:val="24"/>
          <w:szCs w:val="24"/>
        </w:rPr>
        <w:t xml:space="preserve">Representante legal – {{NOME_CONTRATADA}}</w:t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1" w:name="bookmark=id.41mghml"/>
      <w:bookmarkStart w:id="22" w:name="bookmark=id.41mghml"/>
      <w:bookmarkEnd w:id="22"/>
    </w:p>
    <w:p>
      <w:pPr>
        <w:pStyle w:val="Normal1"/>
        <w:spacing w:lineRule="auto" w:line="240" w:before="0" w:after="120"/>
        <w:jc w:val="center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</w:r>
      <w:bookmarkStart w:id="23" w:name="bookmark=id.41mghml"/>
      <w:bookmarkStart w:id="24" w:name="bookmark=id.41mghml"/>
      <w:bookmarkEnd w:id="24"/>
    </w:p>
    <w:p>
      <w:pPr>
        <w:pStyle w:val="Normal1"/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TESTEMUNHAS:</w:t>
      </w:r>
      <w:bookmarkStart w:id="25" w:name="bookmark=id.2grqrue"/>
      <w:bookmarkEnd w:id="25"/>
    </w:p>
    <w:p>
      <w:pPr>
        <w:pStyle w:val="Normal1"/>
        <w:tabs>
          <w:tab w:val="clear" w:pos="720"/>
          <w:tab w:val="left" w:pos="4252" w:leader="none"/>
          <w:tab w:val="left" w:pos="4735" w:leader="none"/>
          <w:tab w:val="left" w:pos="8808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1ª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ab/>
      </w:r>
      <w:r>
        <w:rPr>
          <w:rFonts w:eastAsia="Quattrocento Sans" w:cs="Quattrocento Sans" w:ascii="Quattrocento Sans" w:hAnsi="Quattrocento Sans"/>
          <w:sz w:val="24"/>
          <w:szCs w:val="24"/>
        </w:rPr>
        <w:tab/>
        <w:t xml:space="preserve">2ª </w:t>
      </w:r>
      <w:r>
        <w:rPr>
          <w:rFonts w:eastAsia="Quattrocento Sans" w:cs="Quattrocento Sans" w:ascii="Quattrocento Sans" w:hAnsi="Quattrocento Sans"/>
          <w:sz w:val="24"/>
          <w:szCs w:val="24"/>
          <w:u w:val="single"/>
        </w:rPr>
        <w:t xml:space="preserve"> </w:t>
        <w:tab/>
      </w:r>
      <w:bookmarkStart w:id="26" w:name="bookmark=id.vx1227"/>
      <w:bookmarkEnd w:id="26"/>
    </w:p>
    <w:p>
      <w:pPr>
        <w:pStyle w:val="Normal1"/>
        <w:tabs>
          <w:tab w:val="clear" w:pos="720"/>
          <w:tab w:val="left" w:pos="4687" w:leader="none"/>
        </w:tabs>
        <w:spacing w:lineRule="auto" w:line="240" w:before="0" w:after="120"/>
        <w:rPr>
          <w:rFonts w:ascii="Quattrocento Sans" w:hAnsi="Quattrocento Sans" w:eastAsia="Quattrocento Sans" w:cs="Quattrocento Sans"/>
          <w:sz w:val="24"/>
          <w:szCs w:val="24"/>
        </w:rPr>
      </w:pPr>
      <w:r>
        <w:rPr>
          <w:rFonts w:eastAsia="Quattrocento Sans" w:cs="Quattrocento Sans" w:ascii="Quattrocento Sans" w:hAnsi="Quattrocento Sans"/>
          <w:sz w:val="24"/>
          <w:szCs w:val="24"/>
        </w:rPr>
        <w:t>CPF Nº</w:t>
        <w:tab/>
        <w:t>CPF Nº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1134" w:gutter="0" w:header="493" w:top="1701" w:footer="663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NATA DE AVIZ BATISTA" w:date="2025-08-19T17:1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Adotar o padrão: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CBMPA/CEDEC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CBMPA/FEBOM</w:t>
      </w:r>
    </w:p>
  </w:comment>
  <w:comment w:id="1" w:author="RENATA DE AVIZ BATISTA" w:date="2025-08-20T14:4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CBMPA: 925853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CEDEC: 929902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FEBOM: 929377</w:t>
      </w:r>
    </w:p>
  </w:comment>
  <w:comment w:id="2" w:author="RENATA DE AVIZ BATISTA" w:date="2023-12-04T16:1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O ÓRGÃO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Corpo de Bombeiros Militar do Pará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34.847.236/0001-80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925853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 (CEDEC)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15.513.102/0001-88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929902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Fundo Especial de Bombeiros (FEBOM)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CNPJ 44.754.155/0001-99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UASG 929377</w:t>
      </w:r>
    </w:p>
  </w:comment>
  <w:comment w:id="3" w:author="RENATA DE AVIZ BATISTA" w:date="2025-08-19T14:3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Copiar o mesmo objeto do edital/aviso</w:t>
      </w:r>
    </w:p>
  </w:comment>
  <w:comment w:id="4" w:author="RENATA DE AVIZ BATISTA" w:date="2025-08-19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Citar o número dos itens que irá contratar, se for contratar tudo o que estiver no edital/aviso, pode retirar esta parte do texto.</w:t>
      </w:r>
    </w:p>
  </w:comment>
  <w:comment w:id="5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6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7" w:author="RENATA DE AVIZ BATISTA" w:date="2025-08-19T14:4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8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9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0" w:author="RENATA DE AVIZ BATISTA" w:date="2025-08-19T14:4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Verificar as disposições na capa do edital para auxiliar e ratificar no TR.</w:t>
      </w:r>
    </w:p>
  </w:comment>
  <w:comment w:id="11" w:author="RENATA DE AVIZ BATISTA" w:date="2025-08-20T14:40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conforme cada UASG: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da Coordenadoria Estadual de Defesa Civil - CEDEC do Corpo de Bombeiros Militar do Pará.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Estado do Pará, por intermédio do Fundo Especial de Bombeiros – FEBOM do Corpo de Bombeiros Militar do Pará</w:t>
      </w:r>
    </w:p>
  </w:comment>
  <w:comment w:id="12" w:author="RENATA DE AVIZ BATISTA" w:date="2025-08-19T15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com os dados da empresa, ratificado com o cartão CNPJ, QSA e RG.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for do CBMPA estes dados podem ser acessados na ARP e/ou na proposta.</w:t>
      </w:r>
    </w:p>
  </w:comment>
  <w:comment w:id="13" w:author="RENATA DE AVIZ BATISTA" w:date="2025-08-19T14:5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Se tratar de processo em que sejamos PARTÍCIPES, deve adequar estes dados para o que constar no PROCESSO.</w:t>
      </w:r>
    </w:p>
  </w:comment>
  <w:comment w:id="14" w:author="RENATA DE AVIZ BATISTA" w:date="2025-08-19T14:5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Após adequar o texto, retirar o que não for aplicável</w:t>
      </w:r>
    </w:p>
  </w:comment>
  <w:comment w:id="15" w:author="RENATA DE AVIZ BATISTA" w:date="2025-08-19T15:0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Conferir se está em consonância com o valor na capa do contrato.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É a mesma tabela que consta na ARP caso seja processo do CBMPA/CEDEC/FEBOM</w:t>
      </w:r>
    </w:p>
  </w:comment>
  <w:comment w:id="16" w:author="RENATA DE AVIZ BATISTA" w:date="2025-08-19T17:02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Atentar que deve ser o mesmo valor da capa e da tabela na cláusula 3</w:t>
      </w:r>
    </w:p>
  </w:comment>
  <w:comment w:id="17" w:author="RENATA DE AVIZ BATISTA" w:date="2025-08-19T17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para: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Fundo Especial de Bombeiros 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Coordenadoria Estadual de Defesa Civil</w:t>
      </w:r>
    </w:p>
  </w:comment>
  <w:comment w:id="18" w:author="RENATA DE AVIZ BATISTA" w:date="2025-08-19T15:3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informação na capa</w:t>
      </w:r>
    </w:p>
  </w:comment>
  <w:comment w:id="19" w:author="RENATA DE AVIZ BATISTA" w:date="2025-08-19T15:34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Deve está em consonãncia com a capa</w:t>
      </w:r>
    </w:p>
  </w:comment>
  <w:comment w:id="20" w:author="RENATA DE AVIZ BATISTA" w:date="2025-08-19T16:0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Estas informações constam na proposta aprovada</w:t>
      </w:r>
    </w:p>
  </w:comment>
  <w:comment w:id="21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2" w:author="RENATA DE AVIZ BATISTA" w:date="2025-08-19T16:07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Preencher conforme cada caso, tem que olhar no TR</w:t>
      </w:r>
    </w:p>
  </w:comment>
  <w:comment w:id="23" w:author="RENATA DE AVIZ BATISTA" w:date="2025-08-19T16:09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Aqui entram os dados do CBMPA, precisa alinhar com a DF o procedimento, caso a caso</w:t>
      </w:r>
    </w:p>
  </w:comment>
  <w:comment w:id="24" w:author="Autor desconhecido" w:date="2026-08-05T10:57:21Z" w:initials="">
    <w:p>
      <w:pPr>
        <w:kinsoku w:val="true"/>
        <w:overflowPunct w:val="false"/>
        <w:autoSpaceDE w:val="true"/>
        <w:bidi w:val="0"/>
        <w:spacing w:before="0" w:after="0" w:lineRule="auto" w:line="240"/>
        <w:ind w:hanging="0"/>
        <w:jc w:val="left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ADEQUAR CASO A CASO.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PRECISA AVALIAR SE O ETP E/OU TR ASSIM O EXIGEM..</w:t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br/>
      </w: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shd w:fill="auto" w:val="clear"/>
          <w:vertAlign w:val="baseline"/>
          <w:em w:val="none"/>
          <w:lang w:val="en-US" w:eastAsia="zh-CN" w:bidi="hi-IN"/>
        </w:rPr>
        <w:t>CASO NEGATIVO, DEVERÃO SER RETIRADOS OS ITENS</w:t>
      </w:r>
    </w:p>
  </w:comment>
  <w:comment w:id="25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6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7" w:author="RENATA DE AVIZ BATISTA" w:date="2025-08-19T17:06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Adequar caso a caso, conforme o TR e a complexidade do objeto</w:t>
      </w:r>
    </w:p>
  </w:comment>
  <w:comment w:id="28" w:author="RENATA DE AVIZ BATISTA" w:date="2025-08-20T13:28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AGU: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 item 14.1 para contratos decorrentes da hipótese de dispensa de licitação prevista no art. 75, inciso VIII, da Lei n° 14.133/2021.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observado o art. 75, inciso VIII, da Lei n.º 14.133/2021, independentemente de terem sido cumpridas ou não as obrigações de ambas as partes contraentes.</w:t>
      </w:r>
    </w:p>
  </w:comment>
  <w:comment w:id="29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12.3, 12.3.1, 12.3.2, 12.3.3 para os contratos de fornecimentos contínuos e de aluguel de equipamentos e à utilização de programas de informática (art. 106, da Lei n.º 14.133, de 2021).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 O contrato será extinto quando vencido o prazo nele estipulado, independentemente de terem sido cumpridas ou não as obrigações de ambas as partes contraentes.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14.1.1. O contrato poderá ser extinto antes do prazo nele fixado, sem ônus para o CONTRATANTE, quando este não dispuser de créditos orçamentários para sua continuidade ou quando entender que o contrato não mais lhe oferece vantagem.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14.1.2. A extinção nesta hipótese ocorrerá na próxima data de aniversário do contrato, desde que haja a notificação do CONTRATADO pelo CONTRATANTE nesse sentido com pelo menos 2 (dois) meses de antecedência desse dia.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14.1.3. Caso a notificação da não-continuidade do contrato de que trata este subitem ocorra com menos de 2 (dois) meses da data de aniversário, a extinção contratual ocorrerá após 2 (dois) meses da data da comunicação.</w:t>
      </w:r>
    </w:p>
  </w:comment>
  <w:comment w:id="30" w:author="RENATA DE AVIZ BATISTA" w:date="2025-08-20T13:23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 xml:space="preserve">AGU: 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Use a redação dos itens 14.1, 14.2, 14.3 e 14.4 para os contratos por escopo (o objeto é contratado para ser prestado em determinado prazo). Ex. Compra pontual de sofás, aquisição e instalação de servidores.</w:t>
      </w:r>
    </w:p>
  </w:comment>
  <w:comment w:id="31" w:author="Office 365" w:date="2025-09-02T10:51:00Z" w:initials=""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TEXTO AGU - PARA ADEQUAR CONFORME CADA CASO, NO QUE ESTIVER PREVISTO NO TR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na forma do artigo 105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Explicativa: Utilizar esta redação para contratos de escopo, cuja vigência se fundamenta no art. 105 da Lei n.º 14.133, de 2021.</w:t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Liberation Serif" w:hAnsi="Liberation Serif" w:eastAsia="Segoe UI" w:cs="Tahoma"/>
          <w:sz w:val="24"/>
          <w:szCs w:val="24"/>
          <w:lang w:eastAsia="en-US" w:bidi="en-US"/>
        </w:rPr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OU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O prazo de vigência da contratação é de [indicar o prazo] contados do(a) [indicar o termo inicial da vigência], prorrogável sucessivamente por até 10 anos, na forma dos artigos 106 e 107 da Lei n° 14.133, de 2021.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1: Indicar o prazo inicial da contratação, que deverá ser de no máximo 5 (cinco) anos.</w:t>
      </w:r>
    </w:p>
    <w:p>
      <w:pPr>
        <w:overflowPunct w:val="false"/>
        <w:rPr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  <w:lang w:eastAsia="en-US" w:bidi="en-US"/>
        </w:rPr>
        <w:t>Nota Explicativa 2: Utilizar esta redação para contratações de fornecimentos contínuos, conforme arts. 106 e 107 da Lei nº 14.133, de 2021, considerando a definição do art. 6º, XV do mesmo normativo.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Quattrocento Sans">
    <w:charset w:val="00"/>
    <w:family w:val="roman"/>
    <w:pitch w:val="variable"/>
  </w:font>
  <w:font w:name="Arial Unicode MS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3" name="image6.png Copia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6.png Copia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4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jc w:val="center"/>
      <w:rPr>
        <w:b/>
        <w:bCs/>
        <w:color w:val="00000A"/>
        <w:sz w:val="12"/>
        <w:szCs w:val="12"/>
      </w:rPr>
    </w:pPr>
    <w:r>
      <w:rPr>
        <w:b/>
        <w:bCs/>
        <w:color w:val="00000A"/>
        <w:sz w:val="12"/>
        <w:szCs w:val="12"/>
      </w:rPr>
    </w:r>
  </w:p>
  <w:p>
    <w:pPr>
      <w:pStyle w:val="Normal1"/>
      <w:ind w:firstLine="720"/>
      <w:jc w:val="center"/>
      <w:rPr>
        <w:b/>
        <w:bCs/>
        <w:sz w:val="12"/>
        <w:szCs w:val="12"/>
      </w:rPr>
    </w:pPr>
    <w:r>
      <w:rPr>
        <w:b/>
        <w:bCs/>
        <w:color w:val="00000A"/>
        <w:sz w:val="12"/>
        <w:szCs w:val="12"/>
      </w:rPr>
      <w:drawing>
        <wp:anchor behindDoc="1" distT="0" distB="0" distL="0" distR="0" simplePos="0" locked="0" layoutInCell="0" allowOverlap="1" relativeHeight="20">
          <wp:simplePos x="0" y="0"/>
          <wp:positionH relativeFrom="column">
            <wp:posOffset>32385</wp:posOffset>
          </wp:positionH>
          <wp:positionV relativeFrom="paragraph">
            <wp:posOffset>-14605</wp:posOffset>
          </wp:positionV>
          <wp:extent cx="330200" cy="460375"/>
          <wp:effectExtent l="0" t="0" r="0" b="0"/>
          <wp:wrapNone/>
          <wp:docPr id="15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0200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00000A"/>
        <w:sz w:val="12"/>
        <w:szCs w:val="12"/>
      </w:rPr>
      <w:t>DIRETORIA DE CONTRATAÇÕES E AQUISIÇÕES – DCA / CORPO DE BOMBEIROS MILITAR DO PARÁ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2"/>
        <w:szCs w:val="12"/>
      </w:rPr>
      <w:t>Quartel do Comando-Geral – Av. Júlio César, no 3000, Bairro: Marambaia, Belém-Pará, CEP 66.615-055.</w:t>
    </w:r>
  </w:p>
  <w:p>
    <w:pPr>
      <w:pStyle w:val="Normal1"/>
      <w:ind w:firstLine="720"/>
      <w:jc w:val="center"/>
      <w:rPr>
        <w:sz w:val="12"/>
        <w:szCs w:val="12"/>
      </w:rPr>
    </w:pPr>
    <w:r>
      <w:rPr>
        <w:color w:val="00000A"/>
        <w:sz w:val="14"/>
        <w:szCs w:val="14"/>
      </w:rPr>
      <w:t xml:space="preserve">Telefone: (91) 98899-6573 e-mail: </w:t>
    </w:r>
    <w:hyperlink r:id="rId2">
      <w:r>
        <w:rPr>
          <w:color w:val="00000A"/>
          <w:sz w:val="14"/>
          <w:szCs w:val="14"/>
          <w:u w:val="single"/>
        </w:rPr>
        <w:t>contratoscbmpa@gmail.com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0" name="image11.png Copia 2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1.png Copia 2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7" w:name="_heading=h.6fvif8a8oowv_Copia_3"/>
    <w:bookmarkEnd w:id="27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28" w:name="_heading=h.ty1qzp5gkstb_Copia_3"/>
    <w:bookmarkEnd w:id="28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1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29" w:name="_heading=h.6fvif8a8oowv"/>
    <w:bookmarkEnd w:id="29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0" w:name="_heading=h.ty1qzp5gkstb"/>
    <w:bookmarkEnd w:id="30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spacing w:lineRule="auto" w:line="240" w:before="240" w:after="0"/>
      <w:jc w:val="center"/>
      <w:rPr>
        <w:rFonts w:ascii="Arial" w:hAnsi="Arial" w:eastAsia="Arial" w:cs="Arial"/>
        <w:b/>
        <w:bCs/>
        <w:sz w:val="18"/>
        <w:szCs w:val="18"/>
      </w:rPr>
    </w:pPr>
    <w:r>
      <w:rPr>
        <w:b/>
        <w:bCs/>
        <w:sz w:val="18"/>
        <w:szCs w:val="18"/>
      </w:rPr>
      <w:drawing>
        <wp:anchor behindDoc="1" distT="0" distB="0" distL="0" distR="0" simplePos="0" locked="0" layoutInCell="0" allowOverlap="1" relativeHeight="34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l="0" t="0" r="0" b="0"/>
          <wp:wrapNone/>
          <wp:docPr id="12" name="image11.png" descr="\\Cbm225\bckp cpl\2022\LOGOMARCA CBMPA E CED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1.png" descr="\\Cbm225\bckp cpl\2022\LOGOMARCA CBMPA E CEDE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18"/>
        <w:szCs w:val="18"/>
      </w:rPr>
      <w:t>CORPO DE BOMBEIROS MILITAR DO PARÁ E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252" w:leader="none"/>
        <w:tab w:val="center" w:pos="4320" w:leader="none"/>
        <w:tab w:val="center" w:pos="4419" w:leader="none"/>
        <w:tab w:val="right" w:pos="8504" w:leader="none"/>
        <w:tab w:val="right" w:pos="8640" w:leader="none"/>
        <w:tab w:val="right" w:pos="8838" w:leader="none"/>
      </w:tabs>
      <w:jc w:val="center"/>
      <w:rPr>
        <w:rFonts w:ascii="Arial" w:hAnsi="Arial" w:eastAsia="Arial" w:cs="Arial"/>
        <w:b/>
        <w:bCs/>
        <w:sz w:val="18"/>
        <w:szCs w:val="18"/>
      </w:rPr>
    </w:pPr>
    <w:bookmarkStart w:id="31" w:name="_heading=h.6fvif8a8oowv"/>
    <w:bookmarkEnd w:id="31"/>
    <w:r>
      <w:rPr>
        <w:b/>
        <w:bCs/>
        <w:sz w:val="18"/>
        <w:szCs w:val="18"/>
      </w:rPr>
      <w:t>COORDENADORIA ESTADUAL DE PROTEÇÃO E DEFESA CIVIL</w:t>
    </w:r>
  </w:p>
  <w:p>
    <w:pPr>
      <w:pStyle w:val="Normal1"/>
      <w:tabs>
        <w:tab w:val="clear" w:pos="720"/>
        <w:tab w:val="left" w:pos="1824" w:leader="none"/>
        <w:tab w:val="left" w:pos="2268" w:leader="none"/>
        <w:tab w:val="center" w:pos="4320" w:leader="none"/>
        <w:tab w:val="center" w:pos="4419" w:leader="none"/>
        <w:tab w:val="right" w:pos="8640" w:leader="none"/>
        <w:tab w:val="right" w:pos="8838" w:leader="none"/>
      </w:tabs>
      <w:jc w:val="center"/>
      <w:rPr>
        <w:sz w:val="18"/>
        <w:szCs w:val="18"/>
      </w:rPr>
    </w:pPr>
    <w:bookmarkStart w:id="32" w:name="_heading=h.ty1qzp5gkstb"/>
    <w:bookmarkEnd w:id="32"/>
    <w:r>
      <w:rPr>
        <w:b/>
        <w:bCs/>
        <w:sz w:val="18"/>
        <w:szCs w:val="18"/>
      </w:rPr>
      <w:t>DIRETORIA DE CONTRATAÇÕES E AQUISIÇÕES</w:t>
    </w:r>
  </w:p>
  <w:p>
    <w:pPr>
      <w:pStyle w:val="Normal1"/>
      <w:jc w:val="center"/>
      <w:rPr>
        <w:b/>
        <w:bCs/>
        <w:color w:val="000000"/>
      </w:rPr>
    </w:pPr>
    <w:r>
      <w:rPr>
        <w:b/>
        <w:bCs/>
        <w:color w:val="000000"/>
        <w:sz w:val="18"/>
        <w:szCs w:val="18"/>
      </w:rPr>
      <w:t xml:space="preserve"> </w:t>
    </w:r>
    <w:r>
      <w:rPr>
        <w:b/>
        <w:bCs/>
        <w:color w:val="000000"/>
        <w:sz w:val="18"/>
        <w:szCs w:val="18"/>
      </w:rPr>
      <w:t>SEÇÃO DE CONTRATOS E CONVÊNIOS</w:t>
    </w:r>
  </w:p>
  <w:p>
    <w:pPr>
      <w:pStyle w:val="Normal1"/>
      <w:spacing w:lineRule="auto" w:line="240" w:before="0" w:after="120"/>
      <w:jc w:val="right"/>
      <w:rPr>
        <w:sz w:val="20"/>
        <w:szCs w:val="20"/>
      </w:rPr>
    </w:pPr>
    <w:r>
      <w:rPr>
        <w:sz w:val="20"/>
        <w:szCs w:val="20"/>
      </w:rPr>
      <w:t xml:space="preserve">Processo nº {{NUM_PAE}}</w:t>
    </w:r>
    <w:r>
      <w:rPr>
        <w:color w:val="4F81BD"/>
        <w:sz w:val="20"/>
        <w:szCs w:val="20"/>
      </w:rPr>
      <w:t xml:space="preserve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 w:val="false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 w:val="false"/>
        <w:bCs w:val="fals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 w:val="false"/>
        <w:bCs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 w:val="false"/>
        <w:bCs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120" w:hanging="1800"/>
      </w:pPr>
      <w:rPr>
        <w:b w:val="false"/>
        <w:bCs w:val="fals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 w:val="false"/>
        <w:bCs w:val="fals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 w:val="false"/>
        <w:bCs w:val="false"/>
      </w:rPr>
    </w:lvl>
  </w:abstractNum>
  <w:abstractNum w:abstractNumId="2">
    <w:lvl w:ilvl="0">
      <w:start w:val="6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3">
    <w:lvl w:ilvl="0">
      <w:start w:val="10"/>
      <w:numFmt w:val="decimal"/>
      <w:lvlText w:val="%1."/>
      <w:lvlJc w:val="left"/>
      <w:pPr>
        <w:tabs>
          <w:tab w:val="num" w:pos="0"/>
        </w:tabs>
        <w:ind w:left="465" w:hanging="465"/>
      </w:pPr>
      <w:rPr>
        <w:b/>
        <w:bCs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b/>
        <w:bCs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>
        <w:b/>
        <w:bCs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b/>
        <w:bCs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>
        <w:b/>
        <w:bCs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>
        <w:b/>
        <w:bCs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7">
    <w:lvl w:ilvl="0">
      <w:start w:val="12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2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7"/>
      <w:numFmt w:val="lowerLetter"/>
      <w:lvlText w:val="%1."/>
      <w:lvlJc w:val="left"/>
      <w:pPr>
        <w:tabs>
          <w:tab w:val="num" w:pos="0"/>
        </w:tabs>
        <w:ind w:left="720" w:hanging="360"/>
      </w:pPr>
      <w:rPr>
        <w:sz w:val="24"/>
        <w:i w:val="false"/>
        <w:b/>
        <w:szCs w:val="24"/>
        <w:iCs w:val="false"/>
        <w:bCs/>
        <w:rFonts w:ascii="Calibri" w:hAnsi="Calibri" w:eastAsia="Calibri" w:cs="Calibr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13">
    <w:lvl w:ilvl="0">
      <w:start w:val="13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4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2160"/>
      </w:pPr>
      <w:rPr/>
    </w:lvl>
  </w:abstractNum>
  <w:abstractNum w:abstractNumId="14">
    <w:lvl w:ilvl="0">
      <w:start w:val="14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5">
    <w:lvl w:ilvl="0">
      <w:start w:val="15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1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0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5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6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9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78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53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280" w:hanging="2160"/>
      </w:pPr>
      <w:rPr/>
    </w:lvl>
  </w:abstractNum>
  <w:abstractNum w:abstractNumId="16">
    <w:lvl w:ilvl="0">
      <w:start w:val="16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7">
    <w:lvl w:ilvl="0">
      <w:start w:val="17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18">
    <w:lvl w:ilvl="0">
      <w:start w:val="18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9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7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0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31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9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2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160" w:hanging="2160"/>
      </w:pPr>
      <w:rPr/>
    </w:lvl>
  </w:abstractNum>
  <w:abstractNum w:abstractNumId="19">
    <w:lvl w:ilvl="0">
      <w:start w:val="19"/>
      <w:numFmt w:val="decimal"/>
      <w:lvlText w:val="%1."/>
      <w:lvlJc w:val="left"/>
      <w:pPr>
        <w:tabs>
          <w:tab w:val="num" w:pos="0"/>
        </w:tabs>
        <w:ind w:left="405" w:hanging="40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2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3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29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0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/>
    </w:lvl>
  </w:abstractNum>
  <w:abstractNum w:abstractNumId="20">
    <w:lvl w:ilvl="0">
      <w:start w:val="21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20"/>
      <w:numFmt w:val="decimal"/>
      <w:lvlText w:val="%1."/>
      <w:lvlJc w:val="left"/>
      <w:pPr>
        <w:tabs>
          <w:tab w:val="num" w:pos="0"/>
        </w:tabs>
        <w:ind w:left="465" w:hanging="46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485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375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265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155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280" w:hanging="2160"/>
      </w:pPr>
      <w:rPr/>
    </w:lvl>
  </w:abstractNum>
  <w:abstractNum w:abstractNumId="23"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4"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5">
    <w:lvl w:ilvl="0">
      <w:start w:val="7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6"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7">
    <w:lvl w:ilvl="0">
      <w:start w:val="9"/>
      <w:numFmt w:val="decimal"/>
      <w:lvlText w:val="%1."/>
      <w:lvlJc w:val="left"/>
      <w:pPr>
        <w:tabs>
          <w:tab w:val="num" w:pos="0"/>
        </w:tabs>
        <w:ind w:left="375" w:hanging="375"/>
      </w:pPr>
      <w:rPr/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/>
    </w:lvl>
  </w:abstractNum>
  <w:abstractNum w:abstractNumId="28">
    <w:lvl w:ilvl="0">
      <w:start w:val="10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35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7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05" w:hanging="1080"/>
      </w:pPr>
      <w:rPr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80" w:hanging="1080"/>
      </w:pPr>
      <w:rPr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315" w:hanging="1440"/>
      </w:pPr>
      <w:rPr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90" w:hanging="1440"/>
      </w:pPr>
      <w:rPr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425" w:hanging="1800"/>
      </w:pPr>
      <w:rPr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800" w:hanging="1800"/>
      </w:pPr>
      <w:rPr>
        <w:b/>
        <w:bCs/>
      </w:rPr>
    </w:lvl>
  </w:abstractNum>
  <w:abstractNum w:abstractNumId="29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ind w:left="124" w:hanging="124"/>
      <w:jc w:val="both"/>
    </w:pPr>
    <w:rPr>
      <w:b/>
      <w:bCs/>
      <w:color w:val="000000"/>
      <w:sz w:val="24"/>
      <w:szCs w:val="24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color w:val="000000"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color w:val="000000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color w:val="000000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  <w:color w:val="000000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801c1"/>
    <w:rPr/>
  </w:style>
  <w:style w:type="character" w:styleId="RodapChar" w:customStyle="1">
    <w:name w:val="Rodapé Char"/>
    <w:basedOn w:val="DefaultParagraphFont"/>
    <w:uiPriority w:val="99"/>
    <w:qFormat/>
    <w:rsid w:val="002801c1"/>
    <w:rPr/>
  </w:style>
  <w:style w:type="character" w:styleId="LinkdaInternet">
    <w:name w:val="Hyperlink"/>
    <w:rPr>
      <w:color w:val="000080"/>
      <w:u w:val="single"/>
    </w:rPr>
  </w:style>
  <w:style w:type="character" w:styleId="Linkdainternetvisitado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1f4da3"/>
    <w:rPr>
      <w:b/>
      <w:bCs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/>
    <w:rsid w:val="004c6975"/>
    <w:rPr>
      <w:b/>
      <w:color w:val="000000"/>
      <w:sz w:val="24"/>
      <w:szCs w:val="24"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Caption1">
    <w:name w:val="caption1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bealhoeRodap" w:customStyle="1">
    <w:name w:val="Cabeçalho e Rodapé"/>
    <w:basedOn w:val="Normal1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1"/>
    <w:link w:val="RodapChar"/>
    <w:uiPriority w:val="99"/>
    <w:unhideWhenUsed/>
    <w:rsid w:val="002801c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Normal11" w:customStyle="1">
    <w:name w:val="normal1"/>
    <w:qFormat/>
    <w:rsid w:val="002801c1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zh-CN" w:bidi="hi-IN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" w:cs="Arial"/>
      <w:color w:val="000000"/>
      <w:kern w:val="0"/>
      <w:sz w:val="24"/>
      <w:szCs w:val="22"/>
      <w:lang w:val="pt-PT" w:eastAsia="pt-BR" w:bidi="ar-SA"/>
    </w:rPr>
  </w:style>
  <w:style w:type="paragraph" w:styleId="Contedodatabela" w:customStyle="1">
    <w:name w:val="Conteúdo da tabela"/>
    <w:basedOn w:val="Normal1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Annotationtext">
    <w:name w:val="annotation text"/>
    <w:basedOn w:val="Normal1"/>
    <w:link w:val="TextodecomentrioChar"/>
    <w:uiPriority w:val="99"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1f4da3"/>
    <w:pPr/>
    <w:rPr>
      <w:b/>
      <w:bCs/>
    </w:rPr>
  </w:style>
  <w:style w:type="paragraph" w:styleId="Pargrafo" w:customStyle="1">
    <w:name w:val="Parágrafo"/>
    <w:basedOn w:val="Normal1"/>
    <w:qFormat/>
    <w:rsid w:val="000b3f30"/>
    <w:pPr>
      <w:widowControl/>
      <w:spacing w:lineRule="auto" w:line="360"/>
      <w:ind w:firstLine="709"/>
      <w:jc w:val="both"/>
    </w:pPr>
    <w:rPr>
      <w:rFonts w:ascii="Times New Roman" w:hAnsi="Times New Roman" w:eastAsia="Calibri" w:cs="Times New Roman"/>
      <w:color w:val="000000"/>
      <w:sz w:val="24"/>
      <w:szCs w:val="24"/>
      <w:lang w:val="pt-BR" w:eastAsia="en-US"/>
    </w:rPr>
  </w:style>
  <w:style w:type="paragraph" w:styleId="ListParagraph">
    <w:name w:val="List Paragraph"/>
    <w:basedOn w:val="Normal1"/>
    <w:uiPriority w:val="34"/>
    <w:qFormat/>
    <w:rsid w:val="002d1866"/>
    <w:pPr>
      <w:spacing w:before="0" w:after="0"/>
      <w:ind w:left="720" w:hanging="0"/>
      <w:contextualSpacing/>
    </w:pPr>
    <w:rPr/>
  </w:style>
  <w:style w:type="paragraph" w:styleId="Normal2">
    <w:name w:val="normal2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pt-BR" w:bidi="ar-SA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hAnsiTheme="minorHAnsi" w:eastAsiaTheme="minorHAnsi" w:cstheme="minorBidi"/>
      <w:lang w:val="pt-BR" w:eastAsia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comments" Target="comments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ontratoscbmpa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nmU9B8tLDk0gXr6QuocCLr2UAA==">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+qL2MM3JRChZSRU5BVEEgREUgQVZJWiBCQVRJU1RBGjcKNS8vc3NsLmdzdGF0aWMuY29tL2RvY3MvY29tbW9uL2JsdWVfc2lsaG91ZXR0ZTk2LTAucG5neACIAQGaAQYIABAAGACqAaUDEqIDQUdVOjxicj48YnI+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+MM3JRChZSRU5BVEEgREUgQVZJWiBCQVRJU1RBGjcKNS8vc3NsLmdzdGF0aWMuY29tL2RvY3MvY29tbW9uL2JsdWVfc2lsaG91ZXR0ZTk2LTAucG5neACIAQGaAQYIABAAGACqATESL0NCTVBBOiA5MjU4NTM8YnI+Q0VERUM6IDkyOTkwMjxicj5GRUJPTTogOTI5Mzc3sAEAuAEByAEAGOCotL+MMyDgqLS/jDMwAEIIa2l4LmNtdDEimAQKC0FBQUJxM0VSRnNNEu4DCgtBQUFCcTNFUkZzTRILQUFBQnEzRVJGc00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iKxBAoLQUFBQnJreVpIMEkShgQKC0FBQUJya3laSDBJEgtBQUFCcmt5WkgwSR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5woKC0FBQUJxM0VSRnNFErwKCgtBQUFCcTNFUkZzRRILQUFBQnEzRVJGc0U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QMKC0FBQUJxM0VSRnJjEr4DCgtBQUFCcTNFUkZyYxILQUFBQnEzRVJGcmM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Qi3hwKC0FBQUJxM0VSRnNBErMcCgtBQUFCcTNFUkZzQRILQUFBQnEzRVJGc0Ea9wgKCXRleHQvaHRtb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4i4wgKCnRleHQvcGxhaW4S1AhBR1U6IAoK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goKMTQuMS4gTyBjb250cmF0byBzZXLDoSBleHRpbnRvIHF1YW5kbyB2ZW5jaWRvIG8gcHJhem8gbmVsZSBlc3RpcHVsYWRvLCBpbmRlcGVuZGVudGVtZW50ZSBkZSB0ZXJlbSBzaWRvIGN1bXByaWRhcyBvdSBuw6NvIGFzIG9icmlnYcOnw7VlcyBkZSBhbWJhcyBhcyBwYXJ0ZXMgY29udHJhZW50ZXMuC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C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K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/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+QES9gFBR1U6IDxicj48YnI+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AimAQKC0FBQUJxM0VSRnEwEu4DCgtBQUFCcTNFUkZxMBILQUFBQnEzRVJGcTA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LibreOffice/7.5.2.2$Windows_X86_64 LibreOffice_project/53bb9681a964705cf672590721dbc85eb4d0c3a2</Application>
  <AppVersion>15.0000</AppVersion>
  <Pages>14</Pages>
  <Words>4184</Words>
  <Characters>23210</Characters>
  <CharactersWithSpaces>27063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2025-09-02T13:52:00Z</dcterms:created>
  <dc:creator>ALUIZIO LUIZ AZEVEDO DE ARAUJO</dc:creator>
  <dc:description/>
  <dc:language>pt-BR</dc:language>
  <cp:lastModifiedBy/>
  <dcterms:modified xsi:type="dcterms:W3CDTF">2026-08-05T10:58:05Z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