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147D78"/>
          <w:sz w:val="32"/>
        </w:rPr>
        <w:t>SIMPAR S.A.</w:t>
      </w:r>
    </w:p>
    <w:p>
      <w:pPr>
        <w:jc w:val="center"/>
      </w:pPr>
      <w:r>
        <w:rPr>
          <w:rFonts w:ascii="Aptos Display" w:hAnsi="Aptos Display"/>
          <w:b/>
          <w:color w:val="18324B"/>
          <w:sz w:val="64"/>
        </w:rPr>
        <w:t>DOSSIÊ ACADÊMICO</w:t>
        <w:br/>
        <w:t>DE AUDITORIA</w:t>
      </w:r>
    </w:p>
    <w:p>
      <w:pPr>
        <w:jc w:val="center"/>
      </w:pPr>
      <w:r>
        <w:rPr>
          <w:sz w:val="30"/>
        </w:rPr>
        <w:t>Demonstrações financeiras consolidadas</w:t>
        <w:br/>
        <w:t>Exercício encerrado em 31 de dezembro de 2025</w:t>
        <w:br/>
        <w:t>Comparativo: 2024</w:t>
      </w:r>
    </w:p>
    <w:p>
      <w:pPr>
        <w:spacing w:before="1100"/>
        <w:jc w:val="center"/>
      </w:pPr>
      <w:r>
        <w:rPr>
          <w:sz w:val="24"/>
        </w:rPr>
        <w:t>Aluno: Matheus Siqueira</w:t>
        <w:br/>
        <w:t>Matrícula: 241003357</w:t>
        <w:br/>
        <w:t>Elaboração: 25 de outubro de 2026</w:t>
        <w:br/>
        <w:t>Português brasileiro</w:t>
      </w:r>
    </w:p>
    <w:p>
      <w:pPr>
        <w:spacing w:before="700"/>
        <w:jc w:val="center"/>
      </w:pPr>
      <w:r>
        <w:rPr>
          <w:b/>
          <w:color w:val="A34B42"/>
          <w:sz w:val="18"/>
        </w:rPr>
        <w:t>TRABALHO ACADÊMICO — NÃO É RELATÓRIO DE AUDITORIA INDEPENDENTE</w:t>
      </w:r>
    </w:p>
    <w:p>
      <w:r>
        <w:br w:type="page"/>
      </w:r>
    </w:p>
    <w:p>
      <w:pPr>
        <w:pStyle w:val="Heading1"/>
      </w:pPr>
      <w:r>
        <w:t>2. Identificação do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18324B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352"/>
            <w:shd w:fill="18324B"/>
          </w:tcPr>
          <w:p>
            <w:r>
              <w:rPr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Companhia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sz w:val="16"/>
              </w:rPr>
              <w:t>SIMPAR S.A.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6"/>
              </w:rPr>
              <w:t>Matrícula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sz w:val="16"/>
              </w:rPr>
              <w:t>241003357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Período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Exercício encerrado em 31/12/2025; comparativo 2024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Finalidade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Trabalho acadêmico de auditoria e análise de demonstrações consolidadas.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Referencial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sz w:val="16"/>
              </w:rPr>
              <w:t>Estrutura Conceitual e as 26 NBC TA enumeradas no roteiro (27 critérios no total); versões relevantes ao período.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6"/>
              </w:rPr>
              <w:t>Escopo profissional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sz w:val="16"/>
              </w:rPr>
              <w:t>Não é auditoria independente. Não se emite opinião nem asseguração.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Preparação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>
              <w:rPr>
                <w:sz w:val="16"/>
              </w:rPr>
              <w:t>25/10/2026; revisão independente não realizada.</w:t>
            </w:r>
          </w:p>
        </w:tc>
      </w:tr>
    </w:tbl>
    <w:p>
      <w:r>
        <w:t>Convenção de status: Público verificado = informação lida em fonte pública; Planejado = procedimento desenhado, não executado; Simulado = executado apenas em dados artificiais; Pendente = depende de documento ou informação indisponível.</w:t>
      </w:r>
    </w:p>
    <w:p>
      <w:r>
        <w:br w:type="page"/>
      </w:r>
    </w:p>
    <w:p>
      <w:pPr>
        <w:pStyle w:val="Heading1"/>
      </w:pPr>
      <w:r>
        <w:t>3. Sumário</w:t>
      </w:r>
    </w:p>
    <w:p>
      <w:r>
        <w:t>4. Resumo executivo</w:t>
      </w:r>
    </w:p>
    <w:p>
      <w:r>
        <w:t>5. Objetivo e escopo</w:t>
      </w:r>
    </w:p>
    <w:p>
      <w:r>
        <w:t>6. Metodologia</w:t>
      </w:r>
    </w:p>
    <w:p>
      <w:r>
        <w:t>7. Perfil da SIMPAR</w:t>
      </w:r>
    </w:p>
    <w:p>
      <w:r>
        <w:t>8. Estrutura do grupo e contexto operacional</w:t>
      </w:r>
    </w:p>
    <w:p>
      <w:r>
        <w:t>9. Demonstrações financeiras e comparativos</w:t>
      </w:r>
    </w:p>
    <w:p>
      <w:r>
        <w:t>10. Análise vertical e horizontal</w:t>
      </w:r>
    </w:p>
    <w:p>
      <w:r>
        <w:t>11. Materialidade</w:t>
      </w:r>
    </w:p>
    <w:p>
      <w:r>
        <w:t>12. Riscos</w:t>
      </w:r>
    </w:p>
    <w:p>
      <w:r>
        <w:t>13. Relação norma por norma</w:t>
      </w:r>
    </w:p>
    <w:p>
      <w:r>
        <w:t>14. Programas de auditoria por ciclo</w:t>
      </w:r>
    </w:p>
    <w:p>
      <w:r>
        <w:t>15. Imobilizado e depreciação</w:t>
      </w:r>
    </w:p>
    <w:p>
      <w:r>
        <w:t>16. Receita e contas a receber</w:t>
      </w:r>
    </w:p>
    <w:p>
      <w:r>
        <w:t>17. Caixa e aplicações</w:t>
      </w:r>
    </w:p>
    <w:p>
      <w:r>
        <w:t>18. Estoques</w:t>
      </w:r>
    </w:p>
    <w:p>
      <w:r>
        <w:t>19. Dívidas, arrendamentos e passivos</w:t>
      </w:r>
    </w:p>
    <w:p>
      <w:r>
        <w:t>20. Estimativas e contingências</w:t>
      </w:r>
    </w:p>
    <w:p>
      <w:r>
        <w:t>21. Partes relacionadas</w:t>
      </w:r>
    </w:p>
    <w:p>
      <w:r>
        <w:t>22. Eventos subsequentes</w:t>
      </w:r>
    </w:p>
    <w:p>
      <w:r>
        <w:t>23. Continuidade operacional</w:t>
      </w:r>
    </w:p>
    <w:p>
      <w:r>
        <w:t>24. Consolidação</w:t>
      </w:r>
    </w:p>
    <w:p>
      <w:r>
        <w:t>25. Base sintética</w:t>
      </w:r>
    </w:p>
    <w:p>
      <w:r>
        <w:t>26. Metodologia dos testes</w:t>
      </w:r>
    </w:p>
    <w:p>
      <w:r>
        <w:t>27. Resultados e exceções</w:t>
      </w:r>
    </w:p>
    <w:p>
      <w:r>
        <w:t>28. Gráficos e análises</w:t>
      </w:r>
    </w:p>
    <w:p>
      <w:r>
        <w:t>29. Cobertura normativa</w:t>
      </w:r>
    </w:p>
    <w:p>
      <w:r>
        <w:t>30. Limitações</w:t>
      </w:r>
    </w:p>
    <w:p>
      <w:r>
        <w:t>31. Conclusão integrada</w:t>
      </w:r>
    </w:p>
    <w:p>
      <w:r>
        <w:t>32. Referências</w:t>
      </w:r>
    </w:p>
    <w:p>
      <w:r>
        <w:t>33. Apêndices e papéis de trabalho</w:t>
      </w:r>
    </w:p>
    <w:p>
      <w:pPr>
        <w:pStyle w:val="Caption"/>
      </w:pPr>
      <w:r>
        <w:t>Este sumário lista seções, não números de página. A paginação final é apresentada no rodapé.</w:t>
      </w:r>
    </w:p>
    <w:p>
      <w:pPr>
        <w:pStyle w:val="Heading1"/>
      </w:pPr>
      <w:r>
        <w:t>4. Resumo executivo</w:t>
      </w:r>
    </w:p>
    <w:p>
      <w:r>
        <w:t>Este dossiê acadêmico analisa as demonstrações financeiras consolidadas da SIMPAR S.A. encerradas em 31 de dezembro de 2025, comparadas a 2024, relacionando saldos e divulgações às normas NBC TA listadas no escopo. O trabalho usa dados públicos e procedimentos analíticos reproduzíveis; não é auditoria independente, não inclui acesso a livros/controles internos e não emite opinião.</w:t>
      </w:r>
    </w:p>
    <w:p>
      <w:r>
        <w:t>As cifras-base foram conferidas na demonstração financeira publicada em 31 de março de 2026 e na página de protocolo da DFP da CVM. A cópia local das demonstrações foi recuperada de publicação reproduzida por O Estado de S. Paulo, enquanto o registro RAD da CVM confirmou protocolo, período, envio e auditor indicado. A consulta automatizada das tabelas da CVM falhou; por isso as referências de páginas e notas da cópia reproduzida são discriminadas e a conferência do arquivo RAD integral permanece ressalvada [1] [2].</w:t>
      </w:r>
    </w:p>
    <w:p>
      <w:r>
        <w:t>O resumo do relatório do auditor reproduzido nessa publicação informa opinião “sem modificação” e está assinado pela PwC em 30/03/2026 (PDF p. 4); o relatório completo é referido como publicado eletronicamente, mas não foi obtido. Não foram examinados principais assuntos, ênfases ou a íntegra do relatório [2].</w:t>
      </w:r>
    </w:p>
    <w:p>
      <w:r>
        <w:t>No consolidado, o ativo total de 2025 é R$ 88.642.122 mil (2024: R$ 84.025.791 mil), o imobilizado é R$ 47.944.350 mil (2024: R$ 46.262.499 mil) e a receita líquida é R$ 43.528.375 mil (2024: R$ 40.738.086 mil). O lucro líquido total do exercício foi R$ 212.641 mil, não R$ 215.250 mil: este último valor corresponde ao lucro das operações continuadas antes do resultado de operações descontinuadas, que foi negativo em R$ 2.609 mil [2].</w:t>
      </w:r>
    </w:p>
    <w:p>
      <w:r>
        <w:t>A base com 500.000 registros é inteiramente sintética e deliberadamente contém anomalias. Os testes demonstram somente a execução do código sobre dados artificiais. Inspeções físicas, confirmações, conciliações com razão e cadastro patrimonial, recálculos com dados internos e procedimentos com auditores de componentes estão pendentes.</w:t>
      </w:r>
    </w:p>
    <w:p>
      <w:pPr>
        <w:pStyle w:val="Heading1"/>
      </w:pPr>
      <w:r>
        <w:t>5. Objetivo e escopo</w:t>
      </w:r>
    </w:p>
    <w:p>
      <w:r>
        <w:t>Objetivo: relacionar as demonstrações consolidadas da SIMPAR aos critérios de asseguração e às NBC TA 200–600 selecionadas; destacar riscos de distorção relevante, afirmações e respostas de auditoria. Período: exercício findo em 31/12/2025, com comparativo de 2024. Data deste dossiê: 25/10/2026. Unidade das demonstrações: milhares de reais, salvo indicação contrária [2].</w:t>
      </w:r>
    </w:p>
    <w:p>
      <w:r>
        <w:t>Escopo informacional: balanço patrimonial, demonstração do resultado, resultado abrangente, fluxos de caixa, valor adicionado, notas e informações públicas sobre o grupo. A listagem da DFP confirma que a entrega contém essas seções e identifica a PwC como auditora. A cópia reproduzida acessível foi baixada, convertida em texto e usada para confirmar tabelas e políticas. Não foi possível abrir a interface de dados abertos da CVM nem os serviços internos do RAD para baixar diretamente o pacote estruturado; a limitação não foi mascarada [1] [2] [3].</w:t>
      </w:r>
    </w:p>
    <w:p>
      <w:pPr>
        <w:pStyle w:val="Heading1"/>
      </w:pPr>
      <w:r>
        <w:t>6. Metodologia</w:t>
      </w:r>
    </w:p>
    <w:p>
      <w:r>
        <w:t>Classificação da evidência: “Público verificado” significa metadado ou cifra lida em documento público; “Planejado” significa procedimento recomendado que exige registros ou contato indisponíveis; “Simulado” significa teste executado somente na base artificial; “Pendente” significa que a documentação integral ou confirmação necessária não foi obtida. O conteúdo não é evidência suficiente e apropriada para uma opinião sobre as demonstrações.</w:t>
      </w:r>
    </w:p>
    <w:p>
      <w:r>
        <w:t>Fluxo de trabalho proposto. Fontes públicas informam o planejamento, mas não substituem registros internos, confirmações e inspeções que continuam pendentes; a base sintética é somente didática e não substitui evidência sobre a Companhia.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345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audit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4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Processo de auditoria proposto. Diagrama próprio, renderizado do fonte Mermaid arquivado em graficos/.</w:t>
      </w:r>
    </w:p>
    <w:p>
      <w:r>
        <w:br w:type="page"/>
      </w:r>
    </w:p>
    <w:p>
      <w:pPr>
        <w:pStyle w:val="Heading1"/>
      </w:pPr>
      <w:r>
        <w:t>7. Perfil da SIMPAR</w:t>
      </w:r>
    </w:p>
    <w:p>
      <w:r>
        <w:t>O Relatório Anual Integrado descreve a SIMPAR como holding com negócios em logística, locação de veículos e equipamentos, concessionárias, infraestrutura, serviços ambientais, mobilidade, transporte e atividade financeira, por meio de empresas como JSL, Movida, Vamos, Automob, CS Infra, CS Brasil, Ciclus Ambiental e BBC Digital. O relatório é útil para contexto e gestão; não substitui as demonstrações financeiras auditadas [4, pp. 4–5, 10–33].</w:t>
      </w:r>
    </w:p>
    <w:p>
      <w:pPr>
        <w:pStyle w:val="Heading1"/>
      </w:pPr>
      <w:r>
        <w:t>8. Estrutura do grupo e contexto operacional</w:t>
      </w:r>
    </w:p>
    <w:p>
      <w:r>
        <w:t>A combinação de frota, ativos operacionais, contratos de longo prazo, arrendamentos, financiamento e grupo diversificado aumenta a relevância de existência, direitos, avaliação, depreciação, impairment, receita, passivos, estimativas e consolidação. São riscos preliminares de planejamento, não achados de controle ou fraude.</w:t>
      </w:r>
    </w:p>
    <w:p>
      <w:pPr>
        <w:pStyle w:val="Heading1"/>
      </w:pPr>
      <w:r>
        <w:t>9. Demonstrações financeiras de 2025 e comparativo de 2024</w:t>
      </w:r>
    </w:p>
    <w:p>
      <w:r>
        <w:t>Balanço consolidado: ativo total R$ 88.642.122 mil (2024: R$ 84.025.791 mil), variação +R$ 4.616.331 mil (+5,49%); imobilizado R$ 47.944.350 mil (2024: R$ 46.262.499 mil), +R$ 1.681.851 mil (+3,63%); caixa e equivalentes R$ 3.029.953 mil (2024: R$ 1.903.850 mil), +R$ 1.126.103 mil (+59,14%) [2, PDF p. 2].</w:t>
      </w:r>
    </w:p>
    <w:p>
      <w:r>
        <w:t>DRE consolidada: receita líquida R$ 43.528.375 mil (2024: R$ 40.738.086 mil), +R$ 2.790.289 mil (+6,85%). Lucro antes de IR/CS foi R$ 254.114 mil (2024: R$ 404.692 mil), -R$ 150.578 mil (-37,21%). Lucro das operações continuadas foi R$ 215.250 mil (2024: R$ 89.071 mil); resultado de operações descontinuadas foi -R$ 2.609 mil em 2025 e +R$ 4.762 mil em 2024; logo o lucro líquido total foi R$ 212.641 mil (2024: R$ 93.833 mil), +R$ 118.808 mil (+126,61%) [2, PDF p. 2].</w:t>
      </w:r>
    </w:p>
    <w:p>
      <w:r>
        <w:t>Fluxos de caixa consolidados: operacional -R$ 781.548 mil (2024: -R$ 3.560.134 mil); investimento -R$ 393.261 mil (2024: -R$ 1.528.622 mil); financiamento +R$ 2.300.912 mil (2024: +R$ 5.647.131 mil); aumento líquido de caixa +R$ 1.126.103 mil (2024: +R$ 558.375 mil) [2, PDF p. 2]. O fluxo operacional permaneceu negativo, devendo ser interpretado em conjunto com caixa, operações de financiamento, capital de giro, investimentos e refinanciamentos; não basta isoladamente para concluir sobre continuidade.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3384"/>
            <w:shd w:fill="18324B"/>
          </w:tcPr>
          <w:p>
            <w:r>
              <w:rPr>
                <w:b/>
                <w:color w:val="FFFFFF"/>
                <w:sz w:val="14"/>
              </w:rPr>
              <w:t>Indicador (R$ mil)</w:t>
            </w:r>
          </w:p>
        </w:tc>
        <w:tc>
          <w:tcPr>
            <w:tcW w:type="dxa" w:w="1296"/>
            <w:shd w:fill="18324B"/>
          </w:tcPr>
          <w:p>
            <w:r>
              <w:rPr>
                <w:b/>
                <w:color w:val="FFFFFF"/>
                <w:sz w:val="14"/>
              </w:rPr>
              <w:t>2025</w:t>
            </w:r>
          </w:p>
        </w:tc>
        <w:tc>
          <w:tcPr>
            <w:tcW w:type="dxa" w:w="1296"/>
            <w:shd w:fill="18324B"/>
          </w:tcPr>
          <w:p>
            <w:r>
              <w:rPr>
                <w:b/>
                <w:color w:val="FFFFFF"/>
                <w:sz w:val="14"/>
              </w:rPr>
              <w:t>2024</w:t>
            </w:r>
          </w:p>
        </w:tc>
        <w:tc>
          <w:tcPr>
            <w:tcW w:type="dxa" w:w="1584"/>
            <w:shd w:fill="18324B"/>
          </w:tcPr>
          <w:p>
            <w:r>
              <w:rPr>
                <w:b/>
                <w:color w:val="FFFFFF"/>
                <w:sz w:val="14"/>
              </w:rPr>
              <w:t>Variação absoluta</w:t>
            </w:r>
          </w:p>
        </w:tc>
        <w:tc>
          <w:tcPr>
            <w:tcW w:type="dxa" w:w="1584"/>
            <w:shd w:fill="18324B"/>
          </w:tcPr>
          <w:p>
            <w:r>
              <w:rPr>
                <w:b/>
                <w:color w:val="FFFFFF"/>
                <w:sz w:val="14"/>
              </w:rPr>
              <w:t>Variação %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4"/>
              </w:rPr>
              <w:t>Ativo total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88.642.122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84.025.791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+4.616.331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+5.49%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4"/>
              </w:rPr>
              <w:t>Imobilizado líquido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47.944.350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46.262.499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+1.681.851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+3.64%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4"/>
              </w:rPr>
              <w:t>Receita líquida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43.528.375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40.738.086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+2.790.289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+6.85%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4"/>
              </w:rPr>
              <w:t>Lucro antes de IR/CS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254.114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404.692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-150.578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-37.21%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4"/>
              </w:rPr>
              <w:t>Lucro de operações continuadas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215.250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89.071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+126.179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+141.66%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4"/>
              </w:rPr>
              <w:t>Lucro líquido do exercício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212.641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93.833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+118.808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+126.62%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4"/>
              </w:rPr>
              <w:t>Caixa e equivalentes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3.029.953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1.903.850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+1.126.103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+59.15%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4"/>
              </w:rPr>
              <w:t>Fluxo operacional líquido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-781.548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-3.560.134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+2.778.586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n/a (base 2024 negativa)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4"/>
              </w:rPr>
              <w:t>Fluxo de investimento líquido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-393.261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-1.528.622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+1.135.361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n/a (base 2024 negativa)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4"/>
              </w:rPr>
              <w:t>Fluxo de financiamento líquido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2.300.912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sz w:val="14"/>
              </w:rPr>
              <w:t>5.647.131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-3.346.219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4"/>
              </w:rPr>
              <w:t>-59.26%</w:t>
            </w:r>
          </w:p>
        </w:tc>
      </w:tr>
    </w:tbl>
    <w:p>
      <w:r>
        <w:t>Empréstimos, financiamentos e debêntures correntes e não correntes totalizam R$ 56.668.673 mil em 2025 (R$ 9.148.886 mil + R$ 47.519.787 mil; 2024: R$ 55.051.867 mil). Passivos de arrendamento por direito de uso totalizam R$ 2.313.683 mil em 2025 (R$ 383.176 mil + R$ 1.930.507 mil; 2024: R$ 2.122.172 mil). Esses agrupamentos são somas aritméticas das rubricas apresentadas; não correspondem a “dívida líquida” nem necessariamente ao conceito de dívida usado em covenants [2, PDF p. 2].</w:t>
      </w:r>
    </w:p>
    <w:p>
      <w:r>
        <w:t>A DVA consolidada apresenta receitas de R$ 48.171.437 mil, valor adicionado bruto de R$ 22.567.280 mil, depreciação/amortização de R$ 4.649.126 mil e valor adicionado a distribuir de R$ 20.018.555 mil em 2025. A DVA atende a objetivo e estrutura próprios e não deve ser confundida com receita líquida da DRE [2, PDF p. 2].</w:t>
      </w:r>
    </w:p>
    <w:p>
      <w:r>
        <w:t>DRA consolidada: resultado abrangente total de R$ 1.650.658 mil em 2025 (2024: -R$ 265.048 mil); outros resultados abrangentes de R$ 1.438.017 mil em 2025 (2024: -R$ 358.881 mil), incluindo variações de hedge e conversão [2, PDF p. 2].</w:t>
      </w:r>
    </w:p>
    <w:p>
      <w:r>
        <w:t>DMPL consolidada: patrimônio líquido total no fechamento de 2025 de R$ 7.411.001 mil, atribuível R$ 4.512.820 mil aos controladores e R$ 2.898.181 mil aos não controladores. A cópia publicada mostra saldo de encerramento de 2024 na DMPL de R$ 5.724.977 mil (controladores R$ 2.751.501 mil; PNC R$ 2.973.476 mil), enquanto o balanço do mesmo exemplar mostra R$ 5.724.991 mil (controladores R$ 2.751.515 mil; PNC R$ 2.973.476 mil). Diferença aparente de R$ 14 mil requer conferência no arquivo DFP CVM original; não se presume erro contábil nem se atribui causa [2, PDF pp. 2–3].</w:t>
      </w:r>
    </w:p>
    <w:p>
      <w:r>
        <w:t>Relatório do auditor: o resumo publicado no PDF consultado informa opinião “sem modificação”, assinado pela PwC em 30/03/2026 (PDF p. 4; impresso B15). O próprio resumo remete ao relatório completo divulgado eletronicamente. O arquivo integral não foi obtido; portanto, os principais assuntos de auditoria, eventuais ênfases e texto completo não foram avaliados. A consulta RAD também identifica PwC como auditora [1] [2].</w:t>
      </w:r>
    </w:p>
    <w:p>
      <w:r>
        <w:t>Informações por segmento: a estrutura do grupo está descrita no Relatório Anual Integrado, mas as informações financeiras segmentadas e reconciliações das notas da DFP integral não foram analisadas em profundidade nesta cópia resumida. A análise comparativa é consolidada; segmentação é procedimento pendente [2] [4].</w:t>
      </w:r>
    </w:p>
    <w:p>
      <w:pPr>
        <w:pStyle w:val="Heading1"/>
      </w:pPr>
      <w:r>
        <w:t>10. Análise vertical e horizontal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47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2024_20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Comparativo consolidado selecionado, valores em R$ bilhões, convertidos de R$ mil; FCO permaneceu negativo. Fonte [2], PDF p.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4608"/>
            <w:shd w:fill="18324B"/>
          </w:tcPr>
          <w:p>
            <w:r>
              <w:rPr>
                <w:b/>
                <w:color w:val="FFFFFF"/>
                <w:sz w:val="16"/>
              </w:rPr>
              <w:t>Indicador vertical/razão</w:t>
            </w:r>
          </w:p>
        </w:tc>
        <w:tc>
          <w:tcPr>
            <w:tcW w:type="dxa" w:w="2016"/>
            <w:shd w:fill="18324B"/>
          </w:tcPr>
          <w:p>
            <w:r>
              <w:rPr>
                <w:b/>
                <w:color w:val="FFFFFF"/>
                <w:sz w:val="16"/>
              </w:rPr>
              <w:t>2025</w:t>
            </w:r>
          </w:p>
        </w:tc>
        <w:tc>
          <w:tcPr>
            <w:tcW w:type="dxa" w:w="2016"/>
            <w:shd w:fill="18324B"/>
          </w:tcPr>
          <w:p>
            <w:r>
              <w:rPr>
                <w:b/>
                <w:color w:val="FFFFFF"/>
                <w:sz w:val="16"/>
              </w:rPr>
              <w:t>2024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6"/>
              </w:rPr>
              <w:t>Imobilizado / ativo total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54.09%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55.06%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6"/>
              </w:rPr>
              <w:t>Caixa / ativo total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3.42%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2.27%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6"/>
              </w:rPr>
              <w:t>Margem bruta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26.17%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25.60%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6"/>
              </w:rPr>
              <w:t>Margem antes de IR/CS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0.58%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0.99%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6"/>
              </w:rPr>
              <w:t>Liquidez corrente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1.19x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1.29x</w:t>
            </w:r>
          </w:p>
        </w:tc>
      </w:tr>
    </w:tbl>
    <w:p>
      <w:r>
        <w:t>Liquidez corrente foi calculada como ativo circulante ÷ passivo circulante: 28.898.090 ÷ 24.251.860 = 1,19x em 2025; 27.220.964 ÷ 21.080.863 = 1,29x em 2024. Indicadores calculados a partir de rubricas agregadas, não índices de covenants. Variações percentuais não são exibidas para comparativos de fluxos negativos com sinal instável.</w:t>
      </w:r>
    </w:p>
    <w:p>
      <w:pPr>
        <w:pStyle w:val="Heading1"/>
      </w:pPr>
      <w:r>
        <w:t>11. Materialidade</w:t>
      </w:r>
    </w:p>
    <w:p>
      <w:r>
        <w:t>Benchmark selecionado: receita líquida consolidada de R$ 43.528.375 mil. Percentual preliminar: 0,5%, resultando em materialidade global de R$ 217.641,875 mil (R$ 217,642 milhões). Materialidade de execução: 75% da global = R$ 163.231,406 mil (R$ 163,231 milhões). Limite claramente trivial: 5% da global = R$ 10.882,094 mil (R$ 10,882 milhões). Fórmulas: benchmark × 0,5%; global × 75%; global × 5%.</w:t>
      </w:r>
    </w:p>
    <w:p>
      <w:r>
        <w:t>A receita é uma base ampla e menos volátil que o lucro líquido de 2025; é apropriada para um grupo diversificado com contratos de serviço/locação e escalas significativas. A escolha é provisória porque o lucro antes de tributos caiu de R$ 404.692 mil para R$ 254.114 mil e o lucro final sofre impacto de operações descontinuadas. Comparadores: 0,5% do ativo = R$ 443.210,610 mil; 5% do lucro antes de IR/CS = R$ 12.705,700 mil; 1% do patrimônio líquido consolidado = R$ 74.110,010 mil. Percentuais são julgamentos de planejamento, não percentuais prescritos pela NBC TA 320. Reavaliar materialidade por componentes, saldos sensíveis e usuários.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880"/>
            <w:shd w:fill="18324B"/>
          </w:tcPr>
          <w:p>
            <w:r>
              <w:rPr>
                <w:b/>
                <w:color w:val="FFFFFF"/>
                <w:sz w:val="14"/>
              </w:rPr>
              <w:t>Parâmetro</w:t>
            </w:r>
          </w:p>
        </w:tc>
        <w:tc>
          <w:tcPr>
            <w:tcW w:type="dxa" w:w="3456"/>
            <w:shd w:fill="18324B"/>
          </w:tcPr>
          <w:p>
            <w:r>
              <w:rPr>
                <w:b/>
                <w:color w:val="FFFFFF"/>
                <w:sz w:val="14"/>
              </w:rPr>
              <w:t>Fórmula</w:t>
            </w:r>
          </w:p>
        </w:tc>
        <w:tc>
          <w:tcPr>
            <w:tcW w:type="dxa" w:w="2016"/>
            <w:shd w:fill="18324B"/>
          </w:tcPr>
          <w:p>
            <w:r>
              <w:rPr>
                <w:b/>
                <w:color w:val="FFFFFF"/>
                <w:sz w:val="14"/>
              </w:rPr>
              <w:t>R$ mil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4"/>
              </w:rPr>
              <w:t>Materialidade global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4"/>
              </w:rPr>
              <w:t>43.528.375 × 0,5%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4"/>
              </w:rPr>
              <w:t>217,641.875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4"/>
              </w:rPr>
              <w:t>Execução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4"/>
              </w:rPr>
              <w:t>Global × 75%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4"/>
              </w:rPr>
              <w:t>163,231.406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4"/>
              </w:rPr>
              <w:t>Claramente trivial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4"/>
              </w:rPr>
              <w:t>Global × 5%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4"/>
              </w:rPr>
              <w:t>10,882.094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Alternativa: ativo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4"/>
              </w:rPr>
              <w:t>88.642.122 × 0,5%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4"/>
              </w:rPr>
              <w:t>443,210.610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Alternativa: lucro antes IR/CS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4"/>
              </w:rPr>
              <w:t>254.114 × 5%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4"/>
              </w:rPr>
              <w:t>12,705.700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4"/>
              </w:rPr>
              <w:t>Alternativa: PL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4"/>
              </w:rPr>
              <w:t>7.411.001 × 1%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4"/>
              </w:rPr>
              <w:t>74,110.010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id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Materialidade preliminar versus saldos; R$ milhões; percentuais sujeitos a julgamento.</w:t>
      </w:r>
    </w:p>
    <w:p>
      <w:pPr>
        <w:pStyle w:val="Heading1"/>
      </w:pPr>
      <w:r>
        <w:t>12. Identificação e avaliação preliminar dos riscos</w:t>
      </w:r>
    </w:p>
    <w:p>
      <w:r>
        <w:t>A matriz detalhada contém 19 riscos em nove ciclos. Probabilidade e impacto são julgamentos preliminares de planejamento, não resultados de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584"/>
            <w:shd w:fill="18324B"/>
          </w:tcPr>
          <w:p>
            <w:r>
              <w:rPr>
                <w:b/>
                <w:color w:val="FFFFFF"/>
                <w:sz w:val="13"/>
              </w:rPr>
              <w:t>Ciclo</w:t>
            </w:r>
          </w:p>
        </w:tc>
        <w:tc>
          <w:tcPr>
            <w:tcW w:type="dxa" w:w="2448"/>
            <w:shd w:fill="18324B"/>
          </w:tcPr>
          <w:p>
            <w:r>
              <w:rPr>
                <w:b/>
                <w:color w:val="FFFFFF"/>
                <w:sz w:val="13"/>
              </w:rPr>
              <w:t>Risco</w:t>
            </w:r>
          </w:p>
        </w:tc>
        <w:tc>
          <w:tcPr>
            <w:tcW w:type="dxa" w:w="2304"/>
            <w:shd w:fill="18324B"/>
          </w:tcPr>
          <w:p>
            <w:r>
              <w:rPr>
                <w:b/>
                <w:color w:val="FFFFFF"/>
                <w:sz w:val="13"/>
              </w:rPr>
              <w:t>Afirmações</w:t>
            </w:r>
          </w:p>
        </w:tc>
        <w:tc>
          <w:tcPr>
            <w:tcW w:type="dxa" w:w="1152"/>
            <w:shd w:fill="18324B"/>
          </w:tcPr>
          <w:p>
            <w:r>
              <w:rPr>
                <w:b/>
                <w:color w:val="FFFFFF"/>
                <w:sz w:val="13"/>
              </w:rPr>
              <w:t>Probabilidade</w:t>
            </w:r>
          </w:p>
        </w:tc>
        <w:tc>
          <w:tcPr>
            <w:tcW w:type="dxa" w:w="864"/>
            <w:shd w:fill="18324B"/>
          </w:tcPr>
          <w:p>
            <w:r>
              <w:rPr>
                <w:b/>
                <w:color w:val="FFFFFF"/>
                <w:sz w:val="13"/>
              </w:rPr>
              <w:t>Impacto</w:t>
            </w:r>
          </w:p>
        </w:tc>
        <w:tc>
          <w:tcPr>
            <w:tcW w:type="dxa" w:w="1008"/>
            <w:shd w:fill="18324B"/>
          </w:tcPr>
          <w:p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Imobilizado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Existência de frota/equipamentos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Existência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Imobilizado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Direito de propriedade ou arrendamento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Direitos e obrigações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Imobilizado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Adições e baixas omitidas ou incorretas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Integridade, ocorrência, corte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Imobilizado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Depreciação, vida útil e valor residual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Avaliação/alocação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Imobilizado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Impairment e ativos ociosos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Avaliação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Imobilizado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Ativos arrendados e classificação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Direitos, avaliação, apresentação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Receita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Reconhecimento/ocorrência e corte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Ocorrência, corte, precisão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Receita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Integridade, cancelamentos e notas de crédito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Integridade, precisão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Contas a receber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Mensuração de perdas esperadas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Avaliação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Caixa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Existência, direitos e restrições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Existência, direitos, apresentação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Baixa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Estoques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Existência e condição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Existência, integridade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Estoques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Avaliação e obsolescência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Avaliação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Dívida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Integridade, vencimentos e classificação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Integridade, obrigação, classificação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Arrendamentos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Integridade e mensuração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Integridade, avaliação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Passivos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Passivos não registrados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Integridade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Estimativas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Provisões judiciais e administrativas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Integralidade, avaliação, divulgação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Partes relacionadas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Completude de relações e transações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Integridade, ocorrência, divulgação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Consolidação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Universo de componentes e consolidação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Completude, precisão, apresentação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Planejado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3"/>
              </w:rPr>
              <w:t>Continuidade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3"/>
              </w:rPr>
              <w:t>Liquidez, dívida, refinanciamento e covenants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3"/>
              </w:rPr>
              <w:t>Apresentação/divulgação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3"/>
              </w:rPr>
              <w:t>Média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>
              <w:rPr>
                <w:sz w:val="13"/>
              </w:rPr>
              <w:t>Alto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3"/>
              </w:rPr>
              <w:t>Pendente</w:t>
            </w:r>
          </w:p>
        </w:tc>
      </w:tr>
    </w:tbl>
    <w:p>
      <w:r>
        <w:t>Cobertura: imobilizado/depreciação; receita/recebíveis; caixa; estoques; dívida/arrendamentos; passivos não registrados; estimativas/contingências; partes relacionadas; consolidação; continuidade. Respostas e evidências constam em matrizes/matriz_riscos.csv.</w:t>
      </w:r>
    </w:p>
    <w:p>
      <w:pPr>
        <w:pStyle w:val="Heading1"/>
      </w:pPr>
      <w:r>
        <w:t>13. Relação norma por norma</w:t>
      </w:r>
    </w:p>
    <w:p>
      <w:r>
        <w:t>A matriz abaixo relaciona a Estrutura Conceitual e as 26 NBC TA enumeradas no roteiro (27 critérios no total) à SIMPAR. A versão aplicável é indicada separadamente da versão publicada após o período; 240(R2) e 570(R1) são revisões de 2026 com aplicação prospectiva. Papéis individuais PT-EC a PT-600 acompanham o ZIP.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792"/>
            <w:shd w:fill="18324B"/>
          </w:tcPr>
          <w:p>
            <w:r>
              <w:rPr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3096"/>
            <w:shd w:fill="18324B"/>
          </w:tcPr>
          <w:p>
            <w:r>
              <w:rPr>
                <w:b/>
                <w:color w:val="FFFFFF"/>
                <w:sz w:val="14"/>
              </w:rPr>
              <w:t>Norma/revisão e versão do período</w:t>
            </w:r>
          </w:p>
        </w:tc>
        <w:tc>
          <w:tcPr>
            <w:tcW w:type="dxa" w:w="5760"/>
            <w:shd w:fill="18324B"/>
          </w:tcPr>
          <w:p>
            <w:r>
              <w:rPr>
                <w:b/>
                <w:color w:val="FFFFFF"/>
                <w:sz w:val="14"/>
              </w:rPr>
              <w:t>Aplicação resumida e status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EC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Estrutura Conceitual para Trabalhos de Asseguração</w:t>
              <w:br/>
              <w:t>Estrutura CFC/IFAC; referência conceitual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Objetividade e clareza da finalidade</w:t>
              <w:br/>
              <w:t>Status: Público verificado / planejado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200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200 (R1)</w:t>
              <w:br/>
              <w:t>R1;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Não emitir opinião sem evidência suficiente/apropriada</w:t>
              <w:br/>
              <w:t>Status: Planejado / pendente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210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210 (R1)</w:t>
              <w:br/>
              <w:t>R1;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Aceitação, estrutura contábil, responsabilidades e carta de contratação não avaliadas neste exercício…</w:t>
              <w:br/>
              <w:t>Status: Pendente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220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220 (R3)</w:t>
              <w:br/>
              <w:t>R3;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Não há equipe de auditoria, consulta interna nem revisor independente neste dossiê</w:t>
              <w:br/>
              <w:t>Status: Pendente / didático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230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230 (R1)</w:t>
              <w:br/>
              <w:t>R1;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Registro rastreável inclui scripts, fontes, resultados e status</w:t>
              <w:br/>
              <w:t>Status: Público verificado / simulado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240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240 (R1)</w:t>
              <w:br/>
              <w:t>R1 aplicável ao exercício iniciado em 2025; R2 publicada 25/09/2026 com aplicação futura a períodos iniciados a partir de 01/01/2027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Receita de R$ 43.528.375 mil</w:t>
              <w:br/>
              <w:t>Status: Planejado; R2 futura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250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250</w:t>
              <w:br/>
              <w:t>Versão vigente listada pelo CFC para 2025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Regulação de concessões, ambiente, trânsito, societária e tributária exigem mapeamento com especialistas</w:t>
              <w:br/>
              <w:t>Status: Planejado / pendente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260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260 (R2)</w:t>
              <w:br/>
              <w:t>R2;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Comitê de Auditoria e Conselho são governança</w:t>
              <w:br/>
              <w:t>Status: Planejado / não executado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265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265</w:t>
              <w:br/>
              <w:t>Versão vigente listada pelo CFC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Sem testes de controle interno</w:t>
              <w:br/>
              <w:t>Status: Pendente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300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300 (R1)</w:t>
              <w:br/>
              <w:t>R1;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Grupos de negócio diversos e ativos intensivos pedem plano por ciclo</w:t>
              <w:br/>
              <w:t>Status: Planejado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315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315 (R2)</w:t>
              <w:br/>
              <w:t>R2;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Complexidade do grupo, imobilizado, leases, receita, TI, estimativas e consolidação</w:t>
              <w:br/>
              <w:t>Status: Preliminar público; pendente interno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320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320 (R1)</w:t>
              <w:br/>
              <w:t>R1;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0,5% da receita é julgamento acadêmico</w:t>
              <w:br/>
              <w:t>Status: Simulado/cálculo público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330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330 (R1)</w:t>
              <w:br/>
              <w:t>R1;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Testes de imobilizado, receita, dívida, caixa, inventário e consolidação planejados</w:t>
              <w:br/>
              <w:t>Status: Planejado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402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402</w:t>
              <w:br/>
              <w:t>Versão vigente listada pelo CFC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Mapear terceirização e service organizations por sistemas/processos</w:t>
              <w:br/>
              <w:t>Status: Pendente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450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450 (R1)</w:t>
              <w:br/>
              <w:t>R1;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Não foram encontradas distorções em DFP</w:t>
              <w:br/>
              <w:t>Status: Pendente / simulado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500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500 (R1)</w:t>
              <w:br/>
              <w:t>R1;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Cifras públicas confirmam divulgação, não saldo subjacente</w:t>
              <w:br/>
              <w:t>Status: Público verificado / pendente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501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501</w:t>
              <w:br/>
              <w:t>Versão vigente listada pelo CFC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Estoques de R$ 2.831.914 mil, provisões jurídicas de R$ 535.411 mil</w:t>
              <w:br/>
              <w:t>Status: Público / planejado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505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505</w:t>
              <w:br/>
              <w:t>Versão vigente listada pelo CFC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Confirmar caixa, dívida, assessoria jurídica, clientes/fornecedores pertinentes</w:t>
              <w:br/>
              <w:t>Status: Pendente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510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510 (R1)</w:t>
              <w:br/>
              <w:t>R1;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2024 é saldo comparativo</w:t>
              <w:br/>
              <w:t>Status: Pendente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520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520</w:t>
              <w:br/>
              <w:t>Versão vigente listada pelo CFC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Variações 2024/2025 calculadas</w:t>
              <w:br/>
              <w:t>Status: Público / analítico limitado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530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530</w:t>
              <w:br/>
              <w:t>Versão vigente listada pelo CFC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Amostra 100 e top 25 apenas para base sintética</w:t>
              <w:br/>
              <w:t>Status: Simulado exclusivamente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540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540 (R2)</w:t>
              <w:br/>
              <w:t>R2;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Depreciação, impairment e perdas esperadas exigem dados internos</w:t>
              <w:br/>
              <w:t>Status: Planejado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550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550</w:t>
              <w:br/>
              <w:t>Versão vigente listada pelo CFC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Holding, controladas e transações intragrupo</w:t>
              <w:br/>
              <w:t>Status: Público / pendente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560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560 (R1)</w:t>
              <w:br/>
              <w:t>R1;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Pesquisar eventos posteriores, aumentos de capital, dívida, alienações</w:t>
              <w:br/>
              <w:t>Status: Pendente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570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570</w:t>
              <w:br/>
              <w:t>Versão anterior aplicável ao exercício iniciado em 2025; R1 publicada 25/09/2026 para períodos a partir de 01/01/2027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FCO negativo, dívida e caixa de holding requerem previsão, refinanciamento, covenant e estresse</w:t>
              <w:br/>
              <w:t>Status: Público verificado / pendente; R1 futura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580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580 (R1)</w:t>
              <w:br/>
              <w:t>R1; vigente no período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Declaração escrita da administração seria necessária no trabalho real</w:t>
              <w:br/>
              <w:t>Status: Pendente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sz w:val="14"/>
              </w:rPr>
              <w:t>600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sz w:val="14"/>
              </w:rPr>
              <w:t>NBC TA 600 (R2)</w:t>
              <w:br/>
              <w:t>R2; CFC confirma vigente desde publicação em 06/12/2023; aplicável ao período 2025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4"/>
              </w:rPr>
              <w:t>Diversidade setorial e PNC R$ 2.898.181 mil pedem mapeamento por componente, materialidade,…</w:t>
              <w:br/>
              <w:t>Status: Planejado / pendente</w:t>
            </w:r>
          </w:p>
        </w:tc>
      </w:tr>
    </w:tbl>
    <w:p>
      <w:r>
        <w:t>Revisar no CFC os textos integrais e itens específicos antes de uso acadêmico definitivo. A descrição é síntese de planejamento; não transcrição literal. Fontes oficiais individuais estão no CSV de cobertura e nos papéis.</w:t>
      </w:r>
    </w:p>
    <w:p>
      <w:pPr>
        <w:pStyle w:val="Heading1"/>
      </w:pPr>
      <w:r>
        <w:t>14. Programas de auditoria por ciclo</w:t>
      </w:r>
    </w:p>
    <w:p>
      <w:pPr>
        <w:pStyle w:val="Heading2"/>
      </w:pPr>
      <w:r>
        <w:t>Imobilizado e depreciação</w:t>
      </w:r>
    </w:p>
    <w:p>
      <w:r>
        <w:rPr>
          <w:b/>
        </w:rPr>
        <w:t xml:space="preserve">Objetivo: </w:t>
      </w:r>
      <w:r>
        <w:t>Obter evidência apropriada sobre existência, direitos, integridade, avaliação, corte e apresentação do imobilizado consolidado.</w:t>
      </w:r>
    </w:p>
    <w:p>
      <w:r>
        <w:rPr>
          <w:b/>
        </w:rPr>
        <w:t xml:space="preserve">Procedimentos planejados: </w:t>
      </w:r>
      <w:r>
        <w:t>Obter razão e cadastro por entidade/classe e conciliar com saldo inicial, adições, baixas, depreciação, impairment e saldo final. Testar amostra documental de aquisições/baixas, inspecionar ativos selecionados, testar propriedade/gravames, recalcular depreciação e vidas úteis e avaliar ativos ociosos/impairment. Examinar a classificação de ativos de frota disponíveis para venda e ativos de direito de uso.</w:t>
      </w:r>
    </w:p>
    <w:p>
      <w:r>
        <w:rPr>
          <w:b/>
        </w:rPr>
        <w:t xml:space="preserve">Evidências necessárias: </w:t>
      </w:r>
      <w:r>
        <w:t>Cadastro patrimonial, razão, notas fiscais, aprovações, contratos, títulos, CRLV/registro, evidência de recebimento/uso, inventário, cálculo de depreciação, laudos de impairment e conciliações.</w:t>
      </w:r>
    </w:p>
    <w:p>
      <w:r>
        <w:rPr>
          <w:b/>
        </w:rPr>
        <w:t xml:space="preserve">Situação: </w:t>
      </w:r>
      <w:r>
        <w:t>Planejado/Pendente: não foram obtidos dados internos nem realizada inspeção física. Base sintética é Simulada e não é amostra da população real.</w:t>
      </w:r>
    </w:p>
    <w:p>
      <w:pPr>
        <w:pStyle w:val="Heading2"/>
      </w:pPr>
      <w:r>
        <w:t>Receita e contas a receber</w:t>
      </w:r>
    </w:p>
    <w:p>
      <w:r>
        <w:rPr>
          <w:b/>
        </w:rPr>
        <w:t xml:space="preserve">Objetivo: </w:t>
      </w:r>
      <w:r>
        <w:t>Testar ocorrência, integridade, precisão, corte, apresentação da receita e avaliação/recuperabilidade das contas a receber.</w:t>
      </w:r>
    </w:p>
    <w:p>
      <w:r>
        <w:rPr>
          <w:b/>
        </w:rPr>
        <w:t xml:space="preserve">Procedimentos planejados: </w:t>
      </w:r>
      <w:r>
        <w:t>Selecionar contratos e transações de receita, conferir serviço/entrega/aceite, faturamento e liquidação; analisar transações antes/depois do fechamento; testar cancelamentos, notas de crédito e lançamentos manuais; reconciliar aging e recebimentos posteriores; avaliar modelo de perdas esperadas.</w:t>
      </w:r>
    </w:p>
    <w:p>
      <w:r>
        <w:rPr>
          <w:b/>
        </w:rPr>
        <w:t xml:space="preserve">Evidências necessárias: </w:t>
      </w:r>
      <w:r>
        <w:t>Contratos, ordens, comprovantes de execução/aceite, faturas, notas fiscais, razão, notas de crédito, aging, recibos, cobrança e memória do modelo de perdas.</w:t>
      </w:r>
    </w:p>
    <w:p>
      <w:r>
        <w:rPr>
          <w:b/>
        </w:rPr>
        <w:t xml:space="preserve">Situação: </w:t>
      </w:r>
      <w:r>
        <w:t>Planejado/Pendente: somente cifras públicas e análise horizontal foram obtidas.</w:t>
      </w:r>
    </w:p>
    <w:p>
      <w:pPr>
        <w:pStyle w:val="Heading2"/>
      </w:pPr>
      <w:r>
        <w:t>Caixa e aplicações financeiras</w:t>
      </w:r>
    </w:p>
    <w:p>
      <w:r>
        <w:rPr>
          <w:b/>
        </w:rPr>
        <w:t xml:space="preserve">Objetivo: </w:t>
      </w:r>
      <w:r>
        <w:t>Testar existência, titularidade, completude, avaliação, classificação e restrições de caixa e aplicações.</w:t>
      </w:r>
    </w:p>
    <w:p>
      <w:r>
        <w:rPr>
          <w:b/>
        </w:rPr>
        <w:t xml:space="preserve">Procedimentos planejados: </w:t>
      </w:r>
      <w:r>
        <w:t>Confirmações externas sob controle do auditor; extratos obtidos independentemente; conciliações bancárias e itens em trânsito; inspeção de acordos de bloqueio/garantia; testar cotação, juros e classificação de títulos.</w:t>
      </w:r>
    </w:p>
    <w:p>
      <w:r>
        <w:rPr>
          <w:b/>
        </w:rPr>
        <w:t xml:space="preserve">Evidências necessárias: </w:t>
      </w:r>
      <w:r>
        <w:t>Confirmações, extratos bancários, conciliações, contratos de aplicação, avisos de restrição/garantia, cálculo de rendimento e evidência de liquidação posterior.</w:t>
      </w:r>
    </w:p>
    <w:p>
      <w:r>
        <w:rPr>
          <w:b/>
        </w:rPr>
        <w:t xml:space="preserve">Situação: </w:t>
      </w:r>
      <w:r>
        <w:t>Planejado/Pendente: nenhum banco foi contatado e não se inferiu disponibilidade integral do saldo.</w:t>
      </w:r>
    </w:p>
    <w:p>
      <w:pPr>
        <w:pStyle w:val="Heading2"/>
      </w:pPr>
      <w:r>
        <w:t>Estoque e materiais</w:t>
      </w:r>
    </w:p>
    <w:p>
      <w:r>
        <w:rPr>
          <w:b/>
        </w:rPr>
        <w:t xml:space="preserve">Objetivo: </w:t>
      </w:r>
      <w:r>
        <w:t>Obter evidência sobre existência, integridade, condição, avaliação e corte de estoques.</w:t>
      </w:r>
    </w:p>
    <w:p>
      <w:r>
        <w:rPr>
          <w:b/>
        </w:rPr>
        <w:t xml:space="preserve">Procedimentos planejados: </w:t>
      </w:r>
      <w:r>
        <w:t>Acompanhar inventário físico, selecionar itens para contagem bidirecional, testar estoque em terceiros, reconciliação com razão, custo e valor realizável líquido, obsolescência, movimentações perto do fechamento e vendas subsequentes.</w:t>
      </w:r>
    </w:p>
    <w:p>
      <w:r>
        <w:rPr>
          <w:b/>
        </w:rPr>
        <w:t xml:space="preserve">Evidências necessárias: </w:t>
      </w:r>
      <w:r>
        <w:t>Instruções e folhas de contagem, registros de inventário, notas de compra, custos, aging, confirmação de terceiros e vendas posteriores.</w:t>
      </w:r>
    </w:p>
    <w:p>
      <w:r>
        <w:rPr>
          <w:b/>
        </w:rPr>
        <w:t xml:space="preserve">Situação: </w:t>
      </w:r>
      <w:r>
        <w:t>Planejado/Pendente: números agregados públicos não permitem validar existência ou mensuração.</w:t>
      </w:r>
    </w:p>
    <w:p>
      <w:pPr>
        <w:pStyle w:val="Heading2"/>
      </w:pPr>
      <w:r>
        <w:t>Dívida, arrendamentos e passivos</w:t>
      </w:r>
    </w:p>
    <w:p>
      <w:r>
        <w:rPr>
          <w:b/>
        </w:rPr>
        <w:t xml:space="preserve">Objetivo: </w:t>
      </w:r>
      <w:r>
        <w:t>Testar integridade, obrigação, classificação, juros, vencimentos, covenant, garantias e divulgação de financiamento, arrendamentos e outros passivos.</w:t>
      </w:r>
    </w:p>
    <w:p>
      <w:r>
        <w:rPr>
          <w:b/>
        </w:rPr>
        <w:t xml:space="preserve">Procedimentos planejados: </w:t>
      </w:r>
      <w:r>
        <w:t>Confirmar credores, inspecionar contratos e aditivos, recalcular juros/fees, testar pagamentos posteriores e busca de passivos não registrados, reconciliar cronograma, testar covenants e avaliar curto/longo prazo e notas de arrendamentos.</w:t>
      </w:r>
    </w:p>
    <w:p>
      <w:r>
        <w:rPr>
          <w:b/>
        </w:rPr>
        <w:t xml:space="preserve">Evidências necessárias: </w:t>
      </w:r>
      <w:r>
        <w:t>Confirmações, contratos, extratos, cronograma de dívida, cálculo, certificates de covenants, garantias, invoices e desembolsos posteriores.</w:t>
      </w:r>
    </w:p>
    <w:p>
      <w:r>
        <w:rPr>
          <w:b/>
        </w:rPr>
        <w:t xml:space="preserve">Situação: </w:t>
      </w:r>
      <w:r>
        <w:t>Planejado/Pendente: análise pública de saldos não testa termos, covenants ou completude.</w:t>
      </w:r>
    </w:p>
    <w:p>
      <w:pPr>
        <w:pStyle w:val="Heading2"/>
      </w:pPr>
      <w:r>
        <w:t>Estimativas e contingências</w:t>
      </w:r>
    </w:p>
    <w:p>
      <w:r>
        <w:rPr>
          <w:b/>
        </w:rPr>
        <w:t xml:space="preserve">Objetivo: </w:t>
      </w:r>
      <w:r>
        <w:t>Avaliar reconhecimento, mensuração, incerteza e divulgação de estimativas e provisões judiciais/administrativas.</w:t>
      </w:r>
    </w:p>
    <w:p>
      <w:r>
        <w:rPr>
          <w:b/>
        </w:rPr>
        <w:t xml:space="preserve">Procedimentos planejados: </w:t>
      </w:r>
      <w:r>
        <w:t>Obter lista integral de processos, circularizar advogados, examinar processos e eventos posteriores, analisar metodologia, premissas, probabilidade, mensuração, mudanças e possível viés; revisar divulgações.</w:t>
      </w:r>
    </w:p>
    <w:p>
      <w:r>
        <w:rPr>
          <w:b/>
        </w:rPr>
        <w:t xml:space="preserve">Evidências necessárias: </w:t>
      </w:r>
      <w:r>
        <w:t>Cartas de assessores jurídicos, processos, atas, pareceres, cálculos, pagamentos, histórico de estimativa e divulgações.</w:t>
      </w:r>
    </w:p>
    <w:p>
      <w:r>
        <w:rPr>
          <w:b/>
        </w:rPr>
        <w:t xml:space="preserve">Situação: </w:t>
      </w:r>
      <w:r>
        <w:t>Planejado/Pendente: valor agregado público não permite concluir suficiência da provisão.</w:t>
      </w:r>
    </w:p>
    <w:p>
      <w:pPr>
        <w:pStyle w:val="Heading2"/>
      </w:pPr>
      <w:r>
        <w:t>Partes relacionadas</w:t>
      </w:r>
    </w:p>
    <w:p>
      <w:r>
        <w:rPr>
          <w:b/>
        </w:rPr>
        <w:t xml:space="preserve">Objetivo: </w:t>
      </w:r>
      <w:r>
        <w:t>Identificar e testar completude de partes relacionadas, transações, saldos, termos, aprovações e divulgações.</w:t>
      </w:r>
    </w:p>
    <w:p>
      <w:r>
        <w:rPr>
          <w:b/>
        </w:rPr>
        <w:t xml:space="preserve">Procedimentos planejados: </w:t>
      </w:r>
      <w:r>
        <w:t>Inspecionar declarações de administradores, estrutura societária, atas, cadastro de contrapartes, razão, contratos e transações incomuns; verificar aprovações e eliminações intragrupo.</w:t>
      </w:r>
    </w:p>
    <w:p>
      <w:r>
        <w:rPr>
          <w:b/>
        </w:rPr>
        <w:t xml:space="preserve">Evidências necessárias: </w:t>
      </w:r>
      <w:r>
        <w:t>Organograma e controle, cadastro, declarações, atas, contratos, faturas, confirmações, razão e documentos de consolidação.</w:t>
      </w:r>
    </w:p>
    <w:p>
      <w:r>
        <w:rPr>
          <w:b/>
        </w:rPr>
        <w:t xml:space="preserve">Situação: </w:t>
      </w:r>
      <w:r>
        <w:t>Planejado/Pendente: política pública foi lida; a completude do universo não foi verificada.</w:t>
      </w:r>
    </w:p>
    <w:p>
      <w:pPr>
        <w:pStyle w:val="Heading2"/>
      </w:pPr>
      <w:r>
        <w:t>Consolidação do grupo</w:t>
      </w:r>
    </w:p>
    <w:p>
      <w:r>
        <w:rPr>
          <w:b/>
        </w:rPr>
        <w:t xml:space="preserve">Objetivo: </w:t>
      </w:r>
      <w:r>
        <w:t>Avaliar universo de componentes, instruções de reporte, políticas uniformes, consolidação, eliminações, PNC e suficiência do trabalho de grupo.</w:t>
      </w:r>
    </w:p>
    <w:p>
      <w:r>
        <w:rPr>
          <w:b/>
        </w:rPr>
        <w:t xml:space="preserve">Procedimentos planejados: </w:t>
      </w:r>
      <w:r>
        <w:t>Obter estrutura jurídica, mapear componentes e auditores, definir materialidade por componente, emitir instruções, avaliar independência/competência e comunicação dos auditores de componentes, rever riscos e papéis relevantes, testar ajustes/eliminações e consolidar conclusões.</w:t>
      </w:r>
    </w:p>
    <w:p>
      <w:r>
        <w:rPr>
          <w:b/>
        </w:rPr>
        <w:t xml:space="preserve">Evidências necessárias: </w:t>
      </w:r>
      <w:r>
        <w:t>Organograma, balancetes/pacotes, instruções, confirmações, relatórios e comunicações de componentes, planilhas de consolidação e cálculo de PNC.</w:t>
      </w:r>
    </w:p>
    <w:p>
      <w:r>
        <w:rPr>
          <w:b/>
        </w:rPr>
        <w:t xml:space="preserve">Situação: </w:t>
      </w:r>
      <w:r>
        <w:t>Planejado/Pendente: não houve acesso aos componentes ou papéis de seus auditores.</w:t>
      </w:r>
    </w:p>
    <w:p>
      <w:pPr>
        <w:pStyle w:val="Heading2"/>
      </w:pPr>
      <w:r>
        <w:t>Continuidade operacional</w:t>
      </w:r>
    </w:p>
    <w:p>
      <w:r>
        <w:rPr>
          <w:b/>
        </w:rPr>
        <w:t xml:space="preserve">Objetivo: </w:t>
      </w:r>
      <w:r>
        <w:t>Avaliar a base de continuidade, incertezas relevantes, premissas e suficiência das divulgações.</w:t>
      </w:r>
    </w:p>
    <w:p>
      <w:r>
        <w:rPr>
          <w:b/>
        </w:rPr>
        <w:t xml:space="preserve">Procedimentos planejados: </w:t>
      </w:r>
      <w:r>
        <w:t>Examinar projeções de fluxo, caixa e vencimentos, covenants, refinanciamentos, stress tests, planos aprovados e viabilidade; confrontar com eventos subsequentes, contratos e evidência externa; avaliar divulgação e comunicação à governança.</w:t>
      </w:r>
    </w:p>
    <w:p>
      <w:r>
        <w:rPr>
          <w:b/>
        </w:rPr>
        <w:t xml:space="preserve">Evidências necessárias: </w:t>
      </w:r>
      <w:r>
        <w:t>Forecast aprovado, sensibilidade, contratos/renegociações, confirmação de crédito, covenant certificates, atas, comunicações jurídicas e divulgações.</w:t>
      </w:r>
    </w:p>
    <w:p>
      <w:r>
        <w:rPr>
          <w:b/>
        </w:rPr>
        <w:t xml:space="preserve">Situação: </w:t>
      </w:r>
      <w:r>
        <w:t>Planejado/Pendente: o FCO consolidado 2025 é negativo e há dados públicos de dívida/caixa, mas esses fatos não bastam para conclusão. Aplicar versão normativa vigente para período iniciado em 2025.</w:t>
      </w:r>
    </w:p>
    <w:p>
      <w:pPr>
        <w:pStyle w:val="Heading1"/>
      </w:pPr>
      <w:r>
        <w:t>15. Imobilizado e depreciação</w:t>
      </w:r>
    </w:p>
    <w:p>
      <w:r>
        <w:t>O saldo de imobilizado divulgado é líquido de depreciação acumulada e perdas aplicáveis conforme políticas contábeis. Não é o custo bruto do cadastro de ativos. A política descrita nas notas informa mensuração ao custo histórico deduzido da depreciação acumulada e de perdas por redução ao valor recuperável. A nota 2.12 trata de imobilizado e métodos/estimativas; o número da nota de movimentação detalhada não foi confirmado no exemplar textual disponível e deve ser conferido no PDF original CVM [2, PDF pp. 2 e 4–5; nota de política 2.12].</w:t>
      </w:r>
    </w:p>
    <w:p>
      <w:r>
        <w:t>Procedimentos planejados: obter cadastro patrimonial e razão por classe/entidade; reconciliar saldo inicial, adições, baixas, depreciação, impairment, transferências e saldo final; testar aquisições/baixas e corte; inspecionar ativos por seleção de itens; verificar títulos, gravames e contratos de arrendamento; recalcular depreciação com data disponível para uso, custo, vida útil e residual; examinar indicadores de impairment e ativos ociosos; avaliar apresentação e divulgações. Nenhum desses procedimentos internos foi executado.</w:t>
      </w:r>
    </w:p>
    <w:p>
      <w:r>
        <w:t>A análise sintética não comprova atributos reais. Não se deve projetar exceções artificiais para o grupo nem usar o CSV como amostra da população patrimonial da SIMPAR.</w:t>
      </w:r>
    </w:p>
    <w:p>
      <w:r>
        <w:t>Resposta proposta: consultar PT-04/matriz_riscos.csv e programa por ciclo na seção 14. Todos os testes dependentes de registros internos estão PLANEJADOS ou PENDENTES.</w:t>
      </w:r>
    </w:p>
    <w:p>
      <w:pPr>
        <w:pStyle w:val="Heading1"/>
      </w:pPr>
      <w:r>
        <w:t>16. Receita e contas a receber</w:t>
      </w:r>
    </w:p>
    <w:p>
      <w:r>
        <w:t>Receita líquida cresceu 6,85% segundo a comparação da DRE. A segregação por serviço, locação, construção, venda de ativos desmobilizados e segmento exige leitura das notas completas e dados granulares. Planejar testes de ocorrência, integridade e corte, contratos, aceite/entrega, faturamento, recebimentos subsequentes, notas de crédito e lançamentos manuais, incluindo resposta ao risco presumido de fraude no reconhecimento da receita conforme avaliação da equipe [2, PDF p. 2; NBC TA 240/315/330].</w:t>
      </w:r>
    </w:p>
    <w:p>
      <w:r>
        <w:t>Contas a receber consolidadas foram R$ 7.700.608 mil em 2025 e R$ 6.176.225 mil em 2024; estoques R$ 2.831.914 mil e R$ 3.200.318 mil, respectivamente. A despesa/provisão de perdas esperadas reportada na DRE foi R$ 311.877 mil em 2025 e R$ 360.893 mil em 2024 [2, PDF p. 2]. Planejar aging, circularização, recebimentos subsequentes, validação do modelo de perdas e contagem/avaliação de estoques. Nenhum desses testes foi realizado em documentos internos.</w:t>
      </w:r>
    </w:p>
    <w:p>
      <w:r>
        <w:t>Resposta proposta: consultar PT-04/matriz_riscos.csv e programa por ciclo na seção 14. Todos os testes dependentes de registros internos estão PLANEJADOS ou PENDENTES.</w:t>
      </w:r>
    </w:p>
    <w:p>
      <w:pPr>
        <w:pStyle w:val="Heading1"/>
      </w:pPr>
      <w:r>
        <w:t>17. Caixa e aplicações financeiras</w:t>
      </w:r>
    </w:p>
    <w:p>
      <w:r>
        <w:t>Caixa e equivalentes encerraram 2025 em R$ 3.029.953 mil, ante R$ 1.903.850 mil em 2024; títulos/aplicações de curto prazo eram R$ 11.074.652 mil (2024: R$ 11.067.285 mil). Isso não autoriza inferir disponibilidade irrestrita. Planejar confirmações bancárias, extratos, conciliações, titularidade, restrições e aplicações vinculadas [2, PDF p. 2].</w:t>
      </w:r>
    </w:p>
    <w:p>
      <w:r>
        <w:t>Resposta proposta: consultar PT-04/matriz_riscos.csv e programa por ciclo na seção 14. Todos os testes dependentes de registros internos estão PLANEJADOS ou PENDENTES.</w:t>
      </w:r>
    </w:p>
    <w:p>
      <w:pPr>
        <w:pStyle w:val="Heading1"/>
      </w:pPr>
      <w:r>
        <w:t>18. Estoques</w:t>
      </w:r>
    </w:p>
    <w:p>
      <w:r>
        <w:t>Contas a receber consolidadas foram R$ 7.700.608 mil em 2025 e R$ 6.176.225 mil em 2024; estoques R$ 2.831.914 mil e R$ 3.200.318 mil, respectivamente. A despesa/provisão de perdas esperadas reportada na DRE foi R$ 311.877 mil em 2025 e R$ 360.893 mil em 2024 [2, PDF p. 2]. Planejar aging, circularização, recebimentos subsequentes, validação do modelo de perdas e contagem/avaliação de estoques. Nenhum desses testes foi realizado em documentos internos.</w:t>
      </w:r>
    </w:p>
    <w:p>
      <w:r>
        <w:t>Resposta proposta: consultar PT-04/matriz_riscos.csv e programa por ciclo na seção 14. Todos os testes dependentes de registros internos estão PLANEJADOS ou PENDENTES.</w:t>
      </w:r>
    </w:p>
    <w:p>
      <w:pPr>
        <w:pStyle w:val="Heading1"/>
      </w:pPr>
      <w:r>
        <w:t>19. Dívidas, arrendamentos e passivos</w:t>
      </w:r>
    </w:p>
    <w:p>
      <w:r>
        <w:t>O balanço consolida empréstimos/debêntures, derivativos, arrendamentos, cessão de direitos creditórios, obrigações por aquisição e outras contas. Planejar confirmações externas, inspeção contratual, teste de juros e classificação, vencimentos, covenants, garantias e busca de passivos não registrados. Os saldos agregados não substituem leitura de cronograma contratual e notas completas [2, PDF p. 2; política de financiamento nota 2.14].</w:t>
      </w:r>
    </w:p>
    <w:p>
      <w:r>
        <w:t>Resposta proposta: consultar PT-04/matriz_riscos.csv e programa por ciclo na seção 14. Todos os testes dependentes de registros internos estão PLANEJADOS ou PENDENTES.</w:t>
      </w:r>
    </w:p>
    <w:p>
      <w:pPr>
        <w:pStyle w:val="Heading1"/>
      </w:pPr>
      <w:r>
        <w:t>20. Estimativas, provisões e contingências</w:t>
      </w:r>
    </w:p>
    <w:p>
      <w:r>
        <w:t>A provisão para demandas judiciais e administrativas no passivo não circulante é R$ 535.411 mil em 2025 e R$ 670.149 mil em 2024. São montantes publicados, não avaliação da suficiência da provisão. Planejar cartas de assessores jurídicos, reconciliação da população de casos, leitura de processos, premissas, desembolsos e fatos subsequentes [2, PDF p. 2; nota 2.18 conforme política de provisões].</w:t>
      </w:r>
    </w:p>
    <w:p>
      <w:r>
        <w:t>Resposta proposta: consultar PT-04/matriz_riscos.csv e programa por ciclo na seção 14. Todos os testes dependentes de registros internos estão PLANEJADOS ou PENDENTES.</w:t>
      </w:r>
    </w:p>
    <w:p>
      <w:pPr>
        <w:pStyle w:val="Heading1"/>
      </w:pPr>
      <w:r>
        <w:t>21. Partes relacionadas</w:t>
      </w:r>
    </w:p>
    <w:p>
      <w:r>
        <w:t>A política de partes relacionadas está descrita na nota 2.20 e o balanço mostra saldos específicos. Para consolidado, examinar completude do cadastro, transações com controladores e entidades do grupo, termos, aprovações e eliminações intragrupo. Não afirmar integridade do universo de relações sem documentos internos [2, PDF pp. 2 e 4–5; notas 2.20 e 6].</w:t>
      </w:r>
    </w:p>
    <w:p>
      <w:r>
        <w:t>Resposta proposta: consultar PT-04/matriz_riscos.csv e programa por ciclo na seção 14. Todos os testes dependentes de registros internos estão PLANEJADOS ou PENDENTES.</w:t>
      </w:r>
    </w:p>
    <w:p>
      <w:pPr>
        <w:pStyle w:val="Heading1"/>
      </w:pPr>
      <w:r>
        <w:t>22. Eventos subsequentes</w:t>
      </w:r>
    </w:p>
    <w:p>
      <w:r>
        <w:t>Eventos subsequentes: a demonstração publicada foi enviada em 30/03/2026 segundo o registro CVM. O relatório anual 2025 informa aprovação/publicação em 31/08/2026. Até a data deste dossiê, devem ser pesquisados eventos posteriores ao relatório do auditor, inclusive aumentos de capital, refinanciamentos, alienações e fatos públicos. O conteúdo de um relatório anual não é por si só a avaliação do auditor sobre eventos subsequentes [1] [4, p. 4].</w:t>
      </w:r>
    </w:p>
    <w:p>
      <w:pPr>
        <w:pStyle w:val="Heading1"/>
      </w:pPr>
      <w:r>
        <w:t>23. Continuidade operacional</w:t>
      </w:r>
    </w:p>
    <w:p>
      <w:r>
        <w:t>Continuidade: o relatório anual de gestão descreve dívida líquida da holding de R$ 39,6 bilhões, caixa da holding de R$ 3,6 bilhões e vencimentos até 2031, enquanto a DFC consolidada mostra fluxo operacional negativo em 2025. Essas informações contextuais não substituem análise dos fluxos de caixa prospectivos, covenant certificates, contratos de financiamento e planos aprovados. A NBC TA 570 revisada em 2026 é futura para período iniciado em 2025; a avaliação deste dossiê considera a versão anterior, sujeito à validação documental de transição [2, PDF p. 2; 4, p. 91; CFC].</w:t>
      </w:r>
    </w:p>
    <w:p>
      <w:pPr>
        <w:pStyle w:val="Heading1"/>
      </w:pPr>
      <w:r>
        <w:t>24. Processo de consolidação do grupo</w:t>
      </w:r>
    </w:p>
    <w:p>
      <w:r>
        <w:t>O consolidado inclui participação de não controladores de R$ 2.898.181 mil em 2025 e R$ 2.973.476 mil em 2024. A aplicação da NBC TA 600 requer entendimento do grupo, componentes e processos de consolidação, direção e supervisão, comunicação com auditores de componentes e avaliação de evidência agregada. O dossiê não obteve lista completa de componentes, pacotes de reporte, papéis ou comunicações de auditores; não se afirma que procedimentos de auditoria de grupo foram executados [2, PDF p. 2; CFC norma oficial].</w:t>
      </w:r>
    </w:p>
    <w:p>
      <w:r>
        <w:t>Resposta proposta: consultar PT-04/matriz_riscos.csv e programa por ciclo na seção 14. Todos os testes dependentes de registros internos estão PLANEJADOS ou PENDENTES.</w:t>
      </w:r>
    </w:p>
    <w:p>
      <w:pPr>
        <w:pStyle w:val="Heading1"/>
      </w:pPr>
      <w:r>
        <w:t>25. Base sintética de 500 mil registros</w:t>
      </w:r>
    </w:p>
    <w:p>
      <w:r>
        <w:t>O gerador Python cria 500.000 linhas artificiais com semente 241003357. Nenhum dado de funcionários, fornecedores, contratos ou cadastro real foi utilizado. Os campos abrangem identificador e descrição sintéticos, classe, entidade e centro de custo fictícios, datas, custo bruto, valor residual, vida útil, depreciação acumulada, valor líquido, taxa e situação.</w:t>
      </w:r>
    </w:p>
    <w:p>
      <w:r>
        <w:t>Doze anomalias são inseridas deliberadamente em oito categorias: depreciação maior que custo (3), vida útil zero (2), ativo baixado com saldo líquido positivo (2), data disponível após 31/12/2025 (1), localização ausente (1), depreciação negativa (1), identificador duplicado (1) e valor residual maior que custo (1). O script compara cada contagem inserida e detectada, gera amostra de 100 linhas reprodutível, top 25 por custo bruto, CSV de exceções e resultados. O relatório final só descreverá resultados após execução.</w:t>
      </w:r>
    </w:p>
    <w:p>
      <w:pPr>
        <w:pStyle w:val="Heading1"/>
      </w:pPr>
      <w:r>
        <w:t>26. Metodologia dos testes de dados</w:t>
      </w:r>
    </w:p>
    <w:p>
      <w:r>
        <w:t>Não há calibração ao saldo divulgado. Caso se opte por calibrar, somente valor contábil líquido sintético poderia ser matematicamente ajustado ao saldo publicado; custo bruto é uma grandeza diferente. Qualquer ajuste não seria reconciliação ao cadastro/razão real nem evidência sobre ativos individuais.</w:t>
      </w:r>
    </w:p>
    <w:p>
      <w:r>
        <w:t>Rotina executada: `python3 codigo/01_gerar_base.py` e `python3 codigo/02_testes_base.py`. `codigo/03_analiticos.py` prepara tabelas comparativas e materialidade; `codigo/04_graficos.py` prepara imagens.</w:t>
      </w:r>
    </w:p>
    <w:p>
      <w:pPr>
        <w:pStyle w:val="Heading1"/>
      </w:pPr>
      <w:r>
        <w:t>27. Resultados e exceções da base sintética</w:t>
      </w:r>
    </w:p>
    <w:p>
      <w:r>
        <w:t>RESULTADOS DOS TESTES — BASE SINTÉTICA</w:t>
      </w:r>
    </w:p>
    <w:p>
      <w:r>
        <w:t>População artificial; nenhum registro real da SIMPAR.</w:t>
      </w:r>
    </w:p>
    <w:p>
      <w:r>
        <w:t>Data de referência para teste de disponibilidade: 31/12/2025.</w:t>
      </w:r>
    </w:p>
    <w:p>
      <w:r>
        <w:t>linhas: detectado=500000; esperado=500000; OK</w:t>
      </w:r>
    </w:p>
    <w:p>
      <w:r>
        <w:t>linhas_marcadas: detectado=12; esperado=12; OK</w:t>
      </w:r>
    </w:p>
    <w:p>
      <w:r>
        <w:t>ids_distintos: detectado=499999; esperado=499999; OK</w:t>
      </w:r>
    </w:p>
    <w:p>
      <w:r>
        <w:t>custo_bruto_positivo: detectado=500000; esperado=500000; OK</w:t>
      </w:r>
    </w:p>
    <w:p>
      <w:r>
        <w:t>ANOMALIAS — contagem inserida versus detectada:</w:t>
      </w:r>
    </w:p>
    <w:p>
      <w:r>
        <w:t>depreciacao_acumulada_maior_que_custo: inserida=3; detectada=3; OK</w:t>
      </w:r>
    </w:p>
    <w:p>
      <w:r>
        <w:t>vida_util_zero: inserida=2; detectada=2; OK</w:t>
      </w:r>
    </w:p>
    <w:p>
      <w:r>
        <w:t>ativo_baixado_com_valor_liquido_positivo: inserida=2; detectada=2; OK</w:t>
      </w:r>
    </w:p>
    <w:p>
      <w:r>
        <w:t>data_disponivel_futura: inserida=1; detectada=1; OK</w:t>
      </w:r>
    </w:p>
    <w:p>
      <w:r>
        <w:t>localizacao_ausente: inserida=1; detectada=1; OK</w:t>
      </w:r>
    </w:p>
    <w:p>
      <w:r>
        <w:t>depreciacao_negativa: inserida=1; detectada=1; OK</w:t>
      </w:r>
    </w:p>
    <w:p>
      <w:r>
        <w:t>identificador_duplicado: inserida=1; detectada=1; OK</w:t>
      </w:r>
    </w:p>
    <w:p>
      <w:r>
        <w:t>valor_residual_maior_que_custo: inserida=1; detectada=1; OK</w:t>
      </w:r>
    </w:p>
    <w:p>
      <w:r>
        <w:t>Interpretação: cada alerta corresponde a regra artificial deliberadamente inserida. Não é achado da SIMPAR, projeção de erro ou evidência de auditoria.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9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icao_sintet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Distribuição sintética por classe; valores artificiais, não SIMPAR.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ias_sintetic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Contagens deliberadamente inseridas/detectadas; não são exceções reais.</w:t>
      </w:r>
    </w:p>
    <w:p>
      <w:pPr>
        <w:pStyle w:val="Heading1"/>
      </w:pPr>
      <w:r>
        <w:t>28. Gráficos e análises</w:t>
      </w:r>
    </w:p>
    <w:p>
      <w:r>
        <w:t>Os gráficos financeiros usam somente cifras publicadas em R$ mil e conversão para R$ bilhões, com fonte no respectivo rodapé. Os gráficos sintéticos identificam explicitamente a artificialidade. Nenhum dado faltante foi extrapolado para preencher séries.</w:t>
      </w:r>
    </w:p>
    <w:p>
      <w:pPr>
        <w:pStyle w:val="Heading1"/>
      </w:pPr>
      <w:r>
        <w:t>29. Matriz de cobertura das NBC TA</w:t>
      </w:r>
    </w:p>
    <w:p>
      <w:r>
        <w:t>Cobertura: 27 critérios (Estrutura Conceitual + 26 NBC TA); arquivo editável e URL por critério em `matrizes/matriz_cobertura_normas.csv`. A matriz demonstra planejamento e status de evidência, não conformidade completa do trabalho.</w:t>
      </w:r>
    </w:p>
    <w:p>
      <w:pPr>
        <w:pStyle w:val="Heading1"/>
      </w:pPr>
      <w:r>
        <w:t>30. Limitações e procedimentos pendentes</w:t>
      </w:r>
    </w:p>
    <w:p>
      <w:r>
        <w:rPr>
          <w:b/>
        </w:rPr>
        <w:t xml:space="preserve">L01 — CVM RAD (Pendente): </w:t>
      </w:r>
      <w:r>
        <w:t>Metadados da DFP 2025 e 2024 consultados; tabelas e PDF integral do RAD não foram recuperados pela interface neste ambiente. Ação: Confirmar/arquivar o PDF original da CVM e os localizadores de notas antes da submissão.</w:t>
      </w:r>
    </w:p>
    <w:p>
      <w:r>
        <w:rPr>
          <w:b/>
        </w:rPr>
        <w:t xml:space="preserve">L02 — Cópia financeira (Pendente): </w:t>
      </w:r>
      <w:r>
        <w:t>Os demonstrativos numéricos detalhados foram lidos em cópia reproduzida em publicação jornalística; não é o arquivo extraído diretamente do RAD. Ação: Confrontar cifra, página e nota com o RAD oficial.</w:t>
      </w:r>
    </w:p>
    <w:p>
      <w:r>
        <w:rPr>
          <w:b/>
        </w:rPr>
        <w:t xml:space="preserve">L03 — Dados internos (Pendente): </w:t>
      </w:r>
      <w:r>
        <w:t>Sem razão contábil, cadastro patrimonial, contratos, controles, conciliações, confirmações ou atas internas. Ação: Executar testes substantivos e de controles com a entidade, se autorizados.</w:t>
      </w:r>
    </w:p>
    <w:p>
      <w:r>
        <w:rPr>
          <w:b/>
        </w:rPr>
        <w:t xml:space="preserve">L04 — Imagem de roteiro (Pendente): </w:t>
      </w:r>
      <w:r>
        <w:t>A imagem do item 5 mencionado na instrução original não constava entre anexos consultados. Ação: Comparar versão final ao roteiro visual original, se disponível.</w:t>
      </w:r>
    </w:p>
    <w:p>
      <w:r>
        <w:rPr>
          <w:b/>
        </w:rPr>
        <w:t xml:space="preserve">L05 — Base patrimonial sintética (Simulado): </w:t>
      </w:r>
      <w:r>
        <w:t>CSV integralmente artificial; sem calibração, sem cadastro real e sem possibilidade de extrapolar exceções. Ação: Não projetar achados; selecionar amostra da população verdadeira em trabalho real.</w:t>
      </w:r>
    </w:p>
    <w:p>
      <w:r>
        <w:rPr>
          <w:b/>
        </w:rPr>
        <w:t xml:space="preserve">L06 — Relatório do auditor (Pendente): </w:t>
      </w:r>
      <w:r>
        <w:t>O resumo reproduzido no PDF p. 4 informa opinião sem modificação e assinatura PwC; o relatório completo e seus principais assuntos/ênfases não foram obtidos. Ação: Obter o relatório integral referido na publicação e conferir contra DFP/RAD.</w:t>
      </w:r>
    </w:p>
    <w:p>
      <w:r>
        <w:rPr>
          <w:b/>
        </w:rPr>
        <w:t xml:space="preserve">L07 — Notas de imobilizado (Pendente): </w:t>
      </w:r>
      <w:r>
        <w:t>Nota 2.12 foi localizada como política; nota do quadro de movimentação não confirmada na cópia extraída. Ação: Conferir nota e páginas da movimentação na DFP original.</w:t>
      </w:r>
    </w:p>
    <w:p>
      <w:r>
        <w:rPr>
          <w:b/>
        </w:rPr>
        <w:t xml:space="preserve">L08 — Normas CFC (Pendente): </w:t>
      </w:r>
      <w:r>
        <w:t>Status/metadados oficiais obtidos para normas principais e transições 2026; pesquisa integral item a item continua em andamento. Ação: Finalizar revisão de cada texto oficial e itens normativos antes da entrega acadêmica definitiva.</w:t>
      </w:r>
    </w:p>
    <w:p>
      <w:r>
        <w:rPr>
          <w:b/>
        </w:rPr>
        <w:t xml:space="preserve">L09 — DMPL comparativa 2024 (Pendente): </w:t>
      </w:r>
      <w:r>
        <w:t>Cópia publicada traz PL total de R$ 5.724.991 mil no balanço e R$ 5.724.977 mil na DMPL (diferença de R$ 14 mil). Ação: Conferir o documento original RAD e, se persistir, rastrear reconciliação/reclassificação com administração.</w:t>
      </w:r>
    </w:p>
    <w:p>
      <w:pPr>
        <w:pStyle w:val="Heading1"/>
      </w:pPr>
      <w:r>
        <w:t>31. Conclusão integrada</w:t>
      </w:r>
    </w:p>
    <w:p>
      <w:r>
        <w:t>Com base nas informações públicas disponíveis, o imobilizado representa 54,1% do ativo consolidado de 2025 e permanece área relevante para planejamento. As cifras agregadas permitem análises horizontais e desenho de procedimentos, mas não fornecem evidência suficiente para atestar existência física, titularidade, integridade do cadastro, depreciação ou impairment. A variação de saldos e a base sintética não são achados de auditoria.</w:t>
      </w:r>
    </w:p>
    <w:p>
      <w:r>
        <w:t>Não foi realizada auditoria independente; não se emite opinião nem se afirma que as demonstrações estão livres de distorção relevante. Procedimentos dependentes de registros internos, observação, confirmações, cartas legais e auditores de componentes permanecem planejados ou pendentes. Antes de submissão acadêmica, recomenda-se conferir o PDF original da DFP RAD da CVM, completar localizadores de notas/movimentações e atualizar detalhes normativos com os resultados da pesquisa oficial por norma.</w:t>
      </w:r>
    </w:p>
    <w:p>
      <w:r>
        <w:t>Conclusão: evidência pública suficiente para contextualizar valores publicados; insuficiente para opinião sobre demonstrações ou conclusão sobre registros individuais, controles ou auditoria de grupo. Não se emite opinião de auditor independente.</w:t>
      </w:r>
    </w:p>
    <w:p>
      <w:pPr>
        <w:pStyle w:val="Heading1"/>
      </w:pPr>
      <w:r>
        <w:t>32. Referências</w:t>
      </w:r>
    </w:p>
    <w:p>
      <w:r>
        <w:t>[1] Comissão de Valores Mobiliários. SIMPAR S.A., DFP 31/12/2025, V1, documento sequencial 155854. https://www.rad.cvm.gov.br/ENET/frmGerenciaPaginaFRE.aspx?CodigoTipoInstituicao=1&amp;NumeroSequencialDocumento=155854 (acesso 25/10/2026). Metadados consultados; tabelas/PDF integral indisponíveis na interface utilizada.</w:t>
      </w:r>
    </w:p>
    <w:p>
      <w:r>
        <w:t>[2] SIMPAR S.A. Demonstrações financeiras individuais e consolidadas, exercícios findos em 31/12/2025 e 31/12/2024, R$ mil. Cópia reproduzida por O Estado de S. Paulo, publicação 31/03/2026, PDF consultado p. 2; notas 2.12 (política de imobilizado), 2.14 (financiamentos), 2.18 (provisões), 2.20 (partes relacionadas), 6 (eventos subsequentes). https://estadaori.estadao.com.br/wp-content/uploads/2026/03/simpar-sa-balanco-2026-03-31_07-36-21.pdf. Fonte secundária/reprodução; conferir no RAD original.</w:t>
      </w:r>
    </w:p>
    <w:p>
      <w:r>
        <w:t>[3] Comissão de Valores Mobiliários. SIMPAR S.A., DFP 31/12/2024, V2, documento sequencial 146257. https://www.rad.cvm.gov.br/ENET/frmGerenciaPaginaFRE.aspx?CodigoTipoInstituicao=1&amp;NumeroSequencialDocumento=146257 (acesso 25/10/2026).</w:t>
      </w:r>
    </w:p>
    <w:p>
      <w:r>
        <w:t>[4] SIMPAR S.A. Relatório Anual Integrado 2025, publicado em 31/08/2026; seção resultados econômico-financeiros pp. 90–91; páginas do PDF. https://simpar.com.br/wp-content/uploads/2026/09/Relatorio-Anual-Integrado-2025.pdf (acesso 25/10/2026). Fonte oficial da companhia; não substitui DFs auditadas.</w:t>
      </w:r>
    </w:p>
    <w:p>
      <w:r>
        <w:t>[5] Conselho Federal de Contabilidade. NBC TA — Auditoria Independente de Informação Contábil Histórica, listagem oficial. https://cfc.org.br/tecnica/normas-brasileiras-de-contabilidade/nbc-ta-de-auditoria-independente/ (acesso 25/10/2026).</w:t>
      </w:r>
    </w:p>
    <w:p>
      <w:r>
        <w:t>[6] Conselho Federal de Contabilidade. NBC TA 240 (R1), Resolução 2016/NBCTA240(R1); e NBC TA 240 (R2), Resolução 2026/NBCTA240(R2), DOU 25/09/2026. https://www2.cfc.org.br/sisweb/sre/detalhes_sre.aspx?Codigo=2016/NBCTA240%28R1%29 ; https://www2.cfc.org.br/sisweb/sre/detalhes_sre.aspx?Codigo=2026/NBCTA240%28R2%29 (acesso 25/10/2026).</w:t>
      </w:r>
    </w:p>
    <w:p>
      <w:r>
        <w:t>[7] Conselho Federal de Contabilidade. NBC TA 570, Resolução 2016/NBCTA570; e NBC TA 570 (R1), Resolução 2026/NBCTA570(R1), DOU 25/09/2026. https://www2.cfc.org.br/sisweb/sre/detalhes_sre.aspx?Codigo=2016/NBCTA570 ; https://www2.cfc.org.br/sisweb/sre/detalhes_sre.aspx?Codigo=2026/NBCTA570%28R1%29 (acesso 25/10/2026).</w:t>
      </w:r>
    </w:p>
    <w:p>
      <w:r>
        <w:t>[8] Conselho Federal de Contabilidade. NBC TA 600 (R2), Resolução 2023/NBCTA600(R2), DOU 06/12/2023. https://www2.cfc.org.br/sisweb/sre/detalhes_sre.aspx?Codigo=2023/NBCTA600%28R2%29 (acesso 25/10/2026).</w:t>
      </w:r>
    </w:p>
    <w:p>
      <w:r>
        <w:t>[9] Dados sintéticos gerados neste pacote: `codigo/01_gerar_base.py`; testes: `codigo/02_testes_base.py`; método/seed documentados em `dados/dicionario_variaveis.md`. Não é fonte da SIMPAR.</w:t>
      </w:r>
    </w:p>
    <w:p>
      <w:pPr>
        <w:pStyle w:val="Heading1"/>
      </w:pPr>
      <w:r>
        <w:t>33. Apêndices e papéis de trabalho</w:t>
      </w:r>
    </w:p>
    <w:p>
      <w:r>
        <w:t>A. PT-EC e PT-200 a PT-600: um Word por critério normativo. B. PT-01 a PT-05: planejamento, base sintética, programas, riscos e conclusão. C. Matriz de riscos, cobertura normativa, fontes, procedimentos e limitações em CSV/Excel. D. Dados artificiais e códigos reproduzíveis. E. Gráficos e fluxograma próprios. F. PDF consultado das demonstrações e Relatório Anual Integrado preservados em `fontes/`.</w:t>
      </w:r>
    </w:p>
    <w:p>
      <w:r>
        <w:t>Condição de uso: academic review only. Cópias de demonstrações e relatórios pertencem a seus titulares; conservar citações e verificar condições de uso antes de redistribuição.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Matrícula 241003357  |  Documento acadêmico — não é opinião de auditoria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785"/>
      </w:rPr>
      <w:t>SIMPAR S.A.  |  DOSSIÊ ACADÊMICO DE AUDITORIA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D39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24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