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PT-PT-01 — Planejamento, materialidade e avaliação preliminar</w:t>
      </w:r>
    </w:p>
    <w:p>
      <w:pPr>
        <w:pStyle w:val="Subtitle"/>
      </w:pPr>
      <w:r>
        <w:t>SIMPAR S.A. | demonstrações consolidadas encerradas em 31/12/2025 | comparativo 2024</w:t>
      </w:r>
    </w:p>
    <w:p>
      <w:pPr>
        <w:pStyle w:val="Title"/>
      </w:pPr>
      <w:r>
        <w:t>PT-01 — Planejamento, materialidade e avaliação preliminar</w:t>
      </w:r>
    </w:p>
    <w:p>
      <w:r>
        <w:t>SIMPAR S.A. | 2025 consolidado | Preparador: 241003357 | 25/10/2026</w:t>
      </w:r>
    </w:p>
    <w:p>
      <w:pPr>
        <w:pStyle w:val="Heading2"/>
      </w:pPr>
      <w:r>
        <w:t>Objetivo</w:t>
      </w:r>
    </w:p>
    <w:p>
      <w:r>
        <w:t>Planejar academicamente procedimentos sobre demonstrações consolidadas 2025, comparativo 2024, com foco inicial em imobilizado.</w:t>
      </w:r>
    </w:p>
    <w:p>
      <w:pPr>
        <w:pStyle w:val="Heading2"/>
      </w:pPr>
      <w:r>
        <w:t>Cifras públicas verificadas</w:t>
      </w:r>
    </w:p>
    <w:p>
      <w:r>
        <w:t>Ativo total R$ 88.642.122 mil; imobilizado líquido R$ 47.944.350 mil, comparativo R$ 46.262.499 mil; variação R$ 1.681.851 mil (+3,63%). Fonte: demonstração financeira publicada em R$ mil, cópia reproduzida, PDF p.2; protocol metadata DFP CVM seq.155854.</w:t>
      </w:r>
    </w:p>
    <w:p>
      <w:pPr>
        <w:pStyle w:val="Heading2"/>
      </w:pPr>
      <w:r>
        <w:t>Materialidade</w:t>
      </w:r>
    </w:p>
    <w:p>
      <w:r>
        <w:t>Benchmark: receita líquida R$ 43.528.375 mil; 0,5% = R$ 217.641,875 mil; execução 75% = R$ 163.231,406 mil; trivial 5% = R$ 10.882,094 mil. Julgamento acadêmico; comparar alternativas no arquivo dados/materialidade.json.</w:t>
      </w:r>
    </w:p>
    <w:p>
      <w:pPr>
        <w:pStyle w:val="Heading2"/>
      </w:pPr>
      <w:r>
        <w:t>Riscos/afirmações</w:t>
      </w:r>
    </w:p>
    <w:p>
      <w:r>
        <w:t>Existência, integridade, direitos e obrigações, avaliação/alocação, corte, apresentação e divulgação, com foco em bens operacionais, depreciação, vida útil, residual, impairment, baixas, leases e consolidação.</w:t>
      </w:r>
    </w:p>
    <w:p>
      <w:pPr>
        <w:pStyle w:val="Heading2"/>
      </w:pPr>
      <w:r>
        <w:t>Procedimentos e resultado</w:t>
      </w:r>
    </w:p>
    <w:p>
      <w:r>
        <w:t>Público verificado: metadados CVM e análise horizontal. Planejado: razão/cadastro, recálculo, inspeção física, títulos, impairment e corte. Simulado: base artificial. Evidência insuficiente para conclusão sobre registros individuais.</w:t>
      </w:r>
    </w:p>
    <w:p>
      <w:pPr>
        <w:pStyle w:val="Heading2"/>
      </w:pPr>
      <w:r>
        <w:t>Conclusão/status</w:t>
      </w:r>
    </w:p>
    <w:p>
      <w:r>
        <w:t>Imobilizado representa 54,1% dos ativos de 2025 e é área relevante de risco. É saldo líquido divulgado, distinto de custo bruto. Não é conclusão de auditoria.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Matrícula 241003357 | Preparado em 25/10/2026 | Sem opinião de auditoria independente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SIMPAR S.A.  |  DOSSIÊ ACADÊMICO DE AUDITORIA 2025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394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24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7D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324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