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PT-PT-04 — Matriz de riscos preliminares</w:t>
      </w:r>
    </w:p>
    <w:p>
      <w:pPr>
        <w:pStyle w:val="Subtitle"/>
      </w:pPr>
      <w:r>
        <w:t>SIMPAR S.A. | demonstrações consolidadas encerradas em 31/12/2025 | comparativo 2024</w:t>
      </w:r>
    </w:p>
    <w:p>
      <w:pPr>
        <w:pStyle w:val="Title"/>
      </w:pPr>
      <w:r>
        <w:t>PT-04 — Matriz de riscos preliminares</w:t>
      </w:r>
    </w:p>
    <w:p>
      <w:r>
        <w:t>SIMPAR S.A. | 2025 consolidado | Preparador: 241003357 | 25/10/2026</w:t>
      </w:r>
    </w:p>
    <w:p>
      <w:pPr>
        <w:pStyle w:val="Heading2"/>
      </w:pPr>
      <w:r>
        <w:t>Escopo</w:t>
      </w:r>
    </w:p>
    <w:p>
      <w:r>
        <w:t>19 riscos preliminares cobrindo imobilizado/depreciação, receita/recebíveis, caixa, estoques, dívida/arrendamentos, passivos, estimativas/contingências, partes relacionadas, consolidação e continuidade.</w:t>
      </w:r>
    </w:p>
    <w:p>
      <w:pPr>
        <w:pStyle w:val="Heading2"/>
      </w:pPr>
      <w:r>
        <w:t>Afirmações e resposta</w:t>
      </w:r>
    </w:p>
    <w:p>
      <w:r>
        <w:t>Cada linha da matriz lista afirmações, probabilidade/impacto preliminares, resposta proposta e evidências. “Alta/Média/Baixa” são julgamentos de planejamento e não achados.</w:t>
      </w:r>
    </w:p>
    <w:p>
      <w:pPr>
        <w:pStyle w:val="Heading2"/>
      </w:pPr>
      <w:r>
        <w:t>Status</w:t>
      </w:r>
    </w:p>
    <w:p>
      <w:r>
        <w:t>Matriz em matrizes/matriz_riscos.csv; procedimentos em matrizes/registro_procedimentos.csv. Nenhum procedimento interno foi executado.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Matrícula 241003357 | Preparado em 25/10/2026 | Sem opinião de auditoria independente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SIMPAR S.A.  |  DOSSIÊ ACADÊMICO DE AUDITORIA 2025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394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24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7D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24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