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PT-240 — NBC TA 240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240 — NBC TA 240 (R1)</w:t>
            </w:r>
          </w:p>
        </w:tc>
      </w:tr>
      <w:tr>
        <w:tc>
          <w:tcPr>
            <w:tcW w:type="dxa" w:w="5040"/>
            <w:shd w:fill="EAF1F5"/>
            <w:vAlign w:val="center"/>
          </w:tcPr>
          <w:p>
            <w:r>
              <w:t>Versão e fonte</w:t>
            </w:r>
          </w:p>
        </w:tc>
        <w:tc>
          <w:tcPr>
            <w:tcW w:type="dxa" w:w="5040"/>
            <w:vAlign w:val="center"/>
          </w:tcPr>
          <w:p>
            <w:r>
              <w:t>R1 aplicável ao exercício iniciado em 2025; R2 publicada 25/09/2026 com aplicação futura a períodos iniciados a partir de 01/01/2027</w:t>
              <w:br/>
              <w:t>Fonte oficial: https://www2.cfc.org.br/sisweb/sre/detalhes_sre.aspx?Codigo=2016/NBCTA240%28R1%29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 R2 futura</w:t>
            </w:r>
          </w:p>
        </w:tc>
      </w:tr>
    </w:tbl>
    <w:p>
      <w:pPr>
        <w:pStyle w:val="Heading2"/>
      </w:pPr>
      <w:r>
        <w:t>1. Objetivo e escopo</w:t>
      </w:r>
    </w:p>
    <w:p>
      <w:r>
        <w:t>Responsabilidade por fraude, discussão da equipe, procedimentos, respostas, lançamentos e presunção de risco de fraude em receita, salvo justificativa Este papel aplica o critério ao planejamento acadêmico do exame das demonstrações consolidadas SIMPAR 2025; não representa compromisso de auditoria nem opinião.</w:t>
      </w:r>
    </w:p>
    <w:p>
      <w:pPr>
        <w:pStyle w:val="Heading2"/>
      </w:pPr>
      <w:r>
        <w:t>2. Risco avaliado e afirmações</w:t>
      </w:r>
    </w:p>
    <w:p>
      <w:r>
        <w:t>Receita de R$ 43.528.375 mil; risco de override e corte tratado como planejamento, não achado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240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Receita de R$ 43.528.375 mil; risco de override e corte tratado como planejamento, não achado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