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PT-315 — NBC TA 315 (R2)</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315 — NBC TA 315 (R2)</w:t>
            </w:r>
          </w:p>
        </w:tc>
      </w:tr>
      <w:tr>
        <w:tc>
          <w:tcPr>
            <w:tcW w:type="dxa" w:w="5040"/>
            <w:shd w:fill="EAF1F5"/>
            <w:vAlign w:val="center"/>
          </w:tcPr>
          <w:p>
            <w:r>
              <w:t>Versão e fonte</w:t>
            </w:r>
          </w:p>
        </w:tc>
        <w:tc>
          <w:tcPr>
            <w:tcW w:type="dxa" w:w="5040"/>
            <w:vAlign w:val="center"/>
          </w:tcPr>
          <w:p>
            <w:r>
              <w:t>R2; vigente no período</w:t>
              <w:br/>
              <w:t>Fonte oficial: https://www2.cfc.org.br/sisweb/sre/detalhes_sre.aspx?Codigo=2021/NBCTA315%28R2%29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Preliminar público; pendente interno</w:t>
            </w:r>
          </w:p>
        </w:tc>
      </w:tr>
    </w:tbl>
    <w:p>
      <w:pPr>
        <w:pStyle w:val="Heading2"/>
      </w:pPr>
      <w:r>
        <w:t>1. Objetivo e escopo</w:t>
      </w:r>
    </w:p>
    <w:p>
      <w:r>
        <w:t>Entendimento da entidade/sistema, identificação e avaliação de riscos inerentes e controles Este papel aplica o critério ao planejamento acadêmico do exame das demonstrações consolidadas SIMPAR 2025; não representa compromisso de auditoria nem opinião.</w:t>
      </w:r>
    </w:p>
    <w:p>
      <w:pPr>
        <w:pStyle w:val="Heading2"/>
      </w:pPr>
      <w:r>
        <w:t>2. Risco avaliado e afirmações</w:t>
      </w:r>
    </w:p>
    <w:p>
      <w:r>
        <w:t>Complexidade do grupo, imobilizado, leases, receita, TI, estimativas e consolidação; sem acesso a controles internos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315 (R2).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Complexidade do grupo, imobilizado, leases, receita, TI, estimativas e consolidação; sem acesso a controles internos</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