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PT-330 — NBC TA 330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330 — NBC TA 330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https://www2.cfc.org.br/sisweb/sre/detalhes_sre.aspx?Codigo=2016/NBCTA330%28R1%29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Planejado</w:t>
            </w:r>
          </w:p>
        </w:tc>
      </w:tr>
    </w:tbl>
    <w:p>
      <w:pPr>
        <w:pStyle w:val="Heading2"/>
      </w:pPr>
      <w:r>
        <w:t>1. Objetivo e escopo</w:t>
      </w:r>
    </w:p>
    <w:p>
      <w:r>
        <w:t>Respostas globais e procedimentos adicionais vinculados aos riscos avaliados Este papel aplica o critério ao planejamento acadêmico do exame das demonstrações consolidadas SIMPAR 2025; não representa compromisso de auditoria nem opinião.</w:t>
      </w:r>
    </w:p>
    <w:p>
      <w:pPr>
        <w:pStyle w:val="Heading2"/>
      </w:pPr>
      <w:r>
        <w:t>2. Risco avaliado e afirmações</w:t>
      </w:r>
    </w:p>
    <w:p>
      <w:r>
        <w:t>Testes de imobilizado, receita, dívida, caixa, inventário e consolidação planejados; nenhum proced. substantivo interno executado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330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Testes de imobilizado, receita, dívida, caixa, inventário e consolidação planejados; nenhum proced. substantivo interno executado</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