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PT-402 — NBC TA 402</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402 — NBC TA 402</w:t>
            </w:r>
          </w:p>
        </w:tc>
      </w:tr>
      <w:tr>
        <w:tc>
          <w:tcPr>
            <w:tcW w:type="dxa" w:w="5040"/>
            <w:shd w:fill="EAF1F5"/>
            <w:vAlign w:val="center"/>
          </w:tcPr>
          <w:p>
            <w:r>
              <w:t>Versão e fonte</w:t>
            </w:r>
          </w:p>
        </w:tc>
        <w:tc>
          <w:tcPr>
            <w:tcW w:type="dxa" w:w="5040"/>
            <w:vAlign w:val="center"/>
          </w:tcPr>
          <w:p>
            <w:r>
              <w:t>Versão vigente listada pelo CFC</w:t>
              <w:br/>
              <w:t>Fonte oficial: https://www2.cfc.org.br/sisweb/sre/detalhes_sre.aspx?Codigo=2009/001215</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w:t>
            </w:r>
          </w:p>
        </w:tc>
      </w:tr>
    </w:tbl>
    <w:p>
      <w:pPr>
        <w:pStyle w:val="Heading2"/>
      </w:pPr>
      <w:r>
        <w:t>1. Objetivo e escopo</w:t>
      </w:r>
    </w:p>
    <w:p>
      <w:r>
        <w:t>Considerar serviço de organização prestadora de serviços utilizada pela entidade Este papel aplica o critério ao planejamento acadêmico do exame das demonstrações consolidadas SIMPAR 2025; não representa compromisso de auditoria nem opinião.</w:t>
      </w:r>
    </w:p>
    <w:p>
      <w:pPr>
        <w:pStyle w:val="Heading2"/>
      </w:pPr>
      <w:r>
        <w:t>2. Risco avaliado e afirmações</w:t>
      </w:r>
    </w:p>
    <w:p>
      <w:r>
        <w:t>Mapear terceirização e service organizations por sistemas/processos; identidade e relatórios de controle não obtidos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402.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Mapear terceirização e service organizations por sistemas/processos; identidade e relatórios de controle não obtidos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