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PT-505 — NBC TA 505</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505 — NBC TA 505</w:t>
            </w:r>
          </w:p>
        </w:tc>
      </w:tr>
      <w:tr>
        <w:tc>
          <w:tcPr>
            <w:tcW w:type="dxa" w:w="5040"/>
            <w:shd w:fill="EAF1F5"/>
            <w:vAlign w:val="center"/>
          </w:tcPr>
          <w:p>
            <w:r>
              <w:t>Versão e fonte</w:t>
            </w:r>
          </w:p>
        </w:tc>
        <w:tc>
          <w:tcPr>
            <w:tcW w:type="dxa" w:w="5040"/>
            <w:vAlign w:val="center"/>
          </w:tcPr>
          <w:p>
            <w:r>
              <w:t>Versão vigente listada pelo CFC</w:t>
              <w:br/>
              <w:t>Fonte oficial: https://www2.cfc.org.br/sisweb/sre/detalhes_sre.aspx?Codigo=2009/001219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w:t>
            </w:r>
          </w:p>
        </w:tc>
      </w:tr>
    </w:tbl>
    <w:p>
      <w:pPr>
        <w:pStyle w:val="Heading2"/>
      </w:pPr>
      <w:r>
        <w:t>1. Objetivo e escopo</w:t>
      </w:r>
    </w:p>
    <w:p>
      <w:r>
        <w:t>Desenho, controle e avaliação de confirmações externas Este papel aplica o critério ao planejamento acadêmico do exame das demonstrações consolidadas SIMPAR 2025; não representa compromisso de auditoria nem opinião.</w:t>
      </w:r>
    </w:p>
    <w:p>
      <w:pPr>
        <w:pStyle w:val="Heading2"/>
      </w:pPr>
      <w:r>
        <w:t>2. Risco avaliado e afirmações</w:t>
      </w:r>
    </w:p>
    <w:p>
      <w:r>
        <w:t>Confirmar caixa, dívida, assessoria jurídica, clientes/fornecedores pertinentes; nenhuma confirmação emitida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505.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Confirmar caixa, dívida, assessoria jurídica, clientes/fornecedores pertinentes; nenhuma confirmação emitida</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