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PT-540 — NBC TA 540 (R2)</w:t>
      </w:r>
    </w:p>
    <w:p>
      <w:pPr>
        <w:pStyle w:val="Subtitle"/>
      </w:pPr>
      <w:r>
        <w:t>SIMPAR S.A. | demonstrações consolidadas encerradas em 31/12/2025 | comparativo 2024</w:t>
      </w:r>
    </w:p>
    <w:tbl>
      <w:tblPr>
        <w:tblStyle w:val="TableGrid"/>
        <w:tblW w:type="auto" w:w="0"/>
        <w:jc w:val="center"/>
        <w:tblLook w:firstColumn="1" w:firstRow="1" w:lastColumn="0" w:lastRow="0" w:noHBand="0" w:noVBand="1" w:val="04A0"/>
      </w:tblPr>
      <w:tblGrid>
        <w:gridCol w:w="5040"/>
        <w:gridCol w:w="5040"/>
      </w:tblGrid>
      <w:tr>
        <w:tc>
          <w:tcPr>
            <w:tcW w:type="dxa" w:w="5040"/>
            <w:shd w:fill="EAF1F5"/>
            <w:vAlign w:val="center"/>
          </w:tcPr>
          <w:p>
            <w:r>
              <w:t>Código/critério</w:t>
            </w:r>
          </w:p>
        </w:tc>
        <w:tc>
          <w:tcPr>
            <w:tcW w:type="dxa" w:w="5040"/>
            <w:vAlign w:val="center"/>
          </w:tcPr>
          <w:p>
            <w:r>
              <w:t>540 — NBC TA 540 (R2)</w:t>
            </w:r>
          </w:p>
        </w:tc>
      </w:tr>
      <w:tr>
        <w:tc>
          <w:tcPr>
            <w:tcW w:type="dxa" w:w="5040"/>
            <w:shd w:fill="EAF1F5"/>
            <w:vAlign w:val="center"/>
          </w:tcPr>
          <w:p>
            <w:r>
              <w:t>Versão e fonte</w:t>
            </w:r>
          </w:p>
        </w:tc>
        <w:tc>
          <w:tcPr>
            <w:tcW w:type="dxa" w:w="5040"/>
            <w:vAlign w:val="center"/>
          </w:tcPr>
          <w:p>
            <w:r>
              <w:t>R2; vigente no período</w:t>
              <w:br/>
              <w:t>Fonte oficial: https://www2.cfc.org.br/sisweb/sre/detalhes_sre.aspx?Codigo=2019/NBCTA540%28R2%29</w:t>
            </w:r>
          </w:p>
        </w:tc>
      </w:tr>
      <w:tr>
        <w:tc>
          <w:tcPr>
            <w:tcW w:type="dxa" w:w="5040"/>
            <w:shd w:fill="EAF1F5"/>
            <w:vAlign w:val="center"/>
          </w:tcPr>
          <w:p>
            <w:r>
              <w:t>Responsável e data</w:t>
            </w:r>
          </w:p>
        </w:tc>
        <w:tc>
          <w:tcPr>
            <w:tcW w:type="dxa" w:w="5040"/>
            <w:vAlign w:val="center"/>
          </w:tcPr>
          <w:p>
            <w:r>
              <w:t>Matrícula 241003357 | 25/10/2026</w:t>
            </w:r>
          </w:p>
        </w:tc>
      </w:tr>
      <w:tr>
        <w:tc>
          <w:tcPr>
            <w:tcW w:type="dxa" w:w="5040"/>
            <w:shd w:fill="EAF1F5"/>
            <w:vAlign w:val="center"/>
          </w:tcPr>
          <w:p>
            <w:r>
              <w:t>Status geral</w:t>
            </w:r>
          </w:p>
        </w:tc>
        <w:tc>
          <w:tcPr>
            <w:tcW w:type="dxa" w:w="5040"/>
            <w:vAlign w:val="center"/>
          </w:tcPr>
          <w:p>
            <w:r>
              <w:t>Planejado</w:t>
            </w:r>
          </w:p>
        </w:tc>
      </w:tr>
    </w:tbl>
    <w:p>
      <w:pPr>
        <w:pStyle w:val="Heading2"/>
      </w:pPr>
      <w:r>
        <w:t>1. Objetivo e escopo</w:t>
      </w:r>
    </w:p>
    <w:p>
      <w:r>
        <w:t>Riscos de estimativas, método, pressupostos, dados, incerteza e viés Este papel aplica o critério ao planejamento acadêmico do exame das demonstrações consolidadas SIMPAR 2025; não representa compromisso de auditoria nem opinião.</w:t>
      </w:r>
    </w:p>
    <w:p>
      <w:pPr>
        <w:pStyle w:val="Heading2"/>
      </w:pPr>
      <w:r>
        <w:t>2. Risco avaliado e afirmações</w:t>
      </w:r>
    </w:p>
    <w:p>
      <w:r>
        <w:t>Depreciação, impairment e perdas esperadas exigem dados internos; sem recálculo de estimativa real Afirmações a considerar, conforme ciclo: existência/ocorrência; integridade; direitos e obrigações; avaliação/alocação; corte; classificação/apresentação e divulgação. A aplicabilidade específica depende da conta/transação e evidência ainda não obtida.</w:t>
      </w:r>
    </w:p>
    <w:p>
      <w:pPr>
        <w:pStyle w:val="Heading2"/>
      </w:pPr>
      <w:r>
        <w:t>3. Critérios normativos relevantes</w:t>
      </w:r>
    </w:p>
    <w:p>
      <w:r>
        <w:t>NBC TA 540 (R2). A descrição resumida acima é um mapa de aplicação, não citação literal. A redação, itens de aplicação e vigência devem ser conferidos no texto integral do CFC indicado. Para as normas revisadas depois do período, ver a identificação temporal abaixo e não retroagir requisito futuro.</w:t>
      </w:r>
    </w:p>
    <w:p>
      <w:pPr>
        <w:pStyle w:val="Heading2"/>
      </w:pPr>
      <w:r>
        <w:t>4. População e amostra</w:t>
      </w:r>
    </w:p>
    <w:p>
      <w:r>
        <w:t>População documental disponível: demonstrativos públicos 2025/2024 e informações públicas do relatório anual; não foram obtidos razão, cadastro, contrato, pacote de componente nem base de auditoria da Companhia. A seleção de amostra real é PENDENTE. A amostra artificial de 100 registros e a seleção top 25 só se aplicam à base SIMULADA (PT-02), não são amostra da população da SIMPAR.</w:t>
      </w:r>
    </w:p>
    <w:p>
      <w:pPr>
        <w:pStyle w:val="Heading2"/>
      </w:pPr>
      <w:r>
        <w:t>5. Procedimentos planejados</w:t>
      </w:r>
    </w:p>
    <w:p>
      <w:r>
        <w:t>1) Identificar população, componente/ciclo e afirmação afetada. 2) Avaliar risco e desenhar resposta compatível com relevância e qualidade da evidência. 3) Obter evidência externa/interna pertinente, testar integridade e confiabilidade dos dados e documentar seleção, execução e desvios. 4) Avaliar distorções, comunicações, divulgações e impacto na conclusão. Aplicação SIMPAR: Depreciação, impairment e perdas esperadas exigem dados internos; sem recálculo de estimativa real</w:t>
      </w:r>
    </w:p>
    <w:p>
      <w:pPr>
        <w:pStyle w:val="Heading2"/>
      </w:pPr>
      <w:r>
        <w:t>6. Evidências necessárias</w:t>
      </w:r>
    </w:p>
    <w:p>
      <w:r>
        <w:t>Documento oficial original, razão e reconciliações, contratos e aprovações, cálculos e suportes do saldo, confirmações externas quando pertinentes, comunicações com governança/componente e registro contemporâneo do procedimento. As evidências internas e confirmações não foram obtidas neste estudo.</w:t>
      </w:r>
    </w:p>
    <w:p>
      <w:pPr>
        <w:pStyle w:val="Heading2"/>
      </w:pPr>
      <w:r>
        <w:t>7. Procedimentos efetivamente executados</w:t>
      </w:r>
    </w:p>
    <w:p>
      <w:r>
        <w:t>PÚBLICO VERIFICADO: consulta a metadados da DFP na CVM e leitura da cópia pública reproduzida das demonstrações financeiras 2025/2024; cálculos analíticos e registro de limitações. SIMULADO: somente testes identificados como tal na base artificial de 500.000 linhas. Não houve inspeção, circularização, teste de controle, recálculo com dados reais, comunicação com administração ou exame dos papéis do auditor.</w:t>
      </w:r>
    </w:p>
    <w:p>
      <w:pPr>
        <w:pStyle w:val="Heading2"/>
      </w:pPr>
      <w:r>
        <w:t>8. Resultados e exceções</w:t>
      </w:r>
    </w:p>
    <w:p>
      <w:r>
        <w:t>Resultado público: valores agregados utilizados no dossiê são rastreados à demonstração publicada, R$ mil, PDF reproduzido p. 2; políticas localizadas nas notas 2.12, 2.14 e 2.20 e eventos subsequentes na nota 6 quando aplicável. Exceções reais: nenhuma foi determinada, pois não foi obtida população/teste interno. Exceções sintéticas: doze inserções deliberadas em oito classes, testadas separadamente; não são achados da SIMPAR.</w:t>
      </w:r>
    </w:p>
    <w:p>
      <w:pPr>
        <w:pStyle w:val="Heading2"/>
      </w:pPr>
      <w:r>
        <w:t>9. Avaliação e conclusão</w:t>
      </w:r>
    </w:p>
    <w:p>
      <w:r>
        <w:t>O critério orienta o planejamento e a documentação dos procedimentos aplicáveis a SIMPAR. Com a evidência atual não se conclui sobre conformidade, distorção, controle ou suficiência dos saldos da Companhia; a execução é PLANEJADA/PENDENTE. Atualizar a conclusão somente após obter evidência apropriada e revisar os requisitos oficiais item a item.</w:t>
      </w:r>
    </w:p>
    <w:p>
      <w:pPr>
        <w:pStyle w:val="Heading2"/>
      </w:pPr>
      <w:r>
        <w:t>10. Referências cruzadas</w:t>
      </w:r>
    </w:p>
    <w:p>
      <w:r>
        <w:t>Dossiê principal; matrizes/matriz_cobertura_normas.csv; matrizes/matriz_riscos.csv; matrizes/registro_procedimentos.csv; matrizes/registro_fontes.csv; PT-01 planejamento; PT-02 base sintética; PT-03 resultados analíticos; PT-04 riscos/ciclos; PT-05 conclusão integrada; fontes/EVIDENCIAS_EXTERNAS.md. Localizador de demonstrações: F2, PDF reproduzido p. 2, R$ mil; página/nota de movimentação do imobilizado pendente de confirmar no PDF CVM integral.</w:t>
      </w:r>
    </w:p>
    <w:p>
      <w:pPr>
        <w:pStyle w:val="Heading2"/>
      </w:pPr>
      <w:r>
        <w:t>11. Responsável, data e status</w:t>
      </w:r>
    </w:p>
    <w:p>
      <w:r>
        <w:t>Preparador: matrícula 241003357. Data: 25/10/2026. Revisão por segundo profissional: não realizada. Classificações: Público verificado; Planejado; Simulado; Pendente, conforme indicado. Documento acadêmico, não arquivo de auditoria independente.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Matrícula 241003357 | Preparado em 25/10/2026 | Sem opinião de auditoria independente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SIMPAR S.A.  |  DOSSIÊ ACADÊMICO DE AUDITORIA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9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2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7D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