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PT-550 — NBC TA 550</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550 — NBC TA 550</w:t>
            </w:r>
          </w:p>
        </w:tc>
      </w:tr>
      <w:tr>
        <w:tc>
          <w:tcPr>
            <w:tcW w:type="dxa" w:w="5040"/>
            <w:shd w:fill="EAF1F5"/>
            <w:vAlign w:val="center"/>
          </w:tcPr>
          <w:p>
            <w:r>
              <w:t>Versão e fonte</w:t>
            </w:r>
          </w:p>
        </w:tc>
        <w:tc>
          <w:tcPr>
            <w:tcW w:type="dxa" w:w="5040"/>
            <w:vAlign w:val="center"/>
          </w:tcPr>
          <w:p>
            <w:r>
              <w:t>Versão vigente listada pelo CFC</w:t>
              <w:br/>
              <w:t>Fonte oficial: https://www2.cfc.org.br/sisweb/sre/detalhes_sre.aspx?Codigo=2009/001224</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Público / pendente</w:t>
            </w:r>
          </w:p>
        </w:tc>
      </w:tr>
    </w:tbl>
    <w:p>
      <w:pPr>
        <w:pStyle w:val="Heading2"/>
      </w:pPr>
      <w:r>
        <w:t>1. Objetivo e escopo</w:t>
      </w:r>
    </w:p>
    <w:p>
      <w:r>
        <w:t>Identificar/avaliar relações, transações e divulgações de partes relacionadas Este papel aplica o critério ao planejamento acadêmico do exame das demonstrações consolidadas SIMPAR 2025; não representa compromisso de auditoria nem opinião.</w:t>
      </w:r>
    </w:p>
    <w:p>
      <w:pPr>
        <w:pStyle w:val="Heading2"/>
      </w:pPr>
      <w:r>
        <w:t>2. Risco avaliado e afirmações</w:t>
      </w:r>
    </w:p>
    <w:p>
      <w:r>
        <w:t>Holding, controladas e transações intragrupo; política divulgada, completude não testada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550.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Holding, controladas e transações intragrupo; política divulgada, completude não testada</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