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PT-570 — NBC TA 570</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570 — NBC TA 570</w:t>
            </w:r>
          </w:p>
        </w:tc>
      </w:tr>
      <w:tr>
        <w:tc>
          <w:tcPr>
            <w:tcW w:type="dxa" w:w="5040"/>
            <w:shd w:fill="EAF1F5"/>
            <w:vAlign w:val="center"/>
          </w:tcPr>
          <w:p>
            <w:r>
              <w:t>Versão e fonte</w:t>
            </w:r>
          </w:p>
        </w:tc>
        <w:tc>
          <w:tcPr>
            <w:tcW w:type="dxa" w:w="5040"/>
            <w:vAlign w:val="center"/>
          </w:tcPr>
          <w:p>
            <w:r>
              <w:t>Versão anterior aplicável ao exercício iniciado em 2025; R1 publicada 25/09/2026 para períodos a partir de 01/01/2027</w:t>
              <w:br/>
              <w:t>Fonte oficial: https://www2.cfc.org.br/sisweb/sre/detalhes_sre.aspx?Codigo=2016/NBCTA570</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Público verificado / pendente; R1 futura</w:t>
            </w:r>
          </w:p>
        </w:tc>
      </w:tr>
    </w:tbl>
    <w:p>
      <w:pPr>
        <w:pStyle w:val="Heading2"/>
      </w:pPr>
      <w:r>
        <w:t>1. Objetivo e escopo</w:t>
      </w:r>
    </w:p>
    <w:p>
      <w:r>
        <w:t>Avaliar base de continuidade, incerteza relevante, planos e relato Este papel aplica o critério ao planejamento acadêmico do exame das demonstrações consolidadas SIMPAR 2025; não representa compromisso de auditoria nem opinião.</w:t>
      </w:r>
    </w:p>
    <w:p>
      <w:pPr>
        <w:pStyle w:val="Heading2"/>
      </w:pPr>
      <w:r>
        <w:t>2. Risco avaliado e afirmações</w:t>
      </w:r>
    </w:p>
    <w:p>
      <w:r>
        <w:t>FCO negativo, dívida e caixa de holding requerem previsão, refinanciamento, covenant e estresse; evidência insuficiente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570.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FCO negativo, dívida e caixa de holding requerem previsão, refinanciamento, covenant e estresse; evidência insuficiente</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